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BB5" w:rsidRDefault="002B6BB4">
      <w:pPr>
        <w:jc w:val="right"/>
      </w:pPr>
      <w:r>
        <w:t xml:space="preserve">Name of Country or </w:t>
      </w:r>
      <w:proofErr w:type="spellStart"/>
      <w:r>
        <w:t>Organization___Australia</w:t>
      </w:r>
      <w:proofErr w:type="spellEnd"/>
      <w:r>
        <w:t>______________</w:t>
      </w:r>
    </w:p>
    <w:p w:rsidR="00602BB5" w:rsidRDefault="00602BB5">
      <w:pPr>
        <w:jc w:val="center"/>
        <w:rPr>
          <w:b/>
          <w:sz w:val="28"/>
          <w:szCs w:val="28"/>
        </w:rPr>
      </w:pPr>
    </w:p>
    <w:p w:rsidR="00602BB5" w:rsidRDefault="002B6BB4">
      <w:pPr>
        <w:jc w:val="center"/>
        <w:rPr>
          <w:b/>
          <w:sz w:val="28"/>
          <w:szCs w:val="28"/>
        </w:rPr>
      </w:pPr>
      <w:r>
        <w:rPr>
          <w:b/>
          <w:sz w:val="28"/>
          <w:szCs w:val="28"/>
        </w:rPr>
        <w:t>Submission form for IPPC standard setting work programme topics</w:t>
      </w:r>
    </w:p>
    <w:p w:rsidR="00602BB5" w:rsidRDefault="00602BB5">
      <w:pPr>
        <w:rPr>
          <w:sz w:val="20"/>
          <w:szCs w:val="20"/>
        </w:rPr>
      </w:pPr>
    </w:p>
    <w:p w:rsidR="00602BB5" w:rsidRDefault="002B6BB4">
      <w:pPr>
        <w:ind w:right="-12"/>
        <w:rPr>
          <w:sz w:val="20"/>
          <w:szCs w:val="20"/>
        </w:rPr>
      </w:pPr>
      <w:r>
        <w:rPr>
          <w:sz w:val="20"/>
          <w:szCs w:val="20"/>
        </w:rPr>
        <w:t xml:space="preserve">This completed form must be submitted by the International Plant Protection Convention (IPPC) Official Contact Point, preferably in electronic format, to the IPPC Secretariat (ippc@fao.org) no later than </w:t>
      </w:r>
      <w:r>
        <w:rPr>
          <w:b/>
          <w:sz w:val="20"/>
          <w:szCs w:val="20"/>
        </w:rPr>
        <w:t>14 August 2015</w:t>
      </w:r>
      <w:r>
        <w:rPr>
          <w:sz w:val="20"/>
          <w:szCs w:val="20"/>
        </w:rPr>
        <w:t xml:space="preserve">. </w:t>
      </w:r>
      <w:r>
        <w:rPr>
          <w:sz w:val="20"/>
          <w:szCs w:val="20"/>
          <w:u w:val="single"/>
        </w:rPr>
        <w:t>Please use one form per topic</w:t>
      </w:r>
      <w:r>
        <w:rPr>
          <w:sz w:val="20"/>
          <w:szCs w:val="20"/>
        </w:rPr>
        <w:t>. This submission form</w:t>
      </w:r>
      <w:r>
        <w:rPr>
          <w:rStyle w:val="FootnoteReference"/>
          <w:sz w:val="20"/>
          <w:szCs w:val="20"/>
        </w:rPr>
        <w:footnoteReference w:id="1"/>
      </w:r>
      <w:r>
        <w:rPr>
          <w:sz w:val="20"/>
          <w:szCs w:val="20"/>
        </w:rPr>
        <w:t xml:space="preserve"> is also available on the International Phytosanitary Portal (IPP, www.ippc.int). </w:t>
      </w:r>
    </w:p>
    <w:p w:rsidR="00602BB5" w:rsidRDefault="00602BB5">
      <w:pPr>
        <w:ind w:right="-12"/>
        <w:rPr>
          <w:sz w:val="20"/>
          <w:szCs w:val="20"/>
        </w:rPr>
      </w:pPr>
    </w:p>
    <w:p w:rsidR="00602BB5" w:rsidRDefault="002B6BB4">
      <w:pPr>
        <w:ind w:right="-12"/>
        <w:rPr>
          <w:snapToGrid w:val="0"/>
          <w:color w:val="000000"/>
          <w:sz w:val="20"/>
          <w:szCs w:val="20"/>
        </w:rPr>
      </w:pPr>
      <w:r>
        <w:rPr>
          <w:snapToGrid w:val="0"/>
          <w:color w:val="000000"/>
          <w:sz w:val="20"/>
          <w:szCs w:val="20"/>
        </w:rPr>
        <w:t xml:space="preserve">Save and submit the completed submission form as: </w:t>
      </w:r>
      <w:r>
        <w:rPr>
          <w:caps/>
          <w:snapToGrid w:val="0"/>
          <w:color w:val="000000"/>
          <w:sz w:val="20"/>
          <w:szCs w:val="20"/>
        </w:rPr>
        <w:t>2015_TOPIC_SUBMISSION_Country or organization Name – P</w:t>
      </w:r>
      <w:r>
        <w:rPr>
          <w:snapToGrid w:val="0"/>
          <w:color w:val="000000"/>
          <w:sz w:val="20"/>
          <w:szCs w:val="20"/>
        </w:rPr>
        <w:t xml:space="preserve">roposed title of topic.doc. </w:t>
      </w:r>
    </w:p>
    <w:p w:rsidR="00602BB5" w:rsidRDefault="00602BB5">
      <w:pPr>
        <w:ind w:right="-12"/>
        <w:rPr>
          <w:snapToGrid w:val="0"/>
          <w:color w:val="000000"/>
          <w:sz w:val="20"/>
          <w:szCs w:val="20"/>
        </w:rPr>
      </w:pPr>
    </w:p>
    <w:p w:rsidR="00602BB5" w:rsidRDefault="002B6BB4">
      <w:pPr>
        <w:ind w:right="-12"/>
        <w:rPr>
          <w:snapToGrid w:val="0"/>
          <w:color w:val="000000"/>
          <w:sz w:val="20"/>
          <w:szCs w:val="20"/>
        </w:rPr>
      </w:pPr>
      <w:r>
        <w:rPr>
          <w:snapToGrid w:val="0"/>
          <w:color w:val="000000"/>
          <w:sz w:val="20"/>
          <w:szCs w:val="20"/>
        </w:rPr>
        <w:t xml:space="preserve">Refer to the </w:t>
      </w:r>
      <w:r>
        <w:rPr>
          <w:snapToGrid w:val="0"/>
          <w:sz w:val="20"/>
          <w:szCs w:val="20"/>
        </w:rPr>
        <w:t>IPPC Standard Setting Procedure</w:t>
      </w:r>
      <w:r>
        <w:rPr>
          <w:rStyle w:val="FootnoteReference"/>
          <w:snapToGrid w:val="0"/>
          <w:color w:val="000000"/>
          <w:sz w:val="20"/>
          <w:szCs w:val="20"/>
        </w:rPr>
        <w:footnoteReference w:id="2"/>
      </w:r>
      <w:r>
        <w:rPr>
          <w:snapToGrid w:val="0"/>
          <w:color w:val="000000"/>
          <w:sz w:val="20"/>
          <w:szCs w:val="20"/>
        </w:rPr>
        <w:t xml:space="preserve"> for an explanation of the hierarchy of terms for standards (technical area, topic and subject). The current </w:t>
      </w:r>
      <w:r>
        <w:rPr>
          <w:snapToGrid w:val="0"/>
          <w:sz w:val="20"/>
          <w:szCs w:val="20"/>
        </w:rPr>
        <w:t>List of topics for IPPC standards</w:t>
      </w:r>
      <w:r>
        <w:rPr>
          <w:snapToGrid w:val="0"/>
          <w:color w:val="000000"/>
          <w:sz w:val="20"/>
          <w:szCs w:val="20"/>
        </w:rPr>
        <w:t xml:space="preserve"> is available on the IPP</w:t>
      </w:r>
      <w:r>
        <w:rPr>
          <w:rStyle w:val="FootnoteReference"/>
          <w:snapToGrid w:val="0"/>
          <w:color w:val="000000"/>
          <w:sz w:val="20"/>
          <w:szCs w:val="20"/>
        </w:rPr>
        <w:footnoteReference w:id="3"/>
      </w:r>
      <w:r>
        <w:rPr>
          <w:snapToGrid w:val="0"/>
          <w:color w:val="000000"/>
          <w:sz w:val="20"/>
          <w:szCs w:val="20"/>
        </w:rPr>
        <w:t xml:space="preserve">. </w:t>
      </w:r>
    </w:p>
    <w:p w:rsidR="00602BB5" w:rsidRDefault="00602BB5">
      <w:pPr>
        <w:ind w:right="-12"/>
        <w:rPr>
          <w:b/>
          <w:snapToGrid w:val="0"/>
          <w:color w:val="000000"/>
          <w:sz w:val="20"/>
          <w:szCs w:val="20"/>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3339"/>
        <w:gridCol w:w="3555"/>
      </w:tblGrid>
      <w:tr w:rsidR="00602BB5">
        <w:trPr>
          <w:trHeight w:val="454"/>
          <w:jc w:val="center"/>
        </w:trPr>
        <w:tc>
          <w:tcPr>
            <w:tcW w:w="5000" w:type="pct"/>
            <w:gridSpan w:val="3"/>
            <w:shd w:val="pct25" w:color="auto" w:fill="auto"/>
          </w:tcPr>
          <w:p w:rsidR="00602BB5" w:rsidRDefault="002B6BB4">
            <w:pPr>
              <w:spacing w:before="40"/>
              <w:jc w:val="center"/>
              <w:rPr>
                <w:b/>
              </w:rPr>
            </w:pPr>
            <w:r>
              <w:rPr>
                <w:b/>
              </w:rPr>
              <w:t>Submission form for IPPC standard setting work programme topics</w:t>
            </w:r>
          </w:p>
        </w:tc>
      </w:tr>
      <w:tr w:rsidR="00602BB5">
        <w:trPr>
          <w:trHeight w:val="454"/>
          <w:jc w:val="center"/>
        </w:trPr>
        <w:tc>
          <w:tcPr>
            <w:tcW w:w="5000" w:type="pct"/>
            <w:gridSpan w:val="3"/>
          </w:tcPr>
          <w:p w:rsidR="00602BB5" w:rsidRDefault="002B6BB4">
            <w:pPr>
              <w:rPr>
                <w:sz w:val="20"/>
                <w:szCs w:val="20"/>
              </w:rPr>
            </w:pPr>
            <w:r>
              <w:rPr>
                <w:b/>
                <w:u w:val="single"/>
              </w:rPr>
              <w:t>Proposed by:</w:t>
            </w:r>
            <w:r>
              <w:t xml:space="preserve"> </w:t>
            </w:r>
            <w:r>
              <w:rPr>
                <w:sz w:val="20"/>
                <w:szCs w:val="20"/>
              </w:rPr>
              <w:t>(Name of IPPC Official Contact Point)</w:t>
            </w:r>
            <w:r>
              <w:rPr>
                <w:rStyle w:val="FootnoteReference"/>
                <w:sz w:val="20"/>
                <w:szCs w:val="20"/>
              </w:rPr>
              <w:footnoteReference w:id="4"/>
            </w:r>
          </w:p>
          <w:p w:rsidR="00602BB5" w:rsidRDefault="006B7C32" w:rsidP="006B7C32">
            <w:r>
              <w:t>Dr Kim Ritman</w:t>
            </w:r>
            <w:bookmarkStart w:id="0" w:name="_GoBack"/>
            <w:bookmarkEnd w:id="0"/>
          </w:p>
        </w:tc>
      </w:tr>
      <w:tr w:rsidR="00602BB5">
        <w:trPr>
          <w:trHeight w:val="390"/>
          <w:jc w:val="center"/>
        </w:trPr>
        <w:tc>
          <w:tcPr>
            <w:tcW w:w="5000" w:type="pct"/>
            <w:gridSpan w:val="3"/>
          </w:tcPr>
          <w:p w:rsidR="00602BB5" w:rsidRDefault="002B6BB4">
            <w:pPr>
              <w:rPr>
                <w:sz w:val="20"/>
                <w:szCs w:val="20"/>
              </w:rPr>
            </w:pPr>
            <w:r>
              <w:rPr>
                <w:b/>
                <w:u w:val="single"/>
              </w:rPr>
              <w:t>Contact:</w:t>
            </w:r>
            <w:r>
              <w:t xml:space="preserve"> </w:t>
            </w:r>
            <w:r>
              <w:rPr>
                <w:sz w:val="20"/>
                <w:szCs w:val="20"/>
              </w:rPr>
              <w:t>(Contact information of an individual able to clarify issues relating to this submission)</w:t>
            </w:r>
          </w:p>
          <w:p w:rsidR="00602BB5" w:rsidRDefault="002B6BB4">
            <w:pPr>
              <w:tabs>
                <w:tab w:val="right" w:leader="dot" w:pos="9480"/>
              </w:tabs>
              <w:spacing w:before="60" w:after="60"/>
              <w:rPr>
                <w:sz w:val="20"/>
                <w:szCs w:val="20"/>
              </w:rPr>
            </w:pPr>
            <w:r>
              <w:rPr>
                <w:sz w:val="20"/>
                <w:szCs w:val="20"/>
              </w:rPr>
              <w:t xml:space="preserve">Name: Abdul Rashid </w:t>
            </w:r>
            <w:proofErr w:type="spellStart"/>
            <w:r>
              <w:rPr>
                <w:sz w:val="20"/>
                <w:szCs w:val="20"/>
              </w:rPr>
              <w:t>Qaisrani</w:t>
            </w:r>
            <w:proofErr w:type="spellEnd"/>
            <w:r>
              <w:rPr>
                <w:sz w:val="20"/>
                <w:szCs w:val="20"/>
              </w:rPr>
              <w:tab/>
            </w:r>
          </w:p>
          <w:p w:rsidR="00602BB5" w:rsidRDefault="002B6BB4">
            <w:pPr>
              <w:tabs>
                <w:tab w:val="right" w:leader="dot" w:pos="9480"/>
              </w:tabs>
              <w:spacing w:before="60" w:after="60"/>
              <w:rPr>
                <w:sz w:val="20"/>
                <w:szCs w:val="20"/>
              </w:rPr>
            </w:pPr>
            <w:r>
              <w:rPr>
                <w:sz w:val="20"/>
                <w:szCs w:val="20"/>
              </w:rPr>
              <w:t>Position and organization: Program Officer, Australian Government Department of Agriculture</w:t>
            </w:r>
            <w:r>
              <w:rPr>
                <w:sz w:val="20"/>
                <w:szCs w:val="20"/>
              </w:rPr>
              <w:tab/>
            </w:r>
          </w:p>
          <w:p w:rsidR="00602BB5" w:rsidRDefault="002B6BB4">
            <w:pPr>
              <w:tabs>
                <w:tab w:val="right" w:leader="dot" w:pos="9480"/>
              </w:tabs>
              <w:spacing w:before="60" w:after="60"/>
              <w:rPr>
                <w:sz w:val="20"/>
                <w:szCs w:val="20"/>
              </w:rPr>
            </w:pPr>
            <w:r>
              <w:rPr>
                <w:sz w:val="20"/>
                <w:szCs w:val="20"/>
              </w:rPr>
              <w:t>Mailing address: PO Box 858, Canberra ACT 2601, AUSTRALIA</w:t>
            </w:r>
            <w:r>
              <w:rPr>
                <w:sz w:val="20"/>
                <w:szCs w:val="20"/>
              </w:rPr>
              <w:tab/>
            </w:r>
          </w:p>
          <w:p w:rsidR="00602BB5" w:rsidRDefault="002B6BB4">
            <w:pPr>
              <w:tabs>
                <w:tab w:val="right" w:leader="dot" w:pos="9480"/>
              </w:tabs>
              <w:spacing w:before="60" w:after="60"/>
              <w:rPr>
                <w:sz w:val="20"/>
                <w:szCs w:val="20"/>
              </w:rPr>
            </w:pPr>
            <w:r>
              <w:rPr>
                <w:sz w:val="20"/>
                <w:szCs w:val="20"/>
              </w:rPr>
              <w:tab/>
            </w:r>
          </w:p>
          <w:p w:rsidR="00602BB5" w:rsidRDefault="002B6BB4">
            <w:pPr>
              <w:tabs>
                <w:tab w:val="left" w:leader="dot" w:pos="4320"/>
                <w:tab w:val="left" w:pos="4560"/>
                <w:tab w:val="right" w:leader="dot" w:pos="9480"/>
              </w:tabs>
              <w:spacing w:before="60" w:after="60"/>
              <w:rPr>
                <w:sz w:val="20"/>
                <w:szCs w:val="20"/>
              </w:rPr>
            </w:pPr>
            <w:r>
              <w:rPr>
                <w:sz w:val="20"/>
                <w:szCs w:val="20"/>
              </w:rPr>
              <w:t>Phone:+61 2 6272 4191</w:t>
            </w:r>
            <w:r>
              <w:rPr>
                <w:sz w:val="20"/>
                <w:szCs w:val="20"/>
              </w:rPr>
              <w:tab/>
            </w:r>
            <w:r>
              <w:rPr>
                <w:sz w:val="20"/>
                <w:szCs w:val="20"/>
              </w:rPr>
              <w:tab/>
              <w:t>Fax:</w:t>
            </w:r>
            <w:r>
              <w:rPr>
                <w:sz w:val="20"/>
                <w:szCs w:val="20"/>
              </w:rPr>
              <w:tab/>
            </w:r>
          </w:p>
          <w:p w:rsidR="00602BB5" w:rsidRDefault="002B6BB4">
            <w:pPr>
              <w:tabs>
                <w:tab w:val="right" w:leader="dot" w:pos="9480"/>
              </w:tabs>
              <w:spacing w:before="60" w:after="60"/>
              <w:rPr>
                <w:sz w:val="20"/>
                <w:szCs w:val="20"/>
              </w:rPr>
            </w:pPr>
            <w:proofErr w:type="spellStart"/>
            <w:r>
              <w:rPr>
                <w:sz w:val="20"/>
                <w:szCs w:val="20"/>
              </w:rPr>
              <w:t>E-mail:Abdul.qaisrani@agriculture.gov.au</w:t>
            </w:r>
            <w:proofErr w:type="spellEnd"/>
            <w:r>
              <w:rPr>
                <w:sz w:val="20"/>
                <w:szCs w:val="20"/>
              </w:rPr>
              <w:tab/>
            </w:r>
          </w:p>
        </w:tc>
      </w:tr>
      <w:tr w:rsidR="00602BB5">
        <w:trPr>
          <w:trHeight w:val="273"/>
          <w:jc w:val="center"/>
        </w:trPr>
        <w:tc>
          <w:tcPr>
            <w:tcW w:w="5000" w:type="pct"/>
            <w:gridSpan w:val="3"/>
          </w:tcPr>
          <w:p w:rsidR="00602BB5" w:rsidRDefault="002B6BB4">
            <w:r>
              <w:rPr>
                <w:b/>
                <w:u w:val="single"/>
              </w:rPr>
              <w:t>Type of topic:</w:t>
            </w:r>
            <w:r>
              <w:t xml:space="preserve"> (Choose one box only)</w:t>
            </w:r>
          </w:p>
        </w:tc>
      </w:tr>
      <w:tr w:rsidR="00602BB5">
        <w:trPr>
          <w:trHeight w:val="2039"/>
          <w:jc w:val="center"/>
        </w:trPr>
        <w:tc>
          <w:tcPr>
            <w:tcW w:w="1269" w:type="pct"/>
          </w:tcPr>
          <w:p w:rsidR="00602BB5" w:rsidRDefault="002B6BB4">
            <w:pPr>
              <w:spacing w:before="120"/>
            </w:pPr>
            <w:r>
              <w:lastRenderedPageBreak/>
              <w:t>A. New ISPM:</w:t>
            </w:r>
          </w:p>
          <w:p w:rsidR="00602BB5" w:rsidRDefault="002B6BB4">
            <w:pPr>
              <w:rPr>
                <w:sz w:val="20"/>
                <w:szCs w:val="20"/>
              </w:rPr>
            </w:pPr>
            <w:r>
              <w:rPr>
                <w:bCs/>
                <w:sz w:val="20"/>
                <w:szCs w:val="20"/>
              </w:rPr>
              <w:t>[_</w:t>
            </w:r>
            <w:r>
              <w:rPr>
                <w:bCs/>
                <w:sz w:val="20"/>
                <w:szCs w:val="20"/>
              </w:rPr>
              <w:sym w:font="Wingdings" w:char="F06E"/>
            </w:r>
            <w:r>
              <w:rPr>
                <w:bCs/>
                <w:sz w:val="20"/>
                <w:szCs w:val="20"/>
              </w:rPr>
              <w:t>_]</w:t>
            </w:r>
            <w:r>
              <w:rPr>
                <w:sz w:val="20"/>
                <w:szCs w:val="20"/>
              </w:rPr>
              <w:t xml:space="preserve"> Concept</w:t>
            </w:r>
          </w:p>
          <w:p w:rsidR="00602BB5" w:rsidRDefault="002B6BB4">
            <w:pPr>
              <w:rPr>
                <w:sz w:val="20"/>
                <w:szCs w:val="20"/>
              </w:rPr>
            </w:pPr>
            <w:r>
              <w:rPr>
                <w:bCs/>
                <w:sz w:val="20"/>
                <w:szCs w:val="20"/>
              </w:rPr>
              <w:t>[__]</w:t>
            </w:r>
            <w:r>
              <w:rPr>
                <w:sz w:val="20"/>
                <w:szCs w:val="20"/>
              </w:rPr>
              <w:t xml:space="preserve"> Pest specific</w:t>
            </w:r>
          </w:p>
          <w:p w:rsidR="00602BB5" w:rsidRDefault="002B6BB4">
            <w:pPr>
              <w:rPr>
                <w:sz w:val="20"/>
                <w:szCs w:val="20"/>
              </w:rPr>
            </w:pPr>
            <w:r>
              <w:rPr>
                <w:bCs/>
                <w:sz w:val="20"/>
                <w:szCs w:val="20"/>
              </w:rPr>
              <w:t>[__]</w:t>
            </w:r>
            <w:r>
              <w:rPr>
                <w:sz w:val="20"/>
                <w:szCs w:val="20"/>
              </w:rPr>
              <w:t xml:space="preserve"> Commodity specific</w:t>
            </w:r>
          </w:p>
          <w:p w:rsidR="00602BB5" w:rsidRDefault="002B6BB4">
            <w:r>
              <w:rPr>
                <w:bCs/>
                <w:sz w:val="20"/>
                <w:szCs w:val="20"/>
              </w:rPr>
              <w:t xml:space="preserve">[__] </w:t>
            </w:r>
            <w:r>
              <w:rPr>
                <w:sz w:val="20"/>
                <w:szCs w:val="20"/>
              </w:rPr>
              <w:t>Reference</w:t>
            </w:r>
          </w:p>
        </w:tc>
        <w:tc>
          <w:tcPr>
            <w:tcW w:w="1807" w:type="pct"/>
          </w:tcPr>
          <w:p w:rsidR="00602BB5" w:rsidRDefault="002B6BB4">
            <w:pPr>
              <w:spacing w:before="120"/>
            </w:pPr>
            <w:r>
              <w:t>B. New component</w:t>
            </w:r>
          </w:p>
          <w:p w:rsidR="00602BB5" w:rsidRDefault="002B6BB4">
            <w:r>
              <w:t>to an existing ISPM:</w:t>
            </w:r>
          </w:p>
          <w:p w:rsidR="00602BB5" w:rsidRDefault="002B6BB4">
            <w:pPr>
              <w:rPr>
                <w:sz w:val="20"/>
                <w:szCs w:val="20"/>
              </w:rPr>
            </w:pPr>
            <w:r>
              <w:rPr>
                <w:bCs/>
                <w:sz w:val="20"/>
                <w:szCs w:val="20"/>
              </w:rPr>
              <w:t>[__]</w:t>
            </w:r>
            <w:r>
              <w:rPr>
                <w:sz w:val="20"/>
                <w:szCs w:val="20"/>
              </w:rPr>
              <w:t xml:space="preserve"> Supplement</w:t>
            </w:r>
          </w:p>
          <w:p w:rsidR="00602BB5" w:rsidRDefault="002B6BB4">
            <w:pPr>
              <w:rPr>
                <w:sz w:val="20"/>
                <w:szCs w:val="20"/>
              </w:rPr>
            </w:pPr>
            <w:r>
              <w:rPr>
                <w:bCs/>
                <w:sz w:val="20"/>
                <w:szCs w:val="20"/>
              </w:rPr>
              <w:t>[__]</w:t>
            </w:r>
            <w:r>
              <w:rPr>
                <w:sz w:val="20"/>
                <w:szCs w:val="20"/>
              </w:rPr>
              <w:t xml:space="preserve"> Annex</w:t>
            </w:r>
          </w:p>
          <w:p w:rsidR="00602BB5" w:rsidRDefault="002B6BB4">
            <w:pPr>
              <w:rPr>
                <w:sz w:val="20"/>
                <w:szCs w:val="20"/>
              </w:rPr>
            </w:pPr>
            <w:r>
              <w:rPr>
                <w:bCs/>
                <w:sz w:val="20"/>
                <w:szCs w:val="20"/>
              </w:rPr>
              <w:t>[__]</w:t>
            </w:r>
            <w:r>
              <w:rPr>
                <w:sz w:val="20"/>
                <w:szCs w:val="20"/>
              </w:rPr>
              <w:t xml:space="preserve"> Appendix</w:t>
            </w:r>
          </w:p>
          <w:p w:rsidR="00602BB5" w:rsidRDefault="002B6BB4">
            <w:pPr>
              <w:rPr>
                <w:sz w:val="20"/>
                <w:szCs w:val="20"/>
              </w:rPr>
            </w:pPr>
            <w:r>
              <w:rPr>
                <w:sz w:val="20"/>
                <w:szCs w:val="20"/>
              </w:rPr>
              <w:t>[__] Technical Panel (technical area)</w:t>
            </w:r>
          </w:p>
          <w:p w:rsidR="00602BB5" w:rsidRDefault="002B6BB4">
            <w:pPr>
              <w:ind w:left="423" w:hanging="423"/>
              <w:rPr>
                <w:sz w:val="20"/>
                <w:szCs w:val="20"/>
              </w:rPr>
            </w:pPr>
            <w:r>
              <w:rPr>
                <w:sz w:val="20"/>
                <w:szCs w:val="20"/>
              </w:rPr>
              <w:t>[__] DP: Diagnostic protocol (subject)</w:t>
            </w:r>
          </w:p>
          <w:p w:rsidR="00602BB5" w:rsidRDefault="002B6BB4">
            <w:pPr>
              <w:ind w:left="423" w:hanging="423"/>
              <w:rPr>
                <w:sz w:val="20"/>
                <w:szCs w:val="20"/>
              </w:rPr>
            </w:pPr>
            <w:r>
              <w:rPr>
                <w:sz w:val="20"/>
                <w:szCs w:val="20"/>
              </w:rPr>
              <w:t>[__] PT: Phytosanitary treatment (topic)</w:t>
            </w:r>
          </w:p>
          <w:p w:rsidR="00602BB5" w:rsidRDefault="002B6BB4">
            <w:pPr>
              <w:ind w:left="423" w:hanging="423"/>
              <w:rPr>
                <w:sz w:val="20"/>
                <w:szCs w:val="20"/>
              </w:rPr>
            </w:pPr>
            <w:r>
              <w:rPr>
                <w:sz w:val="20"/>
                <w:szCs w:val="20"/>
              </w:rPr>
              <w:t>[__] Glossary term (subject)</w:t>
            </w:r>
          </w:p>
        </w:tc>
        <w:tc>
          <w:tcPr>
            <w:tcW w:w="1924" w:type="pct"/>
          </w:tcPr>
          <w:p w:rsidR="00602BB5" w:rsidRDefault="002B6BB4">
            <w:pPr>
              <w:spacing w:before="120"/>
            </w:pPr>
            <w:r>
              <w:t>C. Revision/Amendment of:</w:t>
            </w:r>
          </w:p>
          <w:p w:rsidR="00602BB5" w:rsidRDefault="002B6BB4">
            <w:pPr>
              <w:rPr>
                <w:bCs/>
                <w:sz w:val="20"/>
                <w:szCs w:val="20"/>
              </w:rPr>
            </w:pPr>
            <w:r>
              <w:rPr>
                <w:bCs/>
                <w:sz w:val="20"/>
                <w:szCs w:val="20"/>
              </w:rPr>
              <w:t>[__] ISPM</w:t>
            </w:r>
          </w:p>
          <w:p w:rsidR="00602BB5" w:rsidRDefault="002B6BB4">
            <w:pPr>
              <w:rPr>
                <w:bCs/>
                <w:sz w:val="20"/>
                <w:szCs w:val="20"/>
              </w:rPr>
            </w:pPr>
            <w:r>
              <w:rPr>
                <w:bCs/>
                <w:sz w:val="20"/>
                <w:szCs w:val="20"/>
              </w:rPr>
              <w:t>[__] Supplement</w:t>
            </w:r>
          </w:p>
          <w:p w:rsidR="00602BB5" w:rsidRDefault="002B6BB4">
            <w:pPr>
              <w:rPr>
                <w:bCs/>
                <w:sz w:val="20"/>
                <w:szCs w:val="20"/>
              </w:rPr>
            </w:pPr>
            <w:r>
              <w:rPr>
                <w:bCs/>
                <w:sz w:val="20"/>
                <w:szCs w:val="20"/>
              </w:rPr>
              <w:t>[__] Annex</w:t>
            </w:r>
          </w:p>
          <w:p w:rsidR="00602BB5" w:rsidRDefault="002B6BB4">
            <w:pPr>
              <w:rPr>
                <w:bCs/>
                <w:sz w:val="20"/>
                <w:szCs w:val="20"/>
              </w:rPr>
            </w:pPr>
            <w:r>
              <w:rPr>
                <w:bCs/>
                <w:sz w:val="20"/>
                <w:szCs w:val="20"/>
              </w:rPr>
              <w:t>[__] Appendix</w:t>
            </w:r>
          </w:p>
          <w:p w:rsidR="00602BB5" w:rsidRDefault="002B6BB4">
            <w:r>
              <w:rPr>
                <w:bCs/>
                <w:sz w:val="20"/>
                <w:szCs w:val="20"/>
              </w:rPr>
              <w:t>[__] Glossary term</w:t>
            </w:r>
          </w:p>
        </w:tc>
      </w:tr>
      <w:tr w:rsidR="00602BB5">
        <w:trPr>
          <w:trHeight w:val="704"/>
          <w:jc w:val="center"/>
        </w:trPr>
        <w:tc>
          <w:tcPr>
            <w:tcW w:w="5000" w:type="pct"/>
            <w:gridSpan w:val="3"/>
          </w:tcPr>
          <w:p w:rsidR="00602BB5" w:rsidRDefault="002B6BB4">
            <w:pPr>
              <w:tabs>
                <w:tab w:val="right" w:leader="dot" w:pos="4263"/>
                <w:tab w:val="right" w:leader="dot" w:pos="4591"/>
                <w:tab w:val="left" w:leader="dot" w:pos="9360"/>
              </w:tabs>
              <w:spacing w:before="60"/>
              <w:ind w:right="62"/>
            </w:pPr>
            <w:r>
              <w:rPr>
                <w:b/>
                <w:sz w:val="20"/>
                <w:szCs w:val="20"/>
                <w:u w:val="single"/>
              </w:rPr>
              <w:t>Proposed title of new ISPM or component:</w:t>
            </w:r>
            <w:r>
              <w:rPr>
                <w:b/>
                <w:sz w:val="20"/>
                <w:szCs w:val="20"/>
              </w:rPr>
              <w:t xml:space="preserve">              or                   </w:t>
            </w:r>
            <w:r>
              <w:rPr>
                <w:b/>
                <w:sz w:val="20"/>
                <w:szCs w:val="20"/>
                <w:u w:val="single"/>
              </w:rPr>
              <w:t xml:space="preserve">Title of document to be revised or amended: </w:t>
            </w:r>
            <w:r>
              <w:rPr>
                <w:sz w:val="20"/>
                <w:szCs w:val="20"/>
              </w:rPr>
              <w:t>Guidelines for Empty Bulk Vessel Inspection and Approval for Loading Plants and Plant Products for Export</w:t>
            </w:r>
          </w:p>
        </w:tc>
      </w:tr>
      <w:tr w:rsidR="00602BB5">
        <w:trPr>
          <w:trHeight w:val="704"/>
          <w:jc w:val="center"/>
        </w:trPr>
        <w:tc>
          <w:tcPr>
            <w:tcW w:w="5000" w:type="pct"/>
            <w:gridSpan w:val="3"/>
          </w:tcPr>
          <w:p w:rsidR="00602BB5" w:rsidRDefault="002B6BB4">
            <w:pPr>
              <w:tabs>
                <w:tab w:val="right" w:leader="dot" w:pos="4263"/>
                <w:tab w:val="right" w:leader="dot" w:pos="4591"/>
                <w:tab w:val="left" w:leader="dot" w:pos="9360"/>
              </w:tabs>
              <w:spacing w:before="60"/>
              <w:ind w:right="62"/>
              <w:rPr>
                <w:b/>
                <w:sz w:val="20"/>
                <w:szCs w:val="20"/>
                <w:u w:val="single"/>
              </w:rPr>
            </w:pPr>
            <w:r>
              <w:rPr>
                <w:b/>
                <w:sz w:val="20"/>
                <w:szCs w:val="20"/>
                <w:u w:val="single"/>
              </w:rPr>
              <w:t>Summary justification for the proposal (two sentences maximum):</w:t>
            </w:r>
          </w:p>
          <w:p w:rsidR="00602BB5" w:rsidRDefault="00602BB5">
            <w:pPr>
              <w:tabs>
                <w:tab w:val="right" w:leader="dot" w:pos="4263"/>
                <w:tab w:val="right" w:leader="dot" w:pos="4591"/>
                <w:tab w:val="left" w:leader="dot" w:pos="9360"/>
              </w:tabs>
              <w:spacing w:before="60"/>
              <w:ind w:right="62"/>
              <w:rPr>
                <w:b/>
                <w:sz w:val="20"/>
                <w:szCs w:val="20"/>
                <w:u w:val="single"/>
              </w:rPr>
            </w:pPr>
          </w:p>
          <w:p w:rsidR="00602BB5" w:rsidRDefault="002B6BB4">
            <w:pPr>
              <w:autoSpaceDE w:val="0"/>
              <w:autoSpaceDN w:val="0"/>
              <w:adjustRightInd w:val="0"/>
              <w:rPr>
                <w:sz w:val="20"/>
                <w:szCs w:val="20"/>
              </w:rPr>
            </w:pPr>
            <w:r>
              <w:rPr>
                <w:rFonts w:eastAsia="Times New Roman"/>
                <w:sz w:val="20"/>
                <w:szCs w:val="20"/>
                <w:lang w:eastAsia="en-AU"/>
              </w:rPr>
              <w:t>Bulk vessel inspections are one of the most complex and detailed procedures primarily relying on the diligence of officials in detecting infestations and residues which could contaminate or infest prescribed goods after loading. The officials must have a thorough understanding of a variety of procedures and processes so they may adapt to a wide range of circumstances encountered in bulk vessel inspections, and enable them to perform their duties efficiently and confidently.</w:t>
            </w:r>
          </w:p>
        </w:tc>
      </w:tr>
      <w:tr w:rsidR="00602BB5">
        <w:trPr>
          <w:trHeight w:val="891"/>
          <w:jc w:val="center"/>
        </w:trPr>
        <w:tc>
          <w:tcPr>
            <w:tcW w:w="5000" w:type="pct"/>
            <w:gridSpan w:val="3"/>
          </w:tcPr>
          <w:p w:rsidR="00602BB5" w:rsidRDefault="002B6BB4">
            <w:pPr>
              <w:rPr>
                <w:rFonts w:cs="Times-Roman"/>
                <w:color w:val="000000"/>
                <w:sz w:val="20"/>
                <w:szCs w:val="20"/>
              </w:rPr>
            </w:pPr>
            <w:r>
              <w:rPr>
                <w:rFonts w:cs="Times-Roman"/>
                <w:color w:val="000000"/>
                <w:sz w:val="20"/>
                <w:szCs w:val="20"/>
              </w:rPr>
              <w:t xml:space="preserve">Submissions should address the applicable criteria for justification of the proposal (as listed below). Where possible, information in support of the justification and that may assist in the prioritization should be indicated. </w:t>
            </w:r>
          </w:p>
          <w:p w:rsidR="00602BB5" w:rsidRDefault="002B6BB4">
            <w:pPr>
              <w:rPr>
                <w:rFonts w:cs="Times-Roman"/>
                <w:b/>
                <w:color w:val="000000"/>
                <w:sz w:val="20"/>
                <w:szCs w:val="20"/>
              </w:rPr>
            </w:pPr>
            <w:r>
              <w:rPr>
                <w:rFonts w:cs="Times-Roman"/>
                <w:b/>
                <w:color w:val="000000"/>
                <w:sz w:val="20"/>
                <w:szCs w:val="20"/>
              </w:rPr>
              <w:t>All core criteria must be addressed; supporting criteria should be addressed if applicable.</w:t>
            </w:r>
          </w:p>
          <w:p w:rsidR="00602BB5" w:rsidRDefault="00602BB5">
            <w:pPr>
              <w:rPr>
                <w:b/>
              </w:rPr>
            </w:pPr>
          </w:p>
        </w:tc>
      </w:tr>
      <w:tr w:rsidR="00602BB5">
        <w:trPr>
          <w:trHeight w:val="344"/>
          <w:jc w:val="center"/>
        </w:trPr>
        <w:tc>
          <w:tcPr>
            <w:tcW w:w="5000" w:type="pct"/>
            <w:gridSpan w:val="3"/>
          </w:tcPr>
          <w:p w:rsidR="00602BB5" w:rsidRDefault="002B6BB4">
            <w:pPr>
              <w:autoSpaceDE w:val="0"/>
              <w:autoSpaceDN w:val="0"/>
              <w:adjustRightInd w:val="0"/>
              <w:rPr>
                <w:rFonts w:cs="Times-Bold"/>
                <w:b/>
                <w:bCs/>
                <w:sz w:val="20"/>
                <w:szCs w:val="20"/>
                <w:u w:val="single"/>
              </w:rPr>
            </w:pPr>
            <w:r>
              <w:rPr>
                <w:rFonts w:cs="Times-Bold"/>
                <w:b/>
                <w:bCs/>
                <w:sz w:val="20"/>
                <w:szCs w:val="20"/>
                <w:u w:val="single"/>
              </w:rPr>
              <w:t>Core criteria:</w:t>
            </w:r>
          </w:p>
        </w:tc>
      </w:tr>
      <w:tr w:rsidR="00602BB5">
        <w:trPr>
          <w:trHeight w:val="880"/>
          <w:jc w:val="center"/>
        </w:trPr>
        <w:tc>
          <w:tcPr>
            <w:tcW w:w="5000" w:type="pct"/>
            <w:gridSpan w:val="3"/>
          </w:tcPr>
          <w:p w:rsidR="00602BB5" w:rsidRDefault="002B6BB4">
            <w:pPr>
              <w:autoSpaceDE w:val="0"/>
              <w:autoSpaceDN w:val="0"/>
              <w:adjustRightInd w:val="0"/>
              <w:rPr>
                <w:color w:val="000000" w:themeColor="text1"/>
                <w:sz w:val="20"/>
                <w:szCs w:val="20"/>
              </w:rPr>
            </w:pPr>
            <w:r>
              <w:rPr>
                <w:color w:val="000000" w:themeColor="text1"/>
                <w:sz w:val="20"/>
                <w:szCs w:val="20"/>
              </w:rPr>
              <w:t>Contribution to the purpose of the IPPC as described in Article I.1.</w:t>
            </w:r>
          </w:p>
          <w:p w:rsidR="00602BB5" w:rsidRDefault="002B6BB4">
            <w:pPr>
              <w:autoSpaceDE w:val="0"/>
              <w:autoSpaceDN w:val="0"/>
              <w:adjustRightInd w:val="0"/>
              <w:rPr>
                <w:color w:val="000000" w:themeColor="text1"/>
                <w:sz w:val="20"/>
                <w:szCs w:val="20"/>
              </w:rPr>
            </w:pPr>
            <w:r>
              <w:rPr>
                <w:color w:val="000000" w:themeColor="text1"/>
                <w:sz w:val="20"/>
                <w:szCs w:val="20"/>
              </w:rPr>
              <w:t xml:space="preserve">Empty vessel inspection is undertaken to obtain a first-hand validation of a vessel’s condition and suitability for loading export compliant consumable and non-consumable goods into a vessel. The bulk vessel inspection primarily ensures the phytosanitary integrity of export compliant goods is not compromised due to the presence of live insects, contaminants or </w:t>
            </w:r>
            <w:proofErr w:type="spellStart"/>
            <w:r>
              <w:rPr>
                <w:color w:val="000000" w:themeColor="text1"/>
                <w:sz w:val="20"/>
                <w:szCs w:val="20"/>
              </w:rPr>
              <w:t>infestible</w:t>
            </w:r>
            <w:proofErr w:type="spellEnd"/>
            <w:r>
              <w:rPr>
                <w:color w:val="000000" w:themeColor="text1"/>
                <w:sz w:val="20"/>
                <w:szCs w:val="20"/>
              </w:rPr>
              <w:t xml:space="preserve"> residues that may harbour insects, on the vessel.</w:t>
            </w:r>
          </w:p>
          <w:p w:rsidR="00602BB5" w:rsidRDefault="002B6BB4">
            <w:pPr>
              <w:pStyle w:val="schedulepara"/>
              <w:rPr>
                <w:rFonts w:cs="Times-Bold"/>
                <w:b/>
                <w:bCs/>
                <w:sz w:val="20"/>
                <w:szCs w:val="20"/>
                <w:u w:val="single"/>
              </w:rPr>
            </w:pPr>
            <w:r>
              <w:rPr>
                <w:color w:val="000000" w:themeColor="text1"/>
                <w:sz w:val="20"/>
                <w:szCs w:val="20"/>
              </w:rPr>
              <w:t xml:space="preserve">The authorised officers are required to conduct the inspection of empty holds where export compliant goods intended for export are to be stored. The authorised officer conducting the inspection of empty vessel must ensure that the probability of cross-infestation or contamination of the export compliant goods is very low – the holds must be secure, must not leak water and must not allow cross-contamination of products. The officers must inspect the holds for the presence of pests, including insects, rodents and other vermin, contaminants and other material capable of harbouring pests or compromising the integrity of export compliant goods in any way. </w:t>
            </w:r>
          </w:p>
        </w:tc>
      </w:tr>
      <w:tr w:rsidR="00602BB5">
        <w:trPr>
          <w:trHeight w:val="1145"/>
          <w:jc w:val="center"/>
        </w:trPr>
        <w:tc>
          <w:tcPr>
            <w:tcW w:w="5000" w:type="pct"/>
            <w:gridSpan w:val="3"/>
          </w:tcPr>
          <w:p w:rsidR="00602BB5" w:rsidRDefault="002B6BB4">
            <w:pPr>
              <w:rPr>
                <w:sz w:val="18"/>
                <w:szCs w:val="18"/>
              </w:rPr>
            </w:pPr>
            <w:r>
              <w:rPr>
                <w:sz w:val="18"/>
                <w:szCs w:val="18"/>
              </w:rPr>
              <w:lastRenderedPageBreak/>
              <w:t>Feasibility of implementation at the global level (includes ease of implementation, technical complexity, capacity of NPPOs to implement, relevance for more than one region).</w:t>
            </w:r>
          </w:p>
          <w:p w:rsidR="00602BB5" w:rsidRDefault="002B6BB4">
            <w:pPr>
              <w:autoSpaceDE w:val="0"/>
              <w:autoSpaceDN w:val="0"/>
              <w:adjustRightInd w:val="0"/>
              <w:rPr>
                <w:rFonts w:cs="Times-Bold"/>
                <w:bCs/>
                <w:sz w:val="20"/>
                <w:szCs w:val="20"/>
              </w:rPr>
            </w:pPr>
            <w:r>
              <w:rPr>
                <w:rFonts w:cs="Times-Bold"/>
                <w:bCs/>
                <w:sz w:val="20"/>
                <w:szCs w:val="20"/>
              </w:rPr>
              <w:t>The guidelines on empty bulk vessels are to provide necessary details to the NPPOs of the country already using vessel inspection and approval as part of their phytosanitary inspection and certification processes for regulated articles. For the NPPOs that are considering to implement or to establish bulk vessel inspection and approval procedures, the guidelines will assist them in making informed decision. Overall, the empty bulk vessel inspections and approval are going to be very helpful in maintaining the phytosanitary integrity of export compliant goods with low risk of re-infestation or contamination due to poor hygienic conditions of holds.</w:t>
            </w:r>
          </w:p>
        </w:tc>
      </w:tr>
      <w:tr w:rsidR="00602BB5">
        <w:trPr>
          <w:trHeight w:val="1145"/>
          <w:jc w:val="center"/>
        </w:trPr>
        <w:tc>
          <w:tcPr>
            <w:tcW w:w="5000" w:type="pct"/>
            <w:gridSpan w:val="3"/>
          </w:tcPr>
          <w:p w:rsidR="00602BB5" w:rsidRDefault="002B6BB4">
            <w:pPr>
              <w:autoSpaceDE w:val="0"/>
              <w:autoSpaceDN w:val="0"/>
              <w:adjustRightInd w:val="0"/>
              <w:rPr>
                <w:rFonts w:cs="Times-Roman"/>
                <w:sz w:val="18"/>
                <w:szCs w:val="18"/>
              </w:rPr>
            </w:pPr>
            <w:r>
              <w:rPr>
                <w:sz w:val="18"/>
                <w:szCs w:val="18"/>
              </w:rPr>
              <w:t>Clear identification of the problems that need to be resolved through the development of the standard.</w:t>
            </w:r>
          </w:p>
          <w:p w:rsidR="00602BB5" w:rsidRDefault="00602BB5">
            <w:pPr>
              <w:autoSpaceDE w:val="0"/>
              <w:autoSpaceDN w:val="0"/>
              <w:adjustRightInd w:val="0"/>
              <w:rPr>
                <w:rFonts w:cs="Times-Bold"/>
                <w:bCs/>
                <w:sz w:val="20"/>
                <w:szCs w:val="20"/>
              </w:rPr>
            </w:pPr>
          </w:p>
          <w:p w:rsidR="00602BB5" w:rsidRDefault="002B6BB4">
            <w:pPr>
              <w:autoSpaceDE w:val="0"/>
              <w:autoSpaceDN w:val="0"/>
              <w:adjustRightInd w:val="0"/>
              <w:rPr>
                <w:rFonts w:cs="Times-Bold"/>
                <w:bCs/>
                <w:color w:val="000000" w:themeColor="text1"/>
                <w:sz w:val="20"/>
                <w:szCs w:val="20"/>
              </w:rPr>
            </w:pPr>
            <w:r>
              <w:rPr>
                <w:rFonts w:cs="Times-Bold"/>
                <w:bCs/>
                <w:color w:val="000000" w:themeColor="text1"/>
                <w:sz w:val="20"/>
                <w:szCs w:val="20"/>
              </w:rPr>
              <w:t xml:space="preserve">ISPM No 23 describes standards for the inspection of plants and plant products and other regulated articles. This standard is focussed on the determination of compliance with phytosanitary requirements, based on visual examination, and documentary, identity and integrity checks. The phytosanitary integrity of export compliant goods can easily be compromised if the transport units such as bulk vessel holds are not suitable for exporting goods. The export compliant goods could be re-infested or contaminated if live insects or </w:t>
            </w:r>
            <w:proofErr w:type="spellStart"/>
            <w:r>
              <w:rPr>
                <w:rFonts w:cs="Times-Bold"/>
                <w:bCs/>
                <w:color w:val="000000" w:themeColor="text1"/>
                <w:sz w:val="20"/>
                <w:szCs w:val="20"/>
              </w:rPr>
              <w:t>infestible</w:t>
            </w:r>
            <w:proofErr w:type="spellEnd"/>
            <w:r>
              <w:rPr>
                <w:rFonts w:cs="Times-Bold"/>
                <w:bCs/>
                <w:color w:val="000000" w:themeColor="text1"/>
                <w:sz w:val="20"/>
                <w:szCs w:val="20"/>
              </w:rPr>
              <w:t xml:space="preserve"> residues or contaminants are present in the vessel holds, especially where loose bulk goods intended for export are stored. Empty bulk vessel inspection will assist in maintaining the phytosanitary integrity of the export compliant goods and save costs associated with goods being treated on arrival or rejected due to infestation and contamination originating from bulk vessel. A harmonised process would reduce costs and burdens for both importing and exporting NPPOs and maintain the phytosanitary integrity of export compliant goods during transport.</w:t>
            </w:r>
          </w:p>
          <w:p w:rsidR="00602BB5" w:rsidRDefault="00602BB5">
            <w:pPr>
              <w:autoSpaceDE w:val="0"/>
              <w:autoSpaceDN w:val="0"/>
              <w:adjustRightInd w:val="0"/>
              <w:rPr>
                <w:rFonts w:cs="Times-Bold"/>
                <w:b/>
                <w:bCs/>
                <w:sz w:val="20"/>
                <w:szCs w:val="20"/>
                <w:u w:val="single"/>
              </w:rPr>
            </w:pPr>
          </w:p>
        </w:tc>
      </w:tr>
      <w:tr w:rsidR="00602BB5">
        <w:trPr>
          <w:trHeight w:val="1145"/>
          <w:jc w:val="center"/>
        </w:trPr>
        <w:tc>
          <w:tcPr>
            <w:tcW w:w="5000" w:type="pct"/>
            <w:gridSpan w:val="3"/>
          </w:tcPr>
          <w:p w:rsidR="00602BB5" w:rsidRDefault="002B6BB4">
            <w:pPr>
              <w:autoSpaceDE w:val="0"/>
              <w:autoSpaceDN w:val="0"/>
              <w:adjustRightInd w:val="0"/>
              <w:rPr>
                <w:rFonts w:cs="Times-Roman"/>
                <w:sz w:val="18"/>
                <w:szCs w:val="18"/>
              </w:rPr>
            </w:pPr>
            <w:r>
              <w:rPr>
                <w:sz w:val="18"/>
                <w:szCs w:val="18"/>
              </w:rPr>
              <w:t>Availability of, or possibility to collect, information in support of the proposed standard (e.g. scientific, historical, technical information, experience).</w:t>
            </w:r>
          </w:p>
          <w:p w:rsidR="00602BB5" w:rsidRDefault="002B6BB4">
            <w:pPr>
              <w:rPr>
                <w:rFonts w:eastAsia="Times New Roman"/>
                <w:color w:val="000000" w:themeColor="text1"/>
                <w:sz w:val="20"/>
                <w:szCs w:val="20"/>
                <w:lang w:eastAsia="en-AU"/>
              </w:rPr>
            </w:pPr>
            <w:r>
              <w:rPr>
                <w:rFonts w:cs="Times-Bold"/>
                <w:bCs/>
                <w:color w:val="000000" w:themeColor="text1"/>
                <w:sz w:val="20"/>
                <w:szCs w:val="20"/>
              </w:rPr>
              <w:t xml:space="preserve">- </w:t>
            </w:r>
            <w:r>
              <w:rPr>
                <w:rFonts w:eastAsia="Times New Roman"/>
                <w:bCs/>
                <w:i/>
                <w:color w:val="000000" w:themeColor="text1"/>
                <w:sz w:val="20"/>
                <w:szCs w:val="20"/>
                <w:lang w:eastAsia="en-AU"/>
              </w:rPr>
              <w:t>Export Control (Plants and Plant Products) Order 2011</w:t>
            </w:r>
            <w:r>
              <w:rPr>
                <w:rFonts w:eastAsia="Times New Roman"/>
                <w:color w:val="000000" w:themeColor="text1"/>
                <w:sz w:val="20"/>
                <w:szCs w:val="20"/>
                <w:lang w:eastAsia="en-AU"/>
              </w:rPr>
              <w:t xml:space="preserve"> (Australia)</w:t>
            </w:r>
          </w:p>
          <w:p w:rsidR="00602BB5" w:rsidRDefault="002B6BB4">
            <w:pPr>
              <w:rPr>
                <w:rFonts w:eastAsia="Times New Roman"/>
                <w:color w:val="000000" w:themeColor="text1"/>
                <w:sz w:val="20"/>
                <w:szCs w:val="20"/>
                <w:lang w:eastAsia="en-AU"/>
              </w:rPr>
            </w:pPr>
            <w:r>
              <w:rPr>
                <w:rFonts w:eastAsia="Times New Roman"/>
                <w:color w:val="000000" w:themeColor="text1"/>
                <w:sz w:val="20"/>
                <w:szCs w:val="20"/>
                <w:lang w:eastAsia="en-AU"/>
              </w:rPr>
              <w:t>- Plant Export Operation Manual – Bulk Vessel Inspection (Australian Government Department of Agriculture)</w:t>
            </w:r>
          </w:p>
          <w:p w:rsidR="00602BB5" w:rsidRDefault="002B6BB4">
            <w:pPr>
              <w:rPr>
                <w:rFonts w:eastAsia="Times New Roman"/>
                <w:color w:val="000000" w:themeColor="text1"/>
                <w:sz w:val="20"/>
                <w:szCs w:val="20"/>
                <w:lang w:eastAsia="en-AU"/>
              </w:rPr>
            </w:pPr>
            <w:r>
              <w:rPr>
                <w:rFonts w:eastAsia="Times New Roman"/>
                <w:color w:val="000000" w:themeColor="text1"/>
                <w:sz w:val="20"/>
                <w:szCs w:val="20"/>
                <w:lang w:eastAsia="en-AU"/>
              </w:rPr>
              <w:t>- Inspection of empty bulk vessel (Australian Government Department of Agriculture)</w:t>
            </w:r>
          </w:p>
          <w:p w:rsidR="00602BB5" w:rsidRDefault="002B6BB4">
            <w:pPr>
              <w:rPr>
                <w:rFonts w:eastAsia="Times New Roman"/>
                <w:color w:val="000000" w:themeColor="text1"/>
                <w:sz w:val="20"/>
                <w:szCs w:val="20"/>
                <w:lang w:eastAsia="en-AU"/>
              </w:rPr>
            </w:pPr>
            <w:r>
              <w:rPr>
                <w:rFonts w:eastAsia="Times New Roman"/>
                <w:color w:val="000000" w:themeColor="text1"/>
                <w:sz w:val="20"/>
                <w:szCs w:val="20"/>
                <w:lang w:eastAsia="en-AU"/>
              </w:rPr>
              <w:t>- Bulk Cargoes – Hold Preparation and Cleaning (</w:t>
            </w:r>
            <w:r>
              <w:rPr>
                <w:rFonts w:eastAsia="Times New Roman"/>
                <w:sz w:val="20"/>
                <w:szCs w:val="20"/>
                <w:lang w:eastAsia="en-AU"/>
              </w:rPr>
              <w:t>http://standard-club.com/media/23964/15056CargoJan2011Bulletinv06.pdf</w:t>
            </w:r>
            <w:r>
              <w:rPr>
                <w:rFonts w:eastAsia="Times New Roman"/>
                <w:color w:val="000000" w:themeColor="text1"/>
                <w:sz w:val="20"/>
                <w:szCs w:val="20"/>
                <w:lang w:eastAsia="en-AU"/>
              </w:rPr>
              <w:t>).</w:t>
            </w:r>
          </w:p>
          <w:p w:rsidR="00602BB5" w:rsidRDefault="002B6BB4">
            <w:pPr>
              <w:rPr>
                <w:rFonts w:eastAsia="Times New Roman"/>
                <w:bCs/>
                <w:kern w:val="36"/>
                <w:sz w:val="20"/>
                <w:szCs w:val="20"/>
                <w:lang w:eastAsia="en-AU"/>
              </w:rPr>
            </w:pPr>
            <w:r>
              <w:rPr>
                <w:rFonts w:eastAsia="Times New Roman"/>
                <w:color w:val="000000" w:themeColor="text1"/>
                <w:sz w:val="20"/>
                <w:szCs w:val="20"/>
                <w:lang w:eastAsia="en-AU"/>
              </w:rPr>
              <w:t xml:space="preserve">- </w:t>
            </w:r>
            <w:r>
              <w:rPr>
                <w:rFonts w:eastAsia="Times New Roman"/>
                <w:bCs/>
                <w:kern w:val="36"/>
                <w:sz w:val="20"/>
                <w:szCs w:val="20"/>
                <w:lang w:eastAsia="en-AU"/>
              </w:rPr>
              <w:t>PI-008: Inspecting Ships that Carry Grain and Grain Products for Export (http://www.inspection.gc.ca/plants/grains-and-field-crops/exports/pi-008/eng/1328495612131/1328495722814)</w:t>
            </w:r>
          </w:p>
          <w:p w:rsidR="00602BB5" w:rsidRDefault="00602BB5">
            <w:pPr>
              <w:rPr>
                <w:rFonts w:eastAsia="Times New Roman"/>
                <w:color w:val="000000" w:themeColor="text1"/>
                <w:sz w:val="20"/>
                <w:szCs w:val="20"/>
                <w:lang w:eastAsia="en-AU"/>
              </w:rPr>
            </w:pPr>
          </w:p>
          <w:p w:rsidR="00602BB5" w:rsidRDefault="00602BB5">
            <w:pPr>
              <w:autoSpaceDE w:val="0"/>
              <w:autoSpaceDN w:val="0"/>
              <w:adjustRightInd w:val="0"/>
              <w:rPr>
                <w:rFonts w:cs="Times-Bold"/>
                <w:b/>
                <w:bCs/>
                <w:sz w:val="20"/>
                <w:szCs w:val="20"/>
                <w:u w:val="single"/>
              </w:rPr>
            </w:pPr>
          </w:p>
        </w:tc>
      </w:tr>
    </w:tbl>
    <w:p w:rsidR="00602BB5" w:rsidRDefault="00602BB5"/>
    <w:tbl>
      <w:tblPr>
        <w:tblpPr w:leftFromText="180" w:rightFromText="180" w:vertAnchor="text" w:tblpXSpec="center" w:tblpY="1"/>
        <w:tblOverlap w:val="neve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897"/>
      </w:tblGrid>
      <w:tr w:rsidR="00602BB5">
        <w:trPr>
          <w:trHeight w:val="2943"/>
        </w:trPr>
        <w:tc>
          <w:tcPr>
            <w:tcW w:w="9897" w:type="dxa"/>
            <w:tcMar>
              <w:top w:w="28" w:type="dxa"/>
              <w:bottom w:w="57" w:type="dxa"/>
            </w:tcMar>
          </w:tcPr>
          <w:p w:rsidR="00602BB5" w:rsidRDefault="002B6BB4">
            <w:pPr>
              <w:autoSpaceDE w:val="0"/>
              <w:autoSpaceDN w:val="0"/>
              <w:adjustRightInd w:val="0"/>
              <w:rPr>
                <w:rFonts w:cs="Times-Bold"/>
                <w:b/>
                <w:bCs/>
                <w:sz w:val="18"/>
                <w:szCs w:val="18"/>
                <w:u w:val="single"/>
              </w:rPr>
            </w:pPr>
            <w:r>
              <w:rPr>
                <w:rFonts w:cs="Times-Bold"/>
                <w:b/>
                <w:bCs/>
                <w:sz w:val="18"/>
                <w:szCs w:val="18"/>
                <w:u w:val="single"/>
              </w:rPr>
              <w:lastRenderedPageBreak/>
              <w:t>Supporting criteria (Practical)</w:t>
            </w:r>
          </w:p>
          <w:p w:rsidR="00602BB5" w:rsidRDefault="002B6BB4">
            <w:pPr>
              <w:numPr>
                <w:ilvl w:val="0"/>
                <w:numId w:val="11"/>
              </w:numPr>
              <w:autoSpaceDE w:val="0"/>
              <w:autoSpaceDN w:val="0"/>
              <w:adjustRightInd w:val="0"/>
              <w:rPr>
                <w:rFonts w:cs="Times-Roman"/>
                <w:sz w:val="18"/>
                <w:szCs w:val="18"/>
              </w:rPr>
            </w:pPr>
            <w:r>
              <w:rPr>
                <w:sz w:val="18"/>
                <w:szCs w:val="18"/>
              </w:rPr>
              <w:t>Feasibility of adopting the proposed standard within a reasonable time frame</w:t>
            </w:r>
            <w:r>
              <w:rPr>
                <w:rFonts w:cs="Times-Roman"/>
                <w:sz w:val="18"/>
                <w:szCs w:val="18"/>
              </w:rPr>
              <w:t>.</w:t>
            </w:r>
          </w:p>
          <w:p w:rsidR="00602BB5" w:rsidRDefault="002B6BB4">
            <w:pPr>
              <w:numPr>
                <w:ilvl w:val="0"/>
                <w:numId w:val="11"/>
              </w:numPr>
              <w:tabs>
                <w:tab w:val="left" w:pos="720"/>
              </w:tabs>
              <w:rPr>
                <w:sz w:val="18"/>
                <w:szCs w:val="18"/>
              </w:rPr>
            </w:pPr>
            <w:r>
              <w:rPr>
                <w:sz w:val="18"/>
                <w:szCs w:val="18"/>
              </w:rPr>
              <w:t>Stage of development of the proposed standard (is a standard on the same topic already widely used by NPPOs, RPPOs or a relevant international organization).</w:t>
            </w:r>
          </w:p>
          <w:p w:rsidR="00602BB5" w:rsidRDefault="002B6BB4">
            <w:pPr>
              <w:numPr>
                <w:ilvl w:val="0"/>
                <w:numId w:val="11"/>
              </w:numPr>
              <w:autoSpaceDE w:val="0"/>
              <w:autoSpaceDN w:val="0"/>
              <w:adjustRightInd w:val="0"/>
              <w:rPr>
                <w:rFonts w:cs="Times-Roman"/>
                <w:sz w:val="18"/>
                <w:szCs w:val="18"/>
              </w:rPr>
            </w:pPr>
            <w:r>
              <w:rPr>
                <w:sz w:val="18"/>
                <w:szCs w:val="18"/>
              </w:rPr>
              <w:t>Availability of expertise needed to develop the proposed standard.</w:t>
            </w:r>
          </w:p>
          <w:p w:rsidR="00602BB5" w:rsidRDefault="00602BB5">
            <w:pPr>
              <w:autoSpaceDE w:val="0"/>
              <w:autoSpaceDN w:val="0"/>
              <w:adjustRightInd w:val="0"/>
              <w:rPr>
                <w:sz w:val="20"/>
              </w:rPr>
            </w:pPr>
          </w:p>
          <w:p w:rsidR="00602BB5" w:rsidRDefault="002B6BB4">
            <w:pPr>
              <w:autoSpaceDE w:val="0"/>
              <w:autoSpaceDN w:val="0"/>
              <w:adjustRightInd w:val="0"/>
              <w:rPr>
                <w:sz w:val="18"/>
                <w:szCs w:val="18"/>
              </w:rPr>
            </w:pPr>
            <w:r>
              <w:rPr>
                <w:sz w:val="18"/>
                <w:szCs w:val="18"/>
              </w:rPr>
              <w:t xml:space="preserve">This is a proposal for developing an ISPM Standard on Empty Bulk Vessel Inspection and Approval for exporting consumable and non-consumable plant and plant products. </w:t>
            </w:r>
          </w:p>
          <w:p w:rsidR="00602BB5" w:rsidRDefault="00602BB5">
            <w:pPr>
              <w:autoSpaceDE w:val="0"/>
              <w:autoSpaceDN w:val="0"/>
              <w:adjustRightInd w:val="0"/>
              <w:rPr>
                <w:sz w:val="18"/>
                <w:szCs w:val="18"/>
              </w:rPr>
            </w:pPr>
          </w:p>
          <w:p w:rsidR="00602BB5" w:rsidRDefault="002B6BB4">
            <w:pPr>
              <w:autoSpaceDE w:val="0"/>
              <w:autoSpaceDN w:val="0"/>
              <w:adjustRightInd w:val="0"/>
              <w:rPr>
                <w:sz w:val="18"/>
                <w:szCs w:val="18"/>
              </w:rPr>
            </w:pPr>
            <w:r>
              <w:rPr>
                <w:sz w:val="18"/>
                <w:szCs w:val="18"/>
              </w:rPr>
              <w:t xml:space="preserve">The inspection of empty bulk vessel for insects, contaminants and extraneous material will ensure that the potential for re-infestation or contamination is minimised. </w:t>
            </w:r>
          </w:p>
          <w:p w:rsidR="00602BB5" w:rsidRDefault="00602BB5">
            <w:pPr>
              <w:autoSpaceDE w:val="0"/>
              <w:autoSpaceDN w:val="0"/>
              <w:adjustRightInd w:val="0"/>
              <w:rPr>
                <w:sz w:val="18"/>
                <w:szCs w:val="18"/>
              </w:rPr>
            </w:pPr>
          </w:p>
          <w:p w:rsidR="00602BB5" w:rsidRDefault="002B6BB4">
            <w:pPr>
              <w:autoSpaceDE w:val="0"/>
              <w:autoSpaceDN w:val="0"/>
              <w:adjustRightInd w:val="0"/>
              <w:rPr>
                <w:sz w:val="18"/>
                <w:szCs w:val="18"/>
              </w:rPr>
            </w:pPr>
            <w:r>
              <w:rPr>
                <w:sz w:val="18"/>
                <w:szCs w:val="18"/>
              </w:rPr>
              <w:t>Australia and Canada have been using bulk vessel inspection successfully to avoid re-infestation, cross-contamination of export compliant goods during exports in bulk vessel holds.</w:t>
            </w:r>
          </w:p>
          <w:p w:rsidR="00602BB5" w:rsidRDefault="00602BB5">
            <w:pPr>
              <w:autoSpaceDE w:val="0"/>
              <w:autoSpaceDN w:val="0"/>
              <w:adjustRightInd w:val="0"/>
              <w:rPr>
                <w:sz w:val="18"/>
                <w:szCs w:val="18"/>
              </w:rPr>
            </w:pPr>
          </w:p>
          <w:p w:rsidR="00602BB5" w:rsidRDefault="002B6BB4">
            <w:pPr>
              <w:autoSpaceDE w:val="0"/>
              <w:autoSpaceDN w:val="0"/>
              <w:adjustRightInd w:val="0"/>
            </w:pPr>
            <w:r>
              <w:rPr>
                <w:sz w:val="18"/>
                <w:szCs w:val="18"/>
              </w:rPr>
              <w:t>While developing these guidelines, a number of experts have to be involved. It is expected that experts from a range of countries would contribute to the proposed new ISPM.</w:t>
            </w:r>
          </w:p>
        </w:tc>
      </w:tr>
      <w:tr w:rsidR="00602BB5">
        <w:trPr>
          <w:trHeight w:val="3312"/>
        </w:trPr>
        <w:tc>
          <w:tcPr>
            <w:tcW w:w="9897" w:type="dxa"/>
            <w:tcMar>
              <w:top w:w="28" w:type="dxa"/>
              <w:bottom w:w="57" w:type="dxa"/>
            </w:tcMar>
          </w:tcPr>
          <w:p w:rsidR="00602BB5" w:rsidRDefault="002B6BB4">
            <w:pPr>
              <w:autoSpaceDE w:val="0"/>
              <w:autoSpaceDN w:val="0"/>
              <w:adjustRightInd w:val="0"/>
              <w:ind w:left="709" w:hanging="709"/>
              <w:rPr>
                <w:rFonts w:cs="Times-Bold"/>
                <w:b/>
                <w:bCs/>
                <w:sz w:val="18"/>
                <w:szCs w:val="18"/>
              </w:rPr>
            </w:pPr>
            <w:r>
              <w:rPr>
                <w:rFonts w:cs="Times-Bold"/>
                <w:b/>
                <w:bCs/>
                <w:sz w:val="18"/>
                <w:szCs w:val="18"/>
                <w:u w:val="single"/>
              </w:rPr>
              <w:t>Supporting criteria (Economic)</w:t>
            </w:r>
          </w:p>
          <w:p w:rsidR="00602BB5" w:rsidRDefault="002B6BB4">
            <w:pPr>
              <w:numPr>
                <w:ilvl w:val="0"/>
                <w:numId w:val="12"/>
              </w:numPr>
              <w:autoSpaceDE w:val="0"/>
              <w:autoSpaceDN w:val="0"/>
              <w:adjustRightInd w:val="0"/>
              <w:rPr>
                <w:rFonts w:cs="Times-Roman"/>
                <w:sz w:val="18"/>
                <w:szCs w:val="18"/>
              </w:rPr>
            </w:pPr>
            <w:r>
              <w:rPr>
                <w:rFonts w:cs="Times-Roman"/>
                <w:sz w:val="18"/>
                <w:szCs w:val="18"/>
              </w:rPr>
              <w:t>Estimated value of the plants protected.</w:t>
            </w:r>
          </w:p>
          <w:p w:rsidR="00602BB5" w:rsidRDefault="002B6BB4">
            <w:pPr>
              <w:numPr>
                <w:ilvl w:val="0"/>
                <w:numId w:val="12"/>
              </w:numPr>
              <w:autoSpaceDE w:val="0"/>
              <w:autoSpaceDN w:val="0"/>
              <w:adjustRightInd w:val="0"/>
              <w:rPr>
                <w:rFonts w:cs="Times-Roman"/>
                <w:sz w:val="18"/>
                <w:szCs w:val="18"/>
              </w:rPr>
            </w:pPr>
            <w:r>
              <w:rPr>
                <w:sz w:val="18"/>
                <w:szCs w:val="18"/>
              </w:rPr>
              <w:t>Estimated value of trade affected by the proposed standard (e.g. volume of trade, value of trade, the percentage of Gross Domestic Product of this trade) if appropriate.</w:t>
            </w:r>
          </w:p>
          <w:p w:rsidR="00602BB5" w:rsidRDefault="002B6BB4">
            <w:pPr>
              <w:numPr>
                <w:ilvl w:val="0"/>
                <w:numId w:val="12"/>
              </w:numPr>
              <w:tabs>
                <w:tab w:val="left" w:pos="720"/>
              </w:tabs>
              <w:rPr>
                <w:sz w:val="18"/>
                <w:szCs w:val="18"/>
              </w:rPr>
            </w:pPr>
            <w:r>
              <w:rPr>
                <w:sz w:val="18"/>
                <w:szCs w:val="18"/>
              </w:rPr>
              <w:t>Estimated value of new trade opportunities provided by the approval of the proposed standard.</w:t>
            </w:r>
          </w:p>
          <w:p w:rsidR="00602BB5" w:rsidRDefault="002B6BB4">
            <w:pPr>
              <w:numPr>
                <w:ilvl w:val="0"/>
                <w:numId w:val="12"/>
              </w:numPr>
              <w:tabs>
                <w:tab w:val="left" w:pos="720"/>
              </w:tabs>
              <w:rPr>
                <w:sz w:val="18"/>
                <w:szCs w:val="18"/>
              </w:rPr>
            </w:pPr>
            <w:r>
              <w:rPr>
                <w:sz w:val="18"/>
                <w:szCs w:val="18"/>
              </w:rPr>
              <w:t>Potential benefits in terms of pest control or quarantine activities.</w:t>
            </w:r>
          </w:p>
          <w:p w:rsidR="00602BB5" w:rsidRDefault="00602BB5">
            <w:pPr>
              <w:autoSpaceDE w:val="0"/>
              <w:autoSpaceDN w:val="0"/>
              <w:adjustRightInd w:val="0"/>
              <w:rPr>
                <w:rFonts w:cs="Times-Roman"/>
                <w:sz w:val="18"/>
                <w:szCs w:val="18"/>
              </w:rPr>
            </w:pPr>
          </w:p>
          <w:p w:rsidR="00602BB5" w:rsidRDefault="002B6BB4">
            <w:pPr>
              <w:rPr>
                <w:sz w:val="18"/>
                <w:szCs w:val="18"/>
              </w:rPr>
            </w:pPr>
            <w:r>
              <w:rPr>
                <w:sz w:val="18"/>
                <w:szCs w:val="18"/>
              </w:rPr>
              <w:t xml:space="preserve">The development of Empty Bulk Vessel Inspection and Approval Standard will be helpful in avoiding re-infestation, cross infestation, contamination and cross-contamination of export compliant goods intended for export. This will be helpful in avoiding rejection on arrival or costly quarantine treatments if goods were to be infested during transportation in bulk vessels. </w:t>
            </w:r>
          </w:p>
          <w:p w:rsidR="00602BB5" w:rsidRDefault="00602BB5"/>
          <w:p w:rsidR="00602BB5" w:rsidRDefault="00602BB5"/>
          <w:p w:rsidR="00602BB5" w:rsidRDefault="00602BB5"/>
        </w:tc>
      </w:tr>
      <w:tr w:rsidR="00602BB5">
        <w:trPr>
          <w:trHeight w:val="3747"/>
        </w:trPr>
        <w:tc>
          <w:tcPr>
            <w:tcW w:w="9897" w:type="dxa"/>
            <w:tcMar>
              <w:top w:w="28" w:type="dxa"/>
              <w:bottom w:w="57" w:type="dxa"/>
            </w:tcMar>
          </w:tcPr>
          <w:p w:rsidR="00602BB5" w:rsidRDefault="002B6BB4">
            <w:pPr>
              <w:autoSpaceDE w:val="0"/>
              <w:autoSpaceDN w:val="0"/>
              <w:adjustRightInd w:val="0"/>
              <w:ind w:left="709" w:hanging="709"/>
              <w:rPr>
                <w:rFonts w:cs="Times-Bold"/>
                <w:b/>
                <w:bCs/>
                <w:sz w:val="18"/>
                <w:szCs w:val="18"/>
              </w:rPr>
            </w:pPr>
            <w:r>
              <w:rPr>
                <w:rFonts w:cs="Times-Bold"/>
                <w:b/>
                <w:bCs/>
                <w:sz w:val="18"/>
                <w:szCs w:val="18"/>
                <w:u w:val="single"/>
              </w:rPr>
              <w:lastRenderedPageBreak/>
              <w:t>Supporting criteria (Environmental)</w:t>
            </w:r>
          </w:p>
          <w:p w:rsidR="00602BB5" w:rsidRDefault="002B6BB4">
            <w:pPr>
              <w:numPr>
                <w:ilvl w:val="0"/>
                <w:numId w:val="13"/>
              </w:numPr>
              <w:tabs>
                <w:tab w:val="left" w:pos="720"/>
              </w:tabs>
              <w:rPr>
                <w:sz w:val="18"/>
                <w:szCs w:val="18"/>
              </w:rPr>
            </w:pPr>
            <w:r>
              <w:rPr>
                <w:sz w:val="18"/>
                <w:szCs w:val="18"/>
              </w:rPr>
              <w:t>Utility to reduce the potential negative environmental consequences of certain phytosanitary measures, for example reduction in global emissions for the protection of the ozone layer.</w:t>
            </w:r>
          </w:p>
          <w:p w:rsidR="00602BB5" w:rsidRDefault="002B6BB4">
            <w:pPr>
              <w:numPr>
                <w:ilvl w:val="0"/>
                <w:numId w:val="13"/>
              </w:numPr>
              <w:autoSpaceDE w:val="0"/>
              <w:autoSpaceDN w:val="0"/>
              <w:adjustRightInd w:val="0"/>
              <w:rPr>
                <w:rFonts w:cs="Times-Roman"/>
                <w:sz w:val="18"/>
                <w:szCs w:val="18"/>
              </w:rPr>
            </w:pPr>
            <w:r>
              <w:rPr>
                <w:sz w:val="18"/>
                <w:szCs w:val="18"/>
              </w:rPr>
              <w:t xml:space="preserve">Utility in the management of </w:t>
            </w:r>
            <w:proofErr w:type="spellStart"/>
            <w:r>
              <w:rPr>
                <w:sz w:val="18"/>
                <w:szCs w:val="18"/>
              </w:rPr>
              <w:t>non indigenous</w:t>
            </w:r>
            <w:proofErr w:type="spellEnd"/>
            <w:r>
              <w:rPr>
                <w:sz w:val="18"/>
                <w:szCs w:val="18"/>
              </w:rPr>
              <w:t xml:space="preserve"> species which are pests of plants (such as some invasive alien species).</w:t>
            </w:r>
          </w:p>
          <w:p w:rsidR="00602BB5" w:rsidRDefault="002B6BB4">
            <w:pPr>
              <w:numPr>
                <w:ilvl w:val="0"/>
                <w:numId w:val="13"/>
              </w:numPr>
              <w:tabs>
                <w:tab w:val="left" w:pos="720"/>
              </w:tabs>
              <w:rPr>
                <w:sz w:val="18"/>
                <w:szCs w:val="18"/>
              </w:rPr>
            </w:pPr>
            <w:r>
              <w:rPr>
                <w:sz w:val="18"/>
                <w:szCs w:val="18"/>
              </w:rPr>
              <w:t>Contribution to the protection of the environment, through the protection of wild flora, and their habitats and ecosystems, and of agricultural biodiversity.</w:t>
            </w:r>
          </w:p>
          <w:p w:rsidR="00602BB5" w:rsidRDefault="00602BB5">
            <w:pPr>
              <w:autoSpaceDE w:val="0"/>
              <w:autoSpaceDN w:val="0"/>
              <w:adjustRightInd w:val="0"/>
              <w:ind w:left="709" w:hanging="709"/>
              <w:rPr>
                <w:rFonts w:cs="Times-Roman"/>
                <w:sz w:val="18"/>
                <w:szCs w:val="18"/>
              </w:rPr>
            </w:pPr>
          </w:p>
          <w:p w:rsidR="00602BB5" w:rsidRDefault="002B6BB4">
            <w:pPr>
              <w:autoSpaceDE w:val="0"/>
              <w:autoSpaceDN w:val="0"/>
              <w:adjustRightInd w:val="0"/>
              <w:rPr>
                <w:b/>
                <w:u w:val="single"/>
              </w:rPr>
            </w:pPr>
            <w:r>
              <w:rPr>
                <w:sz w:val="18"/>
                <w:szCs w:val="18"/>
              </w:rPr>
              <w:t>The goods are inspected for quarantine pests and contamination. The development of new standards will limit the ability for quarantine pests to spread to new area. The Empty Bulk Vessel Inspection and Approval Guidelines will ensure that the consumable goods are not contaminated with residue from previous consignments and will maintain the sanitary and phytosanitary status of export compliant goods.</w:t>
            </w:r>
          </w:p>
          <w:p w:rsidR="00602BB5" w:rsidRDefault="00602BB5">
            <w:pPr>
              <w:autoSpaceDE w:val="0"/>
              <w:autoSpaceDN w:val="0"/>
              <w:adjustRightInd w:val="0"/>
              <w:ind w:left="709" w:hanging="709"/>
              <w:rPr>
                <w:b/>
                <w:u w:val="single"/>
              </w:rPr>
            </w:pPr>
          </w:p>
          <w:p w:rsidR="00602BB5" w:rsidRDefault="00602BB5">
            <w:pPr>
              <w:autoSpaceDE w:val="0"/>
              <w:autoSpaceDN w:val="0"/>
              <w:adjustRightInd w:val="0"/>
              <w:ind w:left="709" w:hanging="709"/>
              <w:rPr>
                <w:b/>
                <w:u w:val="single"/>
              </w:rPr>
            </w:pPr>
          </w:p>
          <w:p w:rsidR="00602BB5" w:rsidRDefault="00602BB5">
            <w:pPr>
              <w:autoSpaceDE w:val="0"/>
              <w:autoSpaceDN w:val="0"/>
              <w:adjustRightInd w:val="0"/>
              <w:ind w:left="709" w:hanging="709"/>
              <w:rPr>
                <w:b/>
                <w:u w:val="single"/>
              </w:rPr>
            </w:pPr>
          </w:p>
          <w:p w:rsidR="00602BB5" w:rsidRDefault="00602BB5">
            <w:pPr>
              <w:autoSpaceDE w:val="0"/>
              <w:autoSpaceDN w:val="0"/>
              <w:adjustRightInd w:val="0"/>
              <w:ind w:left="709" w:hanging="709"/>
              <w:rPr>
                <w:b/>
                <w:u w:val="single"/>
              </w:rPr>
            </w:pPr>
          </w:p>
          <w:p w:rsidR="00602BB5" w:rsidRDefault="00602BB5">
            <w:pPr>
              <w:autoSpaceDE w:val="0"/>
              <w:autoSpaceDN w:val="0"/>
              <w:adjustRightInd w:val="0"/>
              <w:ind w:left="709" w:hanging="709"/>
              <w:rPr>
                <w:b/>
                <w:u w:val="single"/>
              </w:rPr>
            </w:pPr>
          </w:p>
        </w:tc>
      </w:tr>
      <w:tr w:rsidR="00602BB5">
        <w:trPr>
          <w:trHeight w:val="6058"/>
        </w:trPr>
        <w:tc>
          <w:tcPr>
            <w:tcW w:w="9897" w:type="dxa"/>
            <w:tcMar>
              <w:top w:w="28" w:type="dxa"/>
              <w:bottom w:w="57" w:type="dxa"/>
            </w:tcMar>
          </w:tcPr>
          <w:p w:rsidR="00602BB5" w:rsidRDefault="002B6BB4">
            <w:pPr>
              <w:autoSpaceDE w:val="0"/>
              <w:autoSpaceDN w:val="0"/>
              <w:adjustRightInd w:val="0"/>
              <w:ind w:left="709" w:hanging="709"/>
              <w:rPr>
                <w:rFonts w:cs="Times-Bold"/>
                <w:b/>
                <w:bCs/>
                <w:sz w:val="18"/>
                <w:szCs w:val="18"/>
              </w:rPr>
            </w:pPr>
            <w:r>
              <w:rPr>
                <w:rFonts w:cs="Times-Bold"/>
                <w:b/>
                <w:bCs/>
                <w:sz w:val="18"/>
                <w:szCs w:val="18"/>
                <w:u w:val="single"/>
              </w:rPr>
              <w:t>Supporting criteria (Strategic)</w:t>
            </w:r>
          </w:p>
          <w:p w:rsidR="00602BB5" w:rsidRDefault="002B6BB4">
            <w:pPr>
              <w:numPr>
                <w:ilvl w:val="0"/>
                <w:numId w:val="15"/>
              </w:numPr>
              <w:tabs>
                <w:tab w:val="left" w:pos="720"/>
              </w:tabs>
              <w:rPr>
                <w:sz w:val="18"/>
                <w:szCs w:val="18"/>
              </w:rPr>
            </w:pPr>
            <w:r>
              <w:rPr>
                <w:sz w:val="18"/>
                <w:szCs w:val="18"/>
              </w:rPr>
              <w:t>Extent of support for the proposed standard (e.g. one or more NPPOs or RPPOs have requested it, or one or more RPPOs have adopted a standard on the same topic).</w:t>
            </w:r>
          </w:p>
          <w:p w:rsidR="00602BB5" w:rsidRDefault="002B6BB4">
            <w:pPr>
              <w:numPr>
                <w:ilvl w:val="0"/>
                <w:numId w:val="15"/>
              </w:numPr>
              <w:tabs>
                <w:tab w:val="left" w:pos="720"/>
              </w:tabs>
              <w:rPr>
                <w:sz w:val="18"/>
                <w:szCs w:val="18"/>
              </w:rPr>
            </w:pPr>
            <w:r>
              <w:rPr>
                <w:sz w:val="18"/>
                <w:szCs w:val="18"/>
              </w:rPr>
              <w:t>Frequency with which the issue addressed by the proposed standard emerges as a source of trade disruption (e.g. disputes or need for repeated bilateral discussions, number of times per year trade is disrupted).</w:t>
            </w:r>
          </w:p>
          <w:p w:rsidR="00602BB5" w:rsidRDefault="002B6BB4">
            <w:pPr>
              <w:numPr>
                <w:ilvl w:val="0"/>
                <w:numId w:val="15"/>
              </w:numPr>
              <w:autoSpaceDE w:val="0"/>
              <w:autoSpaceDN w:val="0"/>
              <w:adjustRightInd w:val="0"/>
              <w:rPr>
                <w:rFonts w:cs="Times-Roman"/>
                <w:sz w:val="18"/>
                <w:szCs w:val="18"/>
              </w:rPr>
            </w:pPr>
            <w:r>
              <w:rPr>
                <w:rFonts w:cs="Times-Roman"/>
                <w:sz w:val="18"/>
                <w:szCs w:val="18"/>
              </w:rPr>
              <w:t>Relevance and utility to developing countries.</w:t>
            </w:r>
          </w:p>
          <w:p w:rsidR="00602BB5" w:rsidRDefault="002B6BB4">
            <w:pPr>
              <w:numPr>
                <w:ilvl w:val="0"/>
                <w:numId w:val="15"/>
              </w:numPr>
              <w:autoSpaceDE w:val="0"/>
              <w:autoSpaceDN w:val="0"/>
              <w:adjustRightInd w:val="0"/>
              <w:rPr>
                <w:rFonts w:cs="Times-Roman"/>
                <w:sz w:val="18"/>
                <w:szCs w:val="18"/>
              </w:rPr>
            </w:pPr>
            <w:r>
              <w:rPr>
                <w:sz w:val="18"/>
                <w:szCs w:val="18"/>
              </w:rPr>
              <w:t>Coverage (application to a wide range of countries/pests/commodities).</w:t>
            </w:r>
          </w:p>
          <w:p w:rsidR="00602BB5" w:rsidRDefault="002B6BB4">
            <w:pPr>
              <w:numPr>
                <w:ilvl w:val="0"/>
                <w:numId w:val="15"/>
              </w:numPr>
              <w:tabs>
                <w:tab w:val="left" w:pos="720"/>
              </w:tabs>
              <w:rPr>
                <w:sz w:val="18"/>
                <w:szCs w:val="18"/>
              </w:rPr>
            </w:pPr>
            <w:r>
              <w:rPr>
                <w:sz w:val="18"/>
                <w:szCs w:val="18"/>
              </w:rPr>
              <w:t>Complements other standards (e.g. potential for the standard to be used as part of a systems approach for one pest, complement treatments for other pests).</w:t>
            </w:r>
          </w:p>
          <w:p w:rsidR="00602BB5" w:rsidRDefault="002B6BB4">
            <w:pPr>
              <w:numPr>
                <w:ilvl w:val="0"/>
                <w:numId w:val="15"/>
              </w:numPr>
              <w:tabs>
                <w:tab w:val="left" w:pos="720"/>
              </w:tabs>
              <w:rPr>
                <w:sz w:val="18"/>
                <w:szCs w:val="18"/>
              </w:rPr>
            </w:pPr>
            <w:r>
              <w:rPr>
                <w:sz w:val="18"/>
                <w:szCs w:val="18"/>
              </w:rPr>
              <w:t>Foundation standards to address fundamental concepts (e.g. treatment efficacy, inspection methodology).</w:t>
            </w:r>
          </w:p>
          <w:p w:rsidR="00602BB5" w:rsidRDefault="002B6BB4">
            <w:pPr>
              <w:numPr>
                <w:ilvl w:val="0"/>
                <w:numId w:val="18"/>
              </w:numPr>
              <w:rPr>
                <w:b/>
                <w:sz w:val="18"/>
                <w:szCs w:val="18"/>
                <w:u w:val="single"/>
              </w:rPr>
            </w:pPr>
            <w:r>
              <w:rPr>
                <w:sz w:val="18"/>
                <w:szCs w:val="18"/>
              </w:rPr>
              <w:t>Expected standard longevity (e.g. future trade needs, suggested use of easily outdated technology or products).</w:t>
            </w:r>
          </w:p>
          <w:p w:rsidR="00602BB5" w:rsidRDefault="002B6BB4">
            <w:pPr>
              <w:numPr>
                <w:ilvl w:val="0"/>
                <w:numId w:val="18"/>
              </w:numPr>
              <w:tabs>
                <w:tab w:val="left" w:pos="720"/>
              </w:tabs>
              <w:rPr>
                <w:sz w:val="18"/>
                <w:szCs w:val="18"/>
              </w:rPr>
            </w:pPr>
            <w:r>
              <w:rPr>
                <w:sz w:val="18"/>
                <w:szCs w:val="18"/>
              </w:rPr>
              <w:t>Urgent need for the standard.</w:t>
            </w:r>
          </w:p>
          <w:p w:rsidR="00602BB5" w:rsidRDefault="00602BB5">
            <w:pPr>
              <w:rPr>
                <w:b/>
                <w:u w:val="single"/>
              </w:rPr>
            </w:pPr>
          </w:p>
          <w:p w:rsidR="00602BB5" w:rsidRDefault="002B6BB4">
            <w:pPr>
              <w:numPr>
                <w:ilvl w:val="0"/>
                <w:numId w:val="40"/>
              </w:numPr>
              <w:rPr>
                <w:sz w:val="18"/>
                <w:szCs w:val="18"/>
                <w:u w:val="single"/>
              </w:rPr>
            </w:pPr>
            <w:r>
              <w:rPr>
                <w:sz w:val="18"/>
                <w:szCs w:val="18"/>
              </w:rPr>
              <w:t>Australia’s NPPO has adapted the bulk vessel inspection and approval process as part of its phytosanitary inspection and export certification procedures. It is mandatory to obtain bulk vessel approval for exporting prescribed goods from Australia.</w:t>
            </w:r>
          </w:p>
          <w:p w:rsidR="00602BB5" w:rsidRDefault="002B6BB4">
            <w:pPr>
              <w:numPr>
                <w:ilvl w:val="0"/>
                <w:numId w:val="40"/>
              </w:numPr>
              <w:rPr>
                <w:sz w:val="18"/>
                <w:szCs w:val="18"/>
                <w:u w:val="single"/>
              </w:rPr>
            </w:pPr>
            <w:r>
              <w:rPr>
                <w:sz w:val="18"/>
                <w:szCs w:val="18"/>
              </w:rPr>
              <w:t>Canada is also ensuring bulk vessel inspection and approval as part of Canada’s phytosanitary inspection and export certification procedures.</w:t>
            </w:r>
          </w:p>
          <w:p w:rsidR="00602BB5" w:rsidRDefault="002B6BB4">
            <w:pPr>
              <w:numPr>
                <w:ilvl w:val="0"/>
                <w:numId w:val="40"/>
              </w:numPr>
              <w:rPr>
                <w:sz w:val="18"/>
                <w:szCs w:val="18"/>
              </w:rPr>
            </w:pPr>
            <w:r>
              <w:rPr>
                <w:sz w:val="18"/>
                <w:szCs w:val="18"/>
              </w:rPr>
              <w:t xml:space="preserve">The inspection and approval of empty bulk vessel prior to loading export compliant goods will potentially reduce disputes between the importing and exporting countries especially if goods may be contaminated or infested because of poor hygienic </w:t>
            </w:r>
            <w:r>
              <w:rPr>
                <w:sz w:val="18"/>
                <w:szCs w:val="18"/>
              </w:rPr>
              <w:lastRenderedPageBreak/>
              <w:t xml:space="preserve">conditions of the transport unit such as bulk vessels. </w:t>
            </w:r>
          </w:p>
          <w:p w:rsidR="00602BB5" w:rsidRDefault="002B6BB4">
            <w:pPr>
              <w:numPr>
                <w:ilvl w:val="0"/>
                <w:numId w:val="40"/>
              </w:numPr>
              <w:rPr>
                <w:sz w:val="18"/>
                <w:szCs w:val="18"/>
              </w:rPr>
            </w:pPr>
            <w:r>
              <w:rPr>
                <w:sz w:val="18"/>
                <w:szCs w:val="18"/>
              </w:rPr>
              <w:t>Some of the importing countries may not have the capability to treat goods on arrival on bigger scale. Therefore, bulk vessel inspection may further limit the potential for export compliant goods to be re-infested or cross-contaminated.</w:t>
            </w:r>
          </w:p>
          <w:p w:rsidR="00602BB5" w:rsidRDefault="002B6BB4">
            <w:pPr>
              <w:numPr>
                <w:ilvl w:val="0"/>
                <w:numId w:val="40"/>
              </w:numPr>
              <w:rPr>
                <w:sz w:val="18"/>
                <w:szCs w:val="18"/>
              </w:rPr>
            </w:pPr>
            <w:r>
              <w:rPr>
                <w:sz w:val="18"/>
                <w:szCs w:val="18"/>
              </w:rPr>
              <w:t>Harmonisation of standards will allow these inspections to be undertaken by third party providers, who may be accredited by a number of NPPOs, leading to international accreditation</w:t>
            </w:r>
          </w:p>
          <w:p w:rsidR="00602BB5" w:rsidRDefault="002B6BB4">
            <w:pPr>
              <w:numPr>
                <w:ilvl w:val="0"/>
                <w:numId w:val="40"/>
              </w:numPr>
              <w:rPr>
                <w:sz w:val="18"/>
                <w:szCs w:val="18"/>
              </w:rPr>
            </w:pPr>
            <w:r>
              <w:rPr>
                <w:sz w:val="18"/>
                <w:szCs w:val="18"/>
              </w:rPr>
              <w:t>It may also encourage shipping providers to complete these inspections to NPPO standards, which removes the need for NPPO officers to do so</w:t>
            </w:r>
          </w:p>
          <w:p w:rsidR="00602BB5" w:rsidRDefault="00602BB5">
            <w:pPr>
              <w:rPr>
                <w:b/>
                <w:u w:val="single"/>
              </w:rPr>
            </w:pPr>
          </w:p>
        </w:tc>
      </w:tr>
      <w:tr w:rsidR="00602BB5">
        <w:trPr>
          <w:trHeight w:val="8129"/>
        </w:trPr>
        <w:tc>
          <w:tcPr>
            <w:tcW w:w="9897" w:type="dxa"/>
            <w:tcMar>
              <w:top w:w="28" w:type="dxa"/>
              <w:bottom w:w="57" w:type="dxa"/>
            </w:tcMar>
          </w:tcPr>
          <w:p w:rsidR="00602BB5" w:rsidRDefault="002B6BB4">
            <w:pPr>
              <w:autoSpaceDE w:val="0"/>
              <w:autoSpaceDN w:val="0"/>
              <w:adjustRightInd w:val="0"/>
              <w:ind w:left="709" w:hanging="709"/>
              <w:rPr>
                <w:rFonts w:cs="Times-Bold"/>
                <w:b/>
                <w:bCs/>
                <w:sz w:val="18"/>
                <w:szCs w:val="18"/>
              </w:rPr>
            </w:pPr>
            <w:r>
              <w:rPr>
                <w:rFonts w:cs="Times-Bold"/>
                <w:b/>
                <w:bCs/>
                <w:sz w:val="18"/>
                <w:szCs w:val="18"/>
                <w:u w:val="single"/>
              </w:rPr>
              <w:lastRenderedPageBreak/>
              <w:t>Diagnostic protocols are subject to additional criteria. For proposals for DPs, please elaborate on the following criteria to help the future consideration of the subject proposed:</w:t>
            </w:r>
          </w:p>
          <w:p w:rsidR="00602BB5" w:rsidRDefault="002B6BB4">
            <w:pPr>
              <w:numPr>
                <w:ilvl w:val="0"/>
                <w:numId w:val="15"/>
              </w:numPr>
              <w:tabs>
                <w:tab w:val="left" w:pos="720"/>
              </w:tabs>
              <w:rPr>
                <w:sz w:val="18"/>
                <w:szCs w:val="18"/>
              </w:rPr>
            </w:pPr>
            <w:r>
              <w:rPr>
                <w:sz w:val="18"/>
                <w:szCs w:val="18"/>
              </w:rPr>
              <w:t>Need for international harmonization of the diagnostic techniques for the pest (e.g. due to difficulties in diagnosis or disputes on methodology).</w:t>
            </w:r>
          </w:p>
          <w:p w:rsidR="00602BB5" w:rsidRDefault="002B6BB4">
            <w:pPr>
              <w:numPr>
                <w:ilvl w:val="0"/>
                <w:numId w:val="15"/>
              </w:numPr>
              <w:tabs>
                <w:tab w:val="left" w:pos="720"/>
              </w:tabs>
              <w:rPr>
                <w:sz w:val="18"/>
                <w:szCs w:val="18"/>
              </w:rPr>
            </w:pPr>
            <w:r>
              <w:rPr>
                <w:sz w:val="18"/>
                <w:szCs w:val="18"/>
              </w:rPr>
              <w:t>Relevance of the diagnosis to the protection of plants including measures to limit the impact of the pest.</w:t>
            </w:r>
          </w:p>
          <w:p w:rsidR="00602BB5" w:rsidRDefault="002B6BB4">
            <w:pPr>
              <w:numPr>
                <w:ilvl w:val="0"/>
                <w:numId w:val="15"/>
              </w:numPr>
              <w:tabs>
                <w:tab w:val="left" w:pos="720"/>
              </w:tabs>
              <w:rPr>
                <w:sz w:val="18"/>
                <w:szCs w:val="18"/>
              </w:rPr>
            </w:pPr>
            <w:r>
              <w:rPr>
                <w:sz w:val="18"/>
                <w:szCs w:val="18"/>
              </w:rPr>
              <w:t>Importance of the plants protected on the global level (e.g. relevant to many countries or of major importance to a few countries).</w:t>
            </w:r>
          </w:p>
          <w:p w:rsidR="00602BB5" w:rsidRDefault="002B6BB4">
            <w:pPr>
              <w:numPr>
                <w:ilvl w:val="0"/>
                <w:numId w:val="15"/>
              </w:numPr>
              <w:tabs>
                <w:tab w:val="left" w:pos="720"/>
              </w:tabs>
              <w:rPr>
                <w:sz w:val="18"/>
                <w:szCs w:val="18"/>
              </w:rPr>
            </w:pPr>
            <w:r>
              <w:rPr>
                <w:sz w:val="18"/>
                <w:szCs w:val="18"/>
              </w:rPr>
              <w:t>Volume/importance of trade of the commodity that is subjected to the diagnostic procedures (e.g. relevant to many countries or of major importance to a few countries).</w:t>
            </w:r>
          </w:p>
          <w:p w:rsidR="00602BB5" w:rsidRDefault="002B6BB4">
            <w:pPr>
              <w:numPr>
                <w:ilvl w:val="0"/>
                <w:numId w:val="15"/>
              </w:numPr>
              <w:tabs>
                <w:tab w:val="left" w:pos="720"/>
              </w:tabs>
              <w:rPr>
                <w:sz w:val="18"/>
                <w:szCs w:val="18"/>
              </w:rPr>
            </w:pPr>
            <w:r>
              <w:rPr>
                <w:sz w:val="18"/>
                <w:szCs w:val="18"/>
              </w:rPr>
              <w:t xml:space="preserve">Other criteria for topics as determined by CPM </w:t>
            </w:r>
            <w:proofErr w:type="gramStart"/>
            <w:r>
              <w:rPr>
                <w:sz w:val="18"/>
                <w:szCs w:val="18"/>
              </w:rPr>
              <w:t>that are</w:t>
            </w:r>
            <w:proofErr w:type="gramEnd"/>
            <w:r>
              <w:rPr>
                <w:sz w:val="18"/>
                <w:szCs w:val="18"/>
              </w:rPr>
              <w:t xml:space="preserve"> relevant to determining priorities.</w:t>
            </w:r>
          </w:p>
          <w:p w:rsidR="00602BB5" w:rsidRDefault="002B6BB4">
            <w:pPr>
              <w:numPr>
                <w:ilvl w:val="0"/>
                <w:numId w:val="15"/>
              </w:numPr>
              <w:tabs>
                <w:tab w:val="left" w:pos="720"/>
              </w:tabs>
              <w:rPr>
                <w:sz w:val="18"/>
                <w:szCs w:val="18"/>
              </w:rPr>
            </w:pPr>
            <w:r>
              <w:rPr>
                <w:sz w:val="18"/>
                <w:szCs w:val="18"/>
              </w:rPr>
              <w:t xml:space="preserve">Balance between pests of importance in different climatic zones (temperate, tropics </w:t>
            </w:r>
            <w:proofErr w:type="spellStart"/>
            <w:r>
              <w:rPr>
                <w:sz w:val="18"/>
                <w:szCs w:val="18"/>
              </w:rPr>
              <w:t>etc</w:t>
            </w:r>
            <w:proofErr w:type="spellEnd"/>
            <w:r>
              <w:rPr>
                <w:sz w:val="18"/>
                <w:szCs w:val="18"/>
              </w:rPr>
              <w:t>) and commodity classes.</w:t>
            </w:r>
          </w:p>
          <w:p w:rsidR="00602BB5" w:rsidRDefault="002B6BB4">
            <w:pPr>
              <w:numPr>
                <w:ilvl w:val="0"/>
                <w:numId w:val="15"/>
              </w:numPr>
              <w:tabs>
                <w:tab w:val="left" w:pos="720"/>
              </w:tabs>
              <w:rPr>
                <w:sz w:val="18"/>
                <w:szCs w:val="18"/>
              </w:rPr>
            </w:pPr>
            <w:r>
              <w:rPr>
                <w:sz w:val="18"/>
                <w:szCs w:val="18"/>
              </w:rPr>
              <w:t>Number of labs undertaking the diagnosis.</w:t>
            </w:r>
          </w:p>
          <w:p w:rsidR="00602BB5" w:rsidRDefault="002B6BB4">
            <w:pPr>
              <w:numPr>
                <w:ilvl w:val="0"/>
                <w:numId w:val="15"/>
              </w:numPr>
              <w:tabs>
                <w:tab w:val="left" w:pos="720"/>
              </w:tabs>
              <w:rPr>
                <w:sz w:val="18"/>
                <w:szCs w:val="18"/>
              </w:rPr>
            </w:pPr>
            <w:r>
              <w:rPr>
                <w:sz w:val="18"/>
                <w:szCs w:val="18"/>
              </w:rPr>
              <w:t>Feasibility of production of a protocol, including availability of knowledge and expertise.</w:t>
            </w:r>
          </w:p>
          <w:p w:rsidR="00602BB5" w:rsidRDefault="002B6BB4">
            <w:pPr>
              <w:autoSpaceDE w:val="0"/>
              <w:autoSpaceDN w:val="0"/>
              <w:adjustRightInd w:val="0"/>
              <w:ind w:left="709" w:hanging="709"/>
              <w:rPr>
                <w:rFonts w:cs="Times-Bold"/>
                <w:b/>
                <w:bCs/>
                <w:sz w:val="18"/>
                <w:szCs w:val="18"/>
                <w:u w:val="single"/>
              </w:rPr>
            </w:pPr>
            <w:r>
              <w:rPr>
                <w:rFonts w:cs="Times-Bold"/>
                <w:b/>
                <w:bCs/>
                <w:sz w:val="18"/>
                <w:szCs w:val="18"/>
                <w:u w:val="single"/>
              </w:rPr>
              <w:t>N/A</w:t>
            </w:r>
          </w:p>
        </w:tc>
      </w:tr>
    </w:tbl>
    <w:p w:rsidR="00602BB5" w:rsidRDefault="002B6BB4">
      <w:pPr>
        <w:tabs>
          <w:tab w:val="left" w:pos="2040"/>
          <w:tab w:val="left" w:pos="4920"/>
        </w:tabs>
        <w:rPr>
          <w:sz w:val="18"/>
          <w:szCs w:val="18"/>
        </w:rPr>
      </w:pPr>
      <w:r>
        <w:rPr>
          <w:b/>
          <w:u w:val="single"/>
        </w:rPr>
        <w:br w:type="page"/>
      </w:r>
      <w:r>
        <w:rPr>
          <w:sz w:val="18"/>
          <w:szCs w:val="18"/>
        </w:rPr>
        <w:lastRenderedPageBreak/>
        <w:t>CPM-7 (2012) agreed that all submissions of proposed topics for the IPPC Standard Setting work programme should be accompanied by a draft Specification and a literature review. This provision would not apply to proposals for diagnostic protocols, phytosanitary treatments or glossary terms.</w:t>
      </w:r>
    </w:p>
    <w:p w:rsidR="00602BB5" w:rsidRDefault="00602BB5">
      <w:pPr>
        <w:tabs>
          <w:tab w:val="left" w:pos="2040"/>
          <w:tab w:val="left" w:pos="4920"/>
        </w:tabs>
        <w:rPr>
          <w:sz w:val="18"/>
          <w:szCs w:val="18"/>
        </w:rPr>
      </w:pPr>
    </w:p>
    <w:tbl>
      <w:tblPr>
        <w:tblpPr w:leftFromText="180" w:rightFromText="180" w:vertAnchor="text" w:tblpXSpec="center" w:tblpY="1"/>
        <w:tblOverlap w:val="neve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897"/>
      </w:tblGrid>
      <w:tr w:rsidR="00602BB5">
        <w:trPr>
          <w:trHeight w:val="528"/>
        </w:trPr>
        <w:tc>
          <w:tcPr>
            <w:tcW w:w="9897" w:type="dxa"/>
            <w:shd w:val="pct25" w:color="auto" w:fill="auto"/>
            <w:tcMar>
              <w:top w:w="28" w:type="dxa"/>
              <w:bottom w:w="57" w:type="dxa"/>
            </w:tcMar>
          </w:tcPr>
          <w:p w:rsidR="00602BB5" w:rsidRDefault="002B6BB4">
            <w:pPr>
              <w:tabs>
                <w:tab w:val="left" w:pos="1498"/>
                <w:tab w:val="center" w:pos="5070"/>
              </w:tabs>
              <w:autoSpaceDE w:val="0"/>
              <w:autoSpaceDN w:val="0"/>
              <w:adjustRightInd w:val="0"/>
              <w:spacing w:before="40"/>
              <w:ind w:left="357"/>
              <w:rPr>
                <w:b/>
              </w:rPr>
            </w:pPr>
            <w:r>
              <w:rPr>
                <w:b/>
              </w:rPr>
              <w:tab/>
            </w:r>
            <w:r>
              <w:rPr>
                <w:b/>
              </w:rPr>
              <w:tab/>
              <w:t>Draft Specification</w:t>
            </w:r>
          </w:p>
          <w:p w:rsidR="00602BB5" w:rsidRDefault="002B6BB4">
            <w:pPr>
              <w:jc w:val="center"/>
              <w:rPr>
                <w:sz w:val="18"/>
                <w:szCs w:val="18"/>
                <w:u w:val="single"/>
              </w:rPr>
            </w:pPr>
            <w:r>
              <w:rPr>
                <w:sz w:val="18"/>
                <w:szCs w:val="18"/>
                <w:u w:val="single"/>
              </w:rPr>
              <w:t>(SC approved specifications are posted on the IPP (</w:t>
            </w:r>
            <w:r>
              <w:rPr>
                <w:sz w:val="18"/>
                <w:szCs w:val="18"/>
              </w:rPr>
              <w:t>https://www.ippc.int/en/core-activities/standards-setting/approved-specifications/</w:t>
            </w:r>
            <w:r>
              <w:rPr>
                <w:sz w:val="18"/>
                <w:szCs w:val="18"/>
                <w:u w:val="single"/>
              </w:rPr>
              <w:t>) and may be referenced for examples.)</w:t>
            </w:r>
          </w:p>
        </w:tc>
      </w:tr>
      <w:tr w:rsidR="00602BB5">
        <w:trPr>
          <w:trHeight w:val="477"/>
        </w:trPr>
        <w:tc>
          <w:tcPr>
            <w:tcW w:w="9897" w:type="dxa"/>
            <w:tcMar>
              <w:top w:w="28" w:type="dxa"/>
              <w:bottom w:w="57" w:type="dxa"/>
            </w:tcMar>
          </w:tcPr>
          <w:p w:rsidR="00602BB5" w:rsidRDefault="002B6BB4">
            <w:pPr>
              <w:autoSpaceDE w:val="0"/>
              <w:autoSpaceDN w:val="0"/>
              <w:adjustRightInd w:val="0"/>
              <w:rPr>
                <w:b/>
                <w:sz w:val="18"/>
                <w:szCs w:val="18"/>
              </w:rPr>
            </w:pPr>
            <w:r>
              <w:rPr>
                <w:b/>
                <w:sz w:val="18"/>
                <w:szCs w:val="18"/>
              </w:rPr>
              <w:t xml:space="preserve">Proposed Title: </w:t>
            </w:r>
            <w:r>
              <w:rPr>
                <w:sz w:val="20"/>
                <w:szCs w:val="20"/>
              </w:rPr>
              <w:t xml:space="preserve"> GUIDELINES FOR EMPTY BULK VESSEL INSPECTION AND APPROVAL FOR LOADING PLANT AND PLANT PRODUCTS FOR EXPORT</w:t>
            </w:r>
          </w:p>
        </w:tc>
      </w:tr>
      <w:tr w:rsidR="00602BB5">
        <w:trPr>
          <w:trHeight w:val="1038"/>
        </w:trPr>
        <w:tc>
          <w:tcPr>
            <w:tcW w:w="9897" w:type="dxa"/>
            <w:tcMar>
              <w:top w:w="28" w:type="dxa"/>
              <w:bottom w:w="57" w:type="dxa"/>
            </w:tcMar>
          </w:tcPr>
          <w:p w:rsidR="00602BB5" w:rsidRDefault="002B6BB4">
            <w:pPr>
              <w:tabs>
                <w:tab w:val="left" w:pos="720"/>
              </w:tabs>
              <w:rPr>
                <w:sz w:val="18"/>
                <w:szCs w:val="18"/>
              </w:rPr>
            </w:pPr>
            <w:r>
              <w:rPr>
                <w:rFonts w:cs="Times-Bold"/>
                <w:b/>
                <w:bCs/>
                <w:sz w:val="18"/>
                <w:szCs w:val="18"/>
              </w:rPr>
              <w:t xml:space="preserve">Reason for the standard </w:t>
            </w:r>
            <w:r>
              <w:rPr>
                <w:rFonts w:cs="Times-Bold"/>
                <w:bCs/>
                <w:sz w:val="18"/>
                <w:szCs w:val="18"/>
              </w:rPr>
              <w:t>(justification as to why the standard is needed, some of this can be copied from the above submission):</w:t>
            </w:r>
          </w:p>
          <w:p w:rsidR="00602BB5" w:rsidRDefault="00602BB5">
            <w:pPr>
              <w:autoSpaceDE w:val="0"/>
              <w:autoSpaceDN w:val="0"/>
              <w:adjustRightInd w:val="0"/>
              <w:rPr>
                <w:rFonts w:cs="Times-Roman"/>
                <w:sz w:val="18"/>
                <w:szCs w:val="18"/>
              </w:rPr>
            </w:pPr>
          </w:p>
          <w:p w:rsidR="00602BB5" w:rsidRDefault="002B6BB4">
            <w:r>
              <w:rPr>
                <w:sz w:val="20"/>
                <w:szCs w:val="20"/>
              </w:rPr>
              <w:t xml:space="preserve">With the adoption of Phytosanitary Inspection and Export Certification Procedures for Plants and Plant Products intended for export, it is important that the transport units maintain the phytosanitary integrity of export compliant goods. Goods once found to meet importing country’s requirement may be re-infested or contaminated or cross-contaminated if the bulk vessel contains live insects, </w:t>
            </w:r>
            <w:proofErr w:type="spellStart"/>
            <w:r>
              <w:rPr>
                <w:sz w:val="20"/>
                <w:szCs w:val="20"/>
              </w:rPr>
              <w:t>infestible</w:t>
            </w:r>
            <w:proofErr w:type="spellEnd"/>
            <w:r>
              <w:rPr>
                <w:sz w:val="20"/>
                <w:szCs w:val="20"/>
              </w:rPr>
              <w:t xml:space="preserve"> residues, and residue from previous cargos or goods stored in the next holds. The proposed standard would complement ISPM 7.</w:t>
            </w:r>
          </w:p>
        </w:tc>
      </w:tr>
      <w:tr w:rsidR="00602BB5">
        <w:trPr>
          <w:trHeight w:val="1180"/>
        </w:trPr>
        <w:tc>
          <w:tcPr>
            <w:tcW w:w="9897" w:type="dxa"/>
            <w:tcMar>
              <w:top w:w="28" w:type="dxa"/>
              <w:bottom w:w="57" w:type="dxa"/>
            </w:tcMar>
          </w:tcPr>
          <w:p w:rsidR="00602BB5" w:rsidRDefault="002B6BB4">
            <w:pPr>
              <w:autoSpaceDE w:val="0"/>
              <w:autoSpaceDN w:val="0"/>
              <w:adjustRightInd w:val="0"/>
              <w:ind w:left="709" w:hanging="709"/>
              <w:rPr>
                <w:rFonts w:cs="Times-Bold"/>
                <w:bCs/>
                <w:sz w:val="18"/>
                <w:szCs w:val="18"/>
              </w:rPr>
            </w:pPr>
            <w:r>
              <w:rPr>
                <w:rFonts w:cs="Times-Bold"/>
                <w:b/>
                <w:bCs/>
                <w:sz w:val="18"/>
                <w:szCs w:val="18"/>
              </w:rPr>
              <w:t xml:space="preserve">Purpose </w:t>
            </w:r>
            <w:r>
              <w:rPr>
                <w:rFonts w:cs="Times-Bold"/>
                <w:bCs/>
                <w:sz w:val="18"/>
                <w:szCs w:val="18"/>
              </w:rPr>
              <w:t>(explain what issue will be addressed and/or harmonized once this standard is put in place):</w:t>
            </w:r>
          </w:p>
          <w:p w:rsidR="00602BB5" w:rsidRDefault="002B6BB4">
            <w:pPr>
              <w:autoSpaceDE w:val="0"/>
              <w:autoSpaceDN w:val="0"/>
              <w:adjustRightInd w:val="0"/>
              <w:rPr>
                <w:rFonts w:cs="Times-Roman"/>
                <w:sz w:val="18"/>
                <w:szCs w:val="18"/>
                <w:lang w:val="en-NZ"/>
              </w:rPr>
            </w:pPr>
            <w:r>
              <w:rPr>
                <w:rFonts w:cs="Times-Roman"/>
                <w:sz w:val="20"/>
                <w:szCs w:val="18"/>
                <w:lang w:val="en-NZ"/>
              </w:rPr>
              <w:t>The proposed new standard would enhance the Phytosanitary status of export compliant goods by ensuring that the goods will not be contaminated, infested or cross-contaminated during transport to the destination country.</w:t>
            </w:r>
          </w:p>
          <w:p w:rsidR="00602BB5" w:rsidRDefault="00602BB5">
            <w:pPr>
              <w:autoSpaceDE w:val="0"/>
              <w:autoSpaceDN w:val="0"/>
              <w:adjustRightInd w:val="0"/>
              <w:ind w:left="709" w:hanging="709"/>
              <w:rPr>
                <w:rFonts w:cs="Times-Roman"/>
                <w:sz w:val="18"/>
                <w:szCs w:val="18"/>
              </w:rPr>
            </w:pPr>
          </w:p>
        </w:tc>
      </w:tr>
      <w:tr w:rsidR="00602BB5">
        <w:trPr>
          <w:trHeight w:val="1180"/>
        </w:trPr>
        <w:tc>
          <w:tcPr>
            <w:tcW w:w="9897" w:type="dxa"/>
            <w:tcMar>
              <w:top w:w="28" w:type="dxa"/>
              <w:bottom w:w="57" w:type="dxa"/>
            </w:tcMar>
          </w:tcPr>
          <w:p w:rsidR="00602BB5" w:rsidRDefault="002B6BB4">
            <w:pPr>
              <w:tabs>
                <w:tab w:val="left" w:pos="720"/>
              </w:tabs>
              <w:rPr>
                <w:rFonts w:cs="Times-Bold"/>
                <w:bCs/>
                <w:sz w:val="18"/>
                <w:szCs w:val="18"/>
              </w:rPr>
            </w:pPr>
            <w:r>
              <w:rPr>
                <w:rFonts w:cs="Times-Bold"/>
                <w:b/>
                <w:bCs/>
                <w:sz w:val="18"/>
                <w:szCs w:val="18"/>
              </w:rPr>
              <w:t xml:space="preserve">Scope </w:t>
            </w:r>
            <w:r>
              <w:rPr>
                <w:rFonts w:cs="Times-Bold"/>
                <w:bCs/>
                <w:sz w:val="18"/>
                <w:szCs w:val="18"/>
              </w:rPr>
              <w:t>(this provides the boundaries or limits to what the standard should cover):</w:t>
            </w:r>
          </w:p>
          <w:p w:rsidR="00602BB5" w:rsidRDefault="002B6BB4">
            <w:pPr>
              <w:tabs>
                <w:tab w:val="left" w:pos="720"/>
              </w:tabs>
            </w:pPr>
            <w:r>
              <w:rPr>
                <w:rFonts w:cs="Times-Bold"/>
                <w:bCs/>
                <w:sz w:val="18"/>
                <w:szCs w:val="18"/>
              </w:rPr>
              <w:t>The proposed standards describe the components of a national system for exporting export compliant goods in bulk vessels.</w:t>
            </w:r>
          </w:p>
        </w:tc>
      </w:tr>
      <w:tr w:rsidR="00602BB5">
        <w:trPr>
          <w:trHeight w:val="2462"/>
        </w:trPr>
        <w:tc>
          <w:tcPr>
            <w:tcW w:w="9897" w:type="dxa"/>
            <w:tcMar>
              <w:top w:w="28" w:type="dxa"/>
              <w:bottom w:w="57" w:type="dxa"/>
            </w:tcMar>
          </w:tcPr>
          <w:p w:rsidR="00602BB5" w:rsidRDefault="002B6BB4">
            <w:pPr>
              <w:tabs>
                <w:tab w:val="left" w:pos="720"/>
              </w:tabs>
              <w:rPr>
                <w:rFonts w:cs="Times-Bold"/>
                <w:bCs/>
                <w:sz w:val="18"/>
                <w:szCs w:val="18"/>
              </w:rPr>
            </w:pPr>
            <w:r>
              <w:rPr>
                <w:rFonts w:cs="Times-Bold"/>
                <w:b/>
                <w:bCs/>
                <w:sz w:val="18"/>
                <w:szCs w:val="18"/>
              </w:rPr>
              <w:t xml:space="preserve">Tasks for the expert drafting group </w:t>
            </w:r>
            <w:r>
              <w:rPr>
                <w:rFonts w:cs="Times-Bold"/>
                <w:bCs/>
                <w:sz w:val="18"/>
                <w:szCs w:val="18"/>
              </w:rPr>
              <w:t>(this will help direct the work of the experts):</w:t>
            </w:r>
          </w:p>
          <w:p w:rsidR="00602BB5" w:rsidRDefault="002B6BB4">
            <w:pPr>
              <w:numPr>
                <w:ilvl w:val="0"/>
                <w:numId w:val="41"/>
              </w:numPr>
              <w:rPr>
                <w:sz w:val="18"/>
                <w:szCs w:val="18"/>
              </w:rPr>
            </w:pPr>
            <w:r>
              <w:rPr>
                <w:sz w:val="18"/>
                <w:szCs w:val="18"/>
              </w:rPr>
              <w:t>Define the minimum equipment needed for inspection</w:t>
            </w:r>
          </w:p>
          <w:p w:rsidR="00602BB5" w:rsidRDefault="002B6BB4">
            <w:pPr>
              <w:numPr>
                <w:ilvl w:val="0"/>
                <w:numId w:val="41"/>
              </w:numPr>
              <w:rPr>
                <w:sz w:val="18"/>
                <w:szCs w:val="18"/>
              </w:rPr>
            </w:pPr>
            <w:r>
              <w:rPr>
                <w:sz w:val="18"/>
                <w:szCs w:val="18"/>
              </w:rPr>
              <w:t>Define the documentation needed for inspection including work instruction, recording processes and standards, decisions, records management</w:t>
            </w:r>
          </w:p>
          <w:p w:rsidR="00602BB5" w:rsidRDefault="002B6BB4">
            <w:pPr>
              <w:numPr>
                <w:ilvl w:val="0"/>
                <w:numId w:val="41"/>
              </w:numPr>
              <w:rPr>
                <w:sz w:val="18"/>
                <w:szCs w:val="18"/>
              </w:rPr>
            </w:pPr>
            <w:r>
              <w:rPr>
                <w:sz w:val="18"/>
                <w:szCs w:val="18"/>
              </w:rPr>
              <w:t>Describe training requirements and standards</w:t>
            </w:r>
          </w:p>
          <w:p w:rsidR="00602BB5" w:rsidRDefault="002B6BB4">
            <w:pPr>
              <w:numPr>
                <w:ilvl w:val="0"/>
                <w:numId w:val="41"/>
              </w:numPr>
              <w:rPr>
                <w:sz w:val="18"/>
                <w:szCs w:val="18"/>
              </w:rPr>
            </w:pPr>
            <w:r>
              <w:rPr>
                <w:sz w:val="18"/>
                <w:szCs w:val="18"/>
              </w:rPr>
              <w:t>Identify Work Health and Safety (WH&amp;S) hazards, their management and supporting resources and processes</w:t>
            </w:r>
          </w:p>
          <w:p w:rsidR="00602BB5" w:rsidRDefault="002B6BB4">
            <w:pPr>
              <w:numPr>
                <w:ilvl w:val="0"/>
                <w:numId w:val="41"/>
              </w:numPr>
              <w:rPr>
                <w:sz w:val="18"/>
                <w:szCs w:val="18"/>
              </w:rPr>
            </w:pPr>
            <w:r>
              <w:rPr>
                <w:sz w:val="18"/>
                <w:szCs w:val="18"/>
              </w:rPr>
              <w:t>Outline inspection procedures and identify resources to assist the NPPO implement them.</w:t>
            </w:r>
          </w:p>
          <w:p w:rsidR="00602BB5" w:rsidRDefault="002B6BB4">
            <w:pPr>
              <w:numPr>
                <w:ilvl w:val="0"/>
                <w:numId w:val="41"/>
              </w:numPr>
              <w:rPr>
                <w:sz w:val="18"/>
                <w:szCs w:val="18"/>
              </w:rPr>
            </w:pPr>
            <w:r>
              <w:rPr>
                <w:sz w:val="18"/>
                <w:szCs w:val="18"/>
              </w:rPr>
              <w:t>Engaging with the Master and other crew on vessels</w:t>
            </w:r>
          </w:p>
          <w:p w:rsidR="00602BB5" w:rsidRDefault="002B6BB4">
            <w:pPr>
              <w:numPr>
                <w:ilvl w:val="0"/>
                <w:numId w:val="41"/>
              </w:numPr>
              <w:rPr>
                <w:sz w:val="18"/>
                <w:szCs w:val="18"/>
              </w:rPr>
            </w:pPr>
            <w:r>
              <w:rPr>
                <w:sz w:val="18"/>
                <w:szCs w:val="18"/>
              </w:rPr>
              <w:t>Providing certification or evidence of inspection completion and efficacy</w:t>
            </w:r>
          </w:p>
          <w:p w:rsidR="00602BB5" w:rsidRDefault="00602BB5">
            <w:pPr>
              <w:rPr>
                <w:sz w:val="18"/>
                <w:szCs w:val="18"/>
              </w:rPr>
            </w:pPr>
          </w:p>
          <w:p w:rsidR="00602BB5" w:rsidRDefault="00602BB5">
            <w:pPr>
              <w:rPr>
                <w:rFonts w:cs="Times-Bold"/>
                <w:bCs/>
                <w:sz w:val="18"/>
                <w:szCs w:val="18"/>
              </w:rPr>
            </w:pPr>
          </w:p>
        </w:tc>
      </w:tr>
      <w:tr w:rsidR="00602BB5">
        <w:trPr>
          <w:trHeight w:val="1881"/>
        </w:trPr>
        <w:tc>
          <w:tcPr>
            <w:tcW w:w="9897" w:type="dxa"/>
            <w:tcMar>
              <w:top w:w="28" w:type="dxa"/>
              <w:bottom w:w="57" w:type="dxa"/>
            </w:tcMar>
          </w:tcPr>
          <w:p w:rsidR="00602BB5" w:rsidRDefault="002B6BB4">
            <w:pPr>
              <w:tabs>
                <w:tab w:val="left" w:pos="720"/>
              </w:tabs>
              <w:rPr>
                <w:rFonts w:cs="Times-Bold"/>
                <w:bCs/>
                <w:sz w:val="18"/>
                <w:szCs w:val="18"/>
              </w:rPr>
            </w:pPr>
            <w:r>
              <w:rPr>
                <w:rFonts w:cs="Times-Bold"/>
                <w:b/>
                <w:bCs/>
                <w:sz w:val="18"/>
                <w:szCs w:val="18"/>
              </w:rPr>
              <w:lastRenderedPageBreak/>
              <w:t xml:space="preserve">Expertise </w:t>
            </w:r>
            <w:r>
              <w:rPr>
                <w:rFonts w:cs="Times-Bold"/>
                <w:bCs/>
                <w:sz w:val="18"/>
                <w:szCs w:val="18"/>
              </w:rPr>
              <w:t>(this will provide the basis for screening nominations):</w:t>
            </w:r>
          </w:p>
          <w:p w:rsidR="00602BB5" w:rsidRDefault="002B6BB4">
            <w:pPr>
              <w:numPr>
                <w:ilvl w:val="0"/>
                <w:numId w:val="41"/>
              </w:numPr>
              <w:rPr>
                <w:sz w:val="18"/>
                <w:szCs w:val="18"/>
              </w:rPr>
            </w:pPr>
            <w:r>
              <w:rPr>
                <w:sz w:val="18"/>
                <w:szCs w:val="18"/>
              </w:rPr>
              <w:t>Experience in conduct of vessel inspections</w:t>
            </w:r>
          </w:p>
          <w:p w:rsidR="00602BB5" w:rsidRDefault="002B6BB4">
            <w:pPr>
              <w:numPr>
                <w:ilvl w:val="0"/>
                <w:numId w:val="41"/>
              </w:numPr>
              <w:rPr>
                <w:sz w:val="18"/>
                <w:szCs w:val="18"/>
              </w:rPr>
            </w:pPr>
            <w:r>
              <w:rPr>
                <w:sz w:val="18"/>
                <w:szCs w:val="18"/>
              </w:rPr>
              <w:t>Use of various equipment to conduct inspection on or in vessels</w:t>
            </w:r>
          </w:p>
          <w:p w:rsidR="00602BB5" w:rsidRDefault="002B6BB4">
            <w:pPr>
              <w:numPr>
                <w:ilvl w:val="0"/>
                <w:numId w:val="41"/>
              </w:numPr>
              <w:rPr>
                <w:sz w:val="18"/>
                <w:szCs w:val="18"/>
              </w:rPr>
            </w:pPr>
            <w:r>
              <w:rPr>
                <w:sz w:val="18"/>
                <w:szCs w:val="18"/>
              </w:rPr>
              <w:t>Experience working at heights and in confined spaces</w:t>
            </w:r>
          </w:p>
          <w:p w:rsidR="00602BB5" w:rsidRDefault="002B6BB4">
            <w:pPr>
              <w:numPr>
                <w:ilvl w:val="0"/>
                <w:numId w:val="41"/>
              </w:numPr>
              <w:rPr>
                <w:sz w:val="18"/>
                <w:szCs w:val="18"/>
              </w:rPr>
            </w:pPr>
            <w:r>
              <w:rPr>
                <w:sz w:val="18"/>
                <w:szCs w:val="18"/>
              </w:rPr>
              <w:t>Basic knowledge of sanitary and phytosanitary issues</w:t>
            </w:r>
          </w:p>
          <w:p w:rsidR="00602BB5" w:rsidRDefault="002B6BB4">
            <w:pPr>
              <w:numPr>
                <w:ilvl w:val="0"/>
                <w:numId w:val="41"/>
              </w:numPr>
              <w:rPr>
                <w:sz w:val="18"/>
                <w:szCs w:val="18"/>
              </w:rPr>
            </w:pPr>
            <w:r>
              <w:rPr>
                <w:sz w:val="18"/>
                <w:szCs w:val="18"/>
              </w:rPr>
              <w:t xml:space="preserve">Experience in audit </w:t>
            </w:r>
          </w:p>
          <w:p w:rsidR="00602BB5" w:rsidRDefault="00602BB5">
            <w:pPr>
              <w:tabs>
                <w:tab w:val="left" w:pos="720"/>
              </w:tabs>
              <w:rPr>
                <w:rFonts w:cs="Times-Bold"/>
                <w:bCs/>
                <w:sz w:val="18"/>
                <w:szCs w:val="18"/>
              </w:rPr>
            </w:pPr>
          </w:p>
        </w:tc>
      </w:tr>
      <w:tr w:rsidR="00602BB5">
        <w:trPr>
          <w:trHeight w:val="955"/>
        </w:trPr>
        <w:tc>
          <w:tcPr>
            <w:tcW w:w="9897" w:type="dxa"/>
            <w:tcMar>
              <w:top w:w="28" w:type="dxa"/>
              <w:bottom w:w="57" w:type="dxa"/>
            </w:tcMar>
          </w:tcPr>
          <w:p w:rsidR="00602BB5" w:rsidRDefault="002B6BB4">
            <w:pPr>
              <w:tabs>
                <w:tab w:val="left" w:pos="720"/>
              </w:tabs>
              <w:rPr>
                <w:rFonts w:cs="Times-Bold"/>
                <w:bCs/>
                <w:sz w:val="18"/>
                <w:szCs w:val="18"/>
              </w:rPr>
            </w:pPr>
            <w:r>
              <w:rPr>
                <w:rFonts w:cs="Times-Bold"/>
                <w:b/>
                <w:bCs/>
                <w:sz w:val="18"/>
                <w:szCs w:val="18"/>
              </w:rPr>
              <w:t xml:space="preserve">References </w:t>
            </w:r>
            <w:r>
              <w:rPr>
                <w:rFonts w:cs="Times-Bold"/>
                <w:bCs/>
                <w:sz w:val="18"/>
                <w:szCs w:val="18"/>
              </w:rPr>
              <w:t>(Relevant ISPMs and national, regional or international standards on the same topic and any specific references that would be relevant during drafting):</w:t>
            </w:r>
          </w:p>
          <w:p w:rsidR="00602BB5" w:rsidRDefault="002B6BB4">
            <w:pPr>
              <w:spacing w:before="240" w:after="240"/>
              <w:rPr>
                <w:rFonts w:eastAsia="Times New Roman"/>
                <w:color w:val="000000" w:themeColor="text1"/>
                <w:sz w:val="18"/>
                <w:szCs w:val="18"/>
                <w:lang w:eastAsia="en-AU"/>
              </w:rPr>
            </w:pPr>
            <w:r>
              <w:rPr>
                <w:rFonts w:eastAsia="Times New Roman"/>
                <w:color w:val="000000" w:themeColor="text1"/>
                <w:sz w:val="18"/>
                <w:szCs w:val="18"/>
                <w:lang w:eastAsia="en-AU"/>
              </w:rPr>
              <w:t>Bulk Cargoes – Hold Preparation and Cleaning (</w:t>
            </w:r>
            <w:r>
              <w:rPr>
                <w:rFonts w:eastAsia="Times New Roman"/>
                <w:sz w:val="18"/>
                <w:szCs w:val="18"/>
                <w:lang w:eastAsia="en-AU"/>
              </w:rPr>
              <w:t>http://standard-club.com/media/23964/15056CargoJan2011Bulletinv06.pdf</w:t>
            </w:r>
            <w:r>
              <w:rPr>
                <w:rFonts w:eastAsia="Times New Roman"/>
                <w:color w:val="000000" w:themeColor="text1"/>
                <w:sz w:val="18"/>
                <w:szCs w:val="18"/>
                <w:lang w:eastAsia="en-AU"/>
              </w:rPr>
              <w:t>).</w:t>
            </w:r>
          </w:p>
          <w:p w:rsidR="00602BB5" w:rsidRDefault="002B6BB4">
            <w:pPr>
              <w:spacing w:before="240" w:after="240"/>
              <w:rPr>
                <w:rFonts w:eastAsia="Times New Roman"/>
                <w:color w:val="000000" w:themeColor="text1"/>
                <w:sz w:val="18"/>
                <w:szCs w:val="18"/>
                <w:lang w:eastAsia="en-AU"/>
              </w:rPr>
            </w:pPr>
            <w:r>
              <w:rPr>
                <w:rFonts w:eastAsia="Times New Roman"/>
                <w:bCs/>
                <w:i/>
                <w:color w:val="000000" w:themeColor="text1"/>
                <w:sz w:val="18"/>
                <w:szCs w:val="18"/>
                <w:lang w:eastAsia="en-AU"/>
              </w:rPr>
              <w:t>Export Control (Plants and Plant Products) Order 2011</w:t>
            </w:r>
            <w:r>
              <w:rPr>
                <w:rFonts w:eastAsia="Times New Roman"/>
                <w:color w:val="000000" w:themeColor="text1"/>
                <w:sz w:val="18"/>
                <w:szCs w:val="18"/>
                <w:lang w:eastAsia="en-AU"/>
              </w:rPr>
              <w:t xml:space="preserve"> (Australia)</w:t>
            </w:r>
          </w:p>
          <w:p w:rsidR="00602BB5" w:rsidRDefault="002B6BB4">
            <w:pPr>
              <w:spacing w:before="240" w:after="240"/>
              <w:rPr>
                <w:rFonts w:eastAsia="Times New Roman"/>
                <w:bCs/>
                <w:kern w:val="36"/>
                <w:sz w:val="18"/>
                <w:szCs w:val="18"/>
                <w:lang w:eastAsia="en-AU"/>
              </w:rPr>
            </w:pPr>
            <w:r>
              <w:rPr>
                <w:rFonts w:eastAsia="Times New Roman"/>
                <w:bCs/>
                <w:kern w:val="36"/>
                <w:sz w:val="18"/>
                <w:szCs w:val="18"/>
                <w:lang w:eastAsia="en-AU"/>
              </w:rPr>
              <w:t>Loading, or Sailing after partial Discharge of Bulk Grain. Australian Maritime Safety Authority (https://www.amsa.gov.au/forms-and-publications/AMSA225.pdf).</w:t>
            </w:r>
          </w:p>
          <w:p w:rsidR="00602BB5" w:rsidRDefault="002B6BB4">
            <w:pPr>
              <w:spacing w:before="240" w:after="240"/>
              <w:rPr>
                <w:rFonts w:eastAsia="Times New Roman"/>
                <w:bCs/>
                <w:kern w:val="36"/>
                <w:sz w:val="18"/>
                <w:szCs w:val="18"/>
                <w:lang w:eastAsia="en-AU"/>
              </w:rPr>
            </w:pPr>
            <w:r>
              <w:rPr>
                <w:rFonts w:eastAsia="Times New Roman"/>
                <w:bCs/>
                <w:kern w:val="36"/>
                <w:sz w:val="18"/>
                <w:szCs w:val="18"/>
                <w:lang w:eastAsia="en-AU"/>
              </w:rPr>
              <w:t>PI-008: Inspecting Ships that Carry Grain and Grain Products for Export (http://www.inspection.gc.ca/plants/grains-and-field-crops/exports/pi-008/eng/1328495612131/1328495722814)</w:t>
            </w:r>
          </w:p>
          <w:p w:rsidR="00602BB5" w:rsidRDefault="002B6BB4">
            <w:pPr>
              <w:spacing w:before="240" w:after="240"/>
              <w:rPr>
                <w:rFonts w:eastAsia="Times New Roman"/>
                <w:color w:val="000000" w:themeColor="text1"/>
                <w:sz w:val="18"/>
                <w:szCs w:val="18"/>
                <w:lang w:eastAsia="en-AU"/>
              </w:rPr>
            </w:pPr>
            <w:r>
              <w:rPr>
                <w:rFonts w:eastAsia="Times New Roman"/>
                <w:color w:val="000000" w:themeColor="text1"/>
                <w:sz w:val="18"/>
                <w:szCs w:val="18"/>
                <w:lang w:eastAsia="en-AU"/>
              </w:rPr>
              <w:t>Plant Export Operation Manual – Bulk Vessel Inspection (Australian Government Department of Agriculture)</w:t>
            </w:r>
          </w:p>
          <w:p w:rsidR="00602BB5" w:rsidRDefault="002B6BB4">
            <w:pPr>
              <w:spacing w:before="240" w:after="240"/>
              <w:rPr>
                <w:rFonts w:eastAsia="Times New Roman"/>
                <w:color w:val="000000" w:themeColor="text1"/>
                <w:sz w:val="18"/>
                <w:szCs w:val="18"/>
                <w:lang w:eastAsia="en-AU"/>
              </w:rPr>
            </w:pPr>
            <w:r>
              <w:rPr>
                <w:rFonts w:eastAsia="Times New Roman"/>
                <w:color w:val="000000" w:themeColor="text1"/>
                <w:sz w:val="18"/>
                <w:szCs w:val="18"/>
                <w:lang w:eastAsia="en-AU"/>
              </w:rPr>
              <w:t>Inspection of empty bulk vessel (Australian Government Department of Agriculture)</w:t>
            </w:r>
          </w:p>
          <w:p w:rsidR="00602BB5" w:rsidRDefault="00602BB5">
            <w:pPr>
              <w:spacing w:before="240" w:after="240"/>
              <w:rPr>
                <w:rFonts w:cs="Times-Bold"/>
                <w:bCs/>
                <w:sz w:val="18"/>
                <w:szCs w:val="18"/>
              </w:rPr>
            </w:pPr>
          </w:p>
        </w:tc>
      </w:tr>
      <w:tr w:rsidR="00602BB5">
        <w:trPr>
          <w:trHeight w:val="7892"/>
        </w:trPr>
        <w:tc>
          <w:tcPr>
            <w:tcW w:w="9897" w:type="dxa"/>
            <w:tcMar>
              <w:top w:w="28" w:type="dxa"/>
              <w:bottom w:w="57" w:type="dxa"/>
            </w:tcMar>
          </w:tcPr>
          <w:p w:rsidR="00602BB5" w:rsidRDefault="002B6BB4">
            <w:pPr>
              <w:tabs>
                <w:tab w:val="left" w:pos="720"/>
              </w:tabs>
              <w:ind w:left="567" w:hanging="567"/>
              <w:rPr>
                <w:rFonts w:cs="Times-Bold"/>
                <w:bCs/>
                <w:sz w:val="18"/>
                <w:szCs w:val="18"/>
              </w:rPr>
            </w:pPr>
            <w:r>
              <w:rPr>
                <w:rFonts w:cs="Times-Bold"/>
                <w:b/>
                <w:bCs/>
                <w:sz w:val="18"/>
                <w:szCs w:val="18"/>
              </w:rPr>
              <w:lastRenderedPageBreak/>
              <w:t xml:space="preserve">Literature review </w:t>
            </w:r>
            <w:r>
              <w:rPr>
                <w:rFonts w:cs="Times-Bold"/>
                <w:bCs/>
                <w:sz w:val="18"/>
                <w:szCs w:val="18"/>
              </w:rPr>
              <w:t xml:space="preserve">(this section will provide a </w:t>
            </w:r>
            <w:r>
              <w:rPr>
                <w:rFonts w:cs="Times-Bold"/>
                <w:b/>
                <w:bCs/>
                <w:sz w:val="18"/>
                <w:szCs w:val="18"/>
              </w:rPr>
              <w:t xml:space="preserve">summary of the topic </w:t>
            </w:r>
            <w:r>
              <w:rPr>
                <w:rFonts w:cs="Times-Bold"/>
                <w:bCs/>
                <w:sz w:val="18"/>
                <w:szCs w:val="18"/>
              </w:rPr>
              <w:t xml:space="preserve">based on scientific and technical publications, including a referenced </w:t>
            </w:r>
            <w:r>
              <w:rPr>
                <w:rFonts w:cs="Times-Bold"/>
                <w:b/>
                <w:bCs/>
                <w:sz w:val="18"/>
                <w:szCs w:val="18"/>
              </w:rPr>
              <w:t>listed of literature reviewed.</w:t>
            </w:r>
            <w:r>
              <w:rPr>
                <w:rFonts w:cs="Times-Bold"/>
                <w:bCs/>
                <w:sz w:val="18"/>
                <w:szCs w:val="18"/>
              </w:rPr>
              <w:t xml:space="preserve"> This will help provide the scientific basis for the content of the standard to be used by the selected experts during the development of the standard):</w:t>
            </w:r>
          </w:p>
        </w:tc>
      </w:tr>
    </w:tbl>
    <w:p w:rsidR="00602BB5" w:rsidRDefault="002B6BB4">
      <w:pPr>
        <w:tabs>
          <w:tab w:val="left" w:pos="2040"/>
          <w:tab w:val="left" w:pos="9639"/>
        </w:tabs>
        <w:rPr>
          <w:b/>
          <w:sz w:val="20"/>
          <w:szCs w:val="20"/>
        </w:rPr>
      </w:pPr>
      <w:r>
        <w:rPr>
          <w:b/>
          <w:sz w:val="20"/>
          <w:szCs w:val="20"/>
          <w:u w:val="single"/>
        </w:rPr>
        <w:t>Send submissions to:</w:t>
      </w:r>
    </w:p>
    <w:p w:rsidR="00602BB5" w:rsidRDefault="002B6BB4">
      <w:pPr>
        <w:tabs>
          <w:tab w:val="left" w:pos="2640"/>
          <w:tab w:val="left" w:pos="5520"/>
        </w:tabs>
        <w:rPr>
          <w:sz w:val="20"/>
          <w:szCs w:val="20"/>
        </w:rPr>
      </w:pPr>
      <w:r>
        <w:rPr>
          <w:sz w:val="20"/>
          <w:szCs w:val="20"/>
        </w:rPr>
        <w:t>ippc@fao.org (Title message: Call for Topics – 2015)</w:t>
      </w:r>
    </w:p>
    <w:p w:rsidR="00602BB5" w:rsidRDefault="00602BB5">
      <w:pPr>
        <w:tabs>
          <w:tab w:val="left" w:pos="2640"/>
          <w:tab w:val="left" w:pos="5520"/>
        </w:tabs>
        <w:rPr>
          <w:sz w:val="20"/>
          <w:szCs w:val="20"/>
        </w:rPr>
      </w:pPr>
    </w:p>
    <w:p w:rsidR="00602BB5" w:rsidRDefault="002B6BB4">
      <w:pPr>
        <w:tabs>
          <w:tab w:val="left" w:pos="2640"/>
          <w:tab w:val="left" w:pos="5520"/>
        </w:tabs>
        <w:rPr>
          <w:sz w:val="20"/>
          <w:szCs w:val="20"/>
        </w:rPr>
      </w:pPr>
      <w:r>
        <w:rPr>
          <w:b/>
          <w:sz w:val="20"/>
          <w:szCs w:val="20"/>
          <w:u w:val="single"/>
        </w:rPr>
        <w:t>Mail:</w:t>
      </w:r>
      <w:r>
        <w:rPr>
          <w:sz w:val="20"/>
          <w:szCs w:val="20"/>
        </w:rPr>
        <w:t xml:space="preserve"> </w:t>
      </w:r>
    </w:p>
    <w:p w:rsidR="00602BB5" w:rsidRDefault="002B6BB4">
      <w:pPr>
        <w:tabs>
          <w:tab w:val="left" w:pos="2640"/>
          <w:tab w:val="left" w:pos="5520"/>
        </w:tabs>
        <w:rPr>
          <w:sz w:val="20"/>
          <w:szCs w:val="20"/>
        </w:rPr>
      </w:pPr>
      <w:r>
        <w:rPr>
          <w:sz w:val="20"/>
          <w:szCs w:val="20"/>
        </w:rPr>
        <w:t>IPPC Secretariat (AGDI)</w:t>
      </w:r>
    </w:p>
    <w:p w:rsidR="00602BB5" w:rsidRDefault="002B6BB4">
      <w:pPr>
        <w:tabs>
          <w:tab w:val="left" w:pos="2640"/>
          <w:tab w:val="left" w:pos="5520"/>
        </w:tabs>
        <w:rPr>
          <w:sz w:val="20"/>
          <w:szCs w:val="20"/>
        </w:rPr>
      </w:pPr>
      <w:r>
        <w:rPr>
          <w:sz w:val="20"/>
          <w:szCs w:val="20"/>
        </w:rPr>
        <w:t>Food and Agriculture Organization of the UN</w:t>
      </w:r>
    </w:p>
    <w:p w:rsidR="00602BB5" w:rsidRPr="006B7C32" w:rsidRDefault="002B6BB4">
      <w:pPr>
        <w:tabs>
          <w:tab w:val="left" w:pos="2640"/>
          <w:tab w:val="left" w:pos="5520"/>
        </w:tabs>
        <w:rPr>
          <w:sz w:val="20"/>
          <w:szCs w:val="20"/>
          <w:lang w:val="it-IT"/>
        </w:rPr>
      </w:pPr>
      <w:r w:rsidRPr="006B7C32">
        <w:rPr>
          <w:sz w:val="20"/>
          <w:szCs w:val="20"/>
          <w:lang w:val="it-IT"/>
        </w:rPr>
        <w:t>Viale delle Terme di Caracalla</w:t>
      </w:r>
    </w:p>
    <w:p w:rsidR="00602BB5" w:rsidRPr="006B7C32" w:rsidRDefault="002B6BB4">
      <w:pPr>
        <w:tabs>
          <w:tab w:val="left" w:pos="2640"/>
          <w:tab w:val="left" w:pos="5520"/>
        </w:tabs>
        <w:rPr>
          <w:sz w:val="20"/>
          <w:szCs w:val="20"/>
          <w:lang w:val="it-IT"/>
        </w:rPr>
      </w:pPr>
      <w:r w:rsidRPr="006B7C32">
        <w:rPr>
          <w:sz w:val="20"/>
          <w:szCs w:val="20"/>
          <w:lang w:val="it-IT"/>
        </w:rPr>
        <w:t xml:space="preserve">00153 Rome, </w:t>
      </w:r>
      <w:proofErr w:type="spellStart"/>
      <w:r w:rsidRPr="006B7C32">
        <w:rPr>
          <w:sz w:val="20"/>
          <w:szCs w:val="20"/>
          <w:lang w:val="it-IT"/>
        </w:rPr>
        <w:t>Italy</w:t>
      </w:r>
      <w:proofErr w:type="spellEnd"/>
      <w:r w:rsidRPr="002B6BB4">
        <w:rPr>
          <w:sz w:val="20"/>
          <w:szCs w:val="20"/>
          <w:lang w:val="it-IT"/>
        </w:rPr>
        <w:tab/>
      </w:r>
    </w:p>
    <w:sectPr w:rsidR="00602BB5" w:rsidRPr="006B7C32">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284" w:footer="4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BB5" w:rsidRDefault="002B6BB4">
      <w:r>
        <w:separator/>
      </w:r>
    </w:p>
  </w:endnote>
  <w:endnote w:type="continuationSeparator" w:id="0">
    <w:p w:rsidR="00602BB5" w:rsidRDefault="002B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panose1 w:val="00000000000000000000"/>
    <w:charset w:val="00"/>
    <w:family w:val="roman"/>
    <w:notTrueType/>
    <w:pitch w:val="default"/>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B5" w:rsidRDefault="002B6BB4">
    <w:pPr>
      <w:pStyle w:val="IPPFooter"/>
      <w:rPr>
        <w:rStyle w:val="PageNumber"/>
      </w:rPr>
    </w:pPr>
    <w:r>
      <w:rPr>
        <w:rStyle w:val="PageNumber"/>
        <w:b/>
      </w:rPr>
      <w:t xml:space="preserve">Page </w:t>
    </w:r>
    <w:r>
      <w:rPr>
        <w:rStyle w:val="PageNumber"/>
        <w:b/>
      </w:rPr>
      <w:fldChar w:fldCharType="begin"/>
    </w:r>
    <w:r>
      <w:rPr>
        <w:rStyle w:val="PageNumber"/>
        <w:b/>
      </w:rPr>
      <w:instrText xml:space="preserve"> PAGE </w:instrText>
    </w:r>
    <w:r>
      <w:rPr>
        <w:rStyle w:val="PageNumber"/>
        <w:b/>
      </w:rPr>
      <w:fldChar w:fldCharType="separate"/>
    </w:r>
    <w:r w:rsidR="006B7C32">
      <w:rPr>
        <w:rStyle w:val="PageNumber"/>
        <w:b/>
        <w:noProof/>
      </w:rPr>
      <w:t>2</w:t>
    </w:r>
    <w:r>
      <w:rPr>
        <w:rStyle w:val="PageNumber"/>
        <w:b/>
      </w:rPr>
      <w:fldChar w:fldCharType="end"/>
    </w:r>
    <w:r>
      <w:rPr>
        <w:rStyle w:val="PageNumber"/>
        <w:b/>
      </w:rPr>
      <w:t xml:space="preserve"> </w:t>
    </w:r>
    <w:r>
      <w:rPr>
        <w:rStyle w:val="PageNumber"/>
      </w:rPr>
      <w:t>of</w:t>
    </w:r>
    <w:r>
      <w:rPr>
        <w:rStyle w:val="PageNumber"/>
        <w:b/>
      </w:rPr>
      <w:t xml:space="preserve"> </w:t>
    </w:r>
    <w:r>
      <w:rPr>
        <w:rStyle w:val="PageNumber"/>
        <w:b/>
      </w:rPr>
      <w:fldChar w:fldCharType="begin"/>
    </w:r>
    <w:r>
      <w:rPr>
        <w:rStyle w:val="PageNumber"/>
        <w:b/>
      </w:rPr>
      <w:instrText xml:space="preserve"> NUMPAGES </w:instrText>
    </w:r>
    <w:r>
      <w:rPr>
        <w:rStyle w:val="PageNumber"/>
        <w:b/>
      </w:rPr>
      <w:fldChar w:fldCharType="separate"/>
    </w:r>
    <w:r w:rsidR="006B7C32">
      <w:rPr>
        <w:rStyle w:val="PageNumber"/>
        <w:b/>
        <w:noProof/>
      </w:rPr>
      <w:t>10</w:t>
    </w:r>
    <w:r>
      <w:rPr>
        <w:rStyle w:val="PageNumber"/>
        <w:b/>
      </w:rPr>
      <w:fldChar w:fldCharType="end"/>
    </w:r>
    <w:r>
      <w:tab/>
      <w:t>International Plant Protection Convention</w:t>
    </w:r>
  </w:p>
  <w:p w:rsidR="00602BB5" w:rsidRDefault="00602B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B5" w:rsidRDefault="002B6BB4">
    <w:pPr>
      <w:pStyle w:val="IPPFooter"/>
      <w:tabs>
        <w:tab w:val="clear" w:pos="9072"/>
        <w:tab w:val="left" w:pos="8041"/>
        <w:tab w:val="right" w:pos="9639"/>
      </w:tabs>
      <w:jc w:val="left"/>
    </w:pPr>
    <w:r>
      <w:rPr>
        <w:rStyle w:val="PageNumber"/>
        <w:b/>
      </w:rPr>
      <w:t>International Plan Protection Convention</w:t>
    </w:r>
    <w:r>
      <w:rPr>
        <w:b w:val="0"/>
      </w:rPr>
      <w:tab/>
    </w:r>
    <w:r>
      <w:t xml:space="preserve">Page </w:t>
    </w:r>
    <w:r>
      <w:fldChar w:fldCharType="begin"/>
    </w:r>
    <w:r>
      <w:instrText xml:space="preserve"> PAGE </w:instrText>
    </w:r>
    <w:r>
      <w:fldChar w:fldCharType="separate"/>
    </w:r>
    <w:r w:rsidR="006B7C32">
      <w:rPr>
        <w:noProof/>
      </w:rPr>
      <w:t>3</w:t>
    </w:r>
    <w:r>
      <w:rPr>
        <w:noProof/>
      </w:rPr>
      <w:fldChar w:fldCharType="end"/>
    </w:r>
    <w:r>
      <w:t xml:space="preserve"> </w:t>
    </w:r>
    <w:r>
      <w:rPr>
        <w:b w:val="0"/>
      </w:rPr>
      <w:t xml:space="preserve">of </w:t>
    </w:r>
    <w:r>
      <w:fldChar w:fldCharType="begin"/>
    </w:r>
    <w:r>
      <w:instrText xml:space="preserve"> NUMPAGES  </w:instrText>
    </w:r>
    <w:r>
      <w:fldChar w:fldCharType="separate"/>
    </w:r>
    <w:r w:rsidR="006B7C32">
      <w:rPr>
        <w:noProof/>
      </w:rPr>
      <w:t>10</w:t>
    </w:r>
    <w:r>
      <w:rPr>
        <w:noProof/>
      </w:rPr>
      <w:fldChar w:fldCharType="end"/>
    </w:r>
  </w:p>
  <w:p w:rsidR="00602BB5" w:rsidRDefault="002B6BB4">
    <w:pPr>
      <w:pStyle w:val="Footer"/>
      <w:tabs>
        <w:tab w:val="left" w:pos="886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B5" w:rsidRDefault="002B6BB4">
    <w:pPr>
      <w:pStyle w:val="IPPFooter"/>
      <w:tabs>
        <w:tab w:val="clear" w:pos="9072"/>
        <w:tab w:val="left" w:pos="8041"/>
        <w:tab w:val="right" w:pos="9639"/>
      </w:tabs>
      <w:jc w:val="left"/>
    </w:pPr>
    <w:r>
      <w:rPr>
        <w:rStyle w:val="PageNumber"/>
      </w:rPr>
      <w:t>International Plan Protection Convention</w:t>
    </w:r>
    <w:r>
      <w:tab/>
      <w:t xml:space="preserve">Page </w:t>
    </w:r>
    <w:r>
      <w:fldChar w:fldCharType="begin"/>
    </w:r>
    <w:r>
      <w:instrText xml:space="preserve"> PAGE </w:instrText>
    </w:r>
    <w:r>
      <w:fldChar w:fldCharType="separate"/>
    </w:r>
    <w:r w:rsidR="006B7C32">
      <w:rPr>
        <w:noProof/>
      </w:rPr>
      <w:t>1</w:t>
    </w:r>
    <w:r>
      <w:rPr>
        <w:noProof/>
      </w:rPr>
      <w:fldChar w:fldCharType="end"/>
    </w:r>
    <w:r>
      <w:t xml:space="preserve"> of </w:t>
    </w:r>
    <w:r>
      <w:fldChar w:fldCharType="begin"/>
    </w:r>
    <w:r>
      <w:instrText xml:space="preserve"> NUMPAGES  </w:instrText>
    </w:r>
    <w:r>
      <w:fldChar w:fldCharType="separate"/>
    </w:r>
    <w:r w:rsidR="006B7C32">
      <w:rPr>
        <w:noProof/>
      </w:rPr>
      <w:t>10</w:t>
    </w:r>
    <w:r>
      <w:rPr>
        <w:noProof/>
      </w:rPr>
      <w:fldChar w:fldCharType="end"/>
    </w:r>
  </w:p>
  <w:p w:rsidR="00602BB5" w:rsidRDefault="002B6BB4">
    <w:pPr>
      <w:pStyle w:val="Footer"/>
      <w:tabs>
        <w:tab w:val="left" w:pos="88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BB5" w:rsidRDefault="002B6BB4">
      <w:r>
        <w:separator/>
      </w:r>
    </w:p>
  </w:footnote>
  <w:footnote w:type="continuationSeparator" w:id="0">
    <w:p w:rsidR="00602BB5" w:rsidRDefault="002B6BB4">
      <w:r>
        <w:continuationSeparator/>
      </w:r>
    </w:p>
  </w:footnote>
  <w:footnote w:id="1">
    <w:p w:rsidR="00602BB5" w:rsidRDefault="002B6BB4">
      <w:pPr>
        <w:pStyle w:val="FootnoteText"/>
      </w:pPr>
      <w:r>
        <w:rPr>
          <w:rStyle w:val="FootnoteReference"/>
        </w:rPr>
        <w:footnoteRef/>
      </w:r>
      <w:r>
        <w:t xml:space="preserve"> Link to this submission form on the IPP:  https://www.ippc.int/en/core-activities/calls-topics/ </w:t>
      </w:r>
    </w:p>
  </w:footnote>
  <w:footnote w:id="2">
    <w:p w:rsidR="00602BB5" w:rsidRDefault="002B6BB4">
      <w:pPr>
        <w:pStyle w:val="FootnoteText"/>
      </w:pPr>
      <w:r>
        <w:rPr>
          <w:rStyle w:val="FootnoteReference"/>
        </w:rPr>
        <w:footnoteRef/>
      </w:r>
      <w:r>
        <w:t xml:space="preserve"> Link to the IPPC Standard setting procedure: https://www.ippc.int/en/core-activities/standards-setting/   </w:t>
      </w:r>
    </w:p>
  </w:footnote>
  <w:footnote w:id="3">
    <w:p w:rsidR="00602BB5" w:rsidRDefault="002B6BB4">
      <w:pPr>
        <w:pStyle w:val="FootnoteText"/>
      </w:pPr>
      <w:r>
        <w:rPr>
          <w:rStyle w:val="FootnoteReference"/>
        </w:rPr>
        <w:footnoteRef/>
      </w:r>
      <w:r>
        <w:t xml:space="preserve"> Link to the List of topics for IPPC standards: https://www.ippc.int/en/core-activities/standards-setting/list-topics-ippc-standards/ </w:t>
      </w:r>
    </w:p>
  </w:footnote>
  <w:footnote w:id="4">
    <w:p w:rsidR="00602BB5" w:rsidRDefault="002B6BB4">
      <w:pPr>
        <w:pStyle w:val="FootnoteText"/>
      </w:pPr>
      <w:r>
        <w:rPr>
          <w:rStyle w:val="FootnoteReference"/>
        </w:rPr>
        <w:footnoteRef/>
      </w:r>
      <w:r>
        <w:t xml:space="preserve"> Text in brackets () given for explanatory purposes.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B5" w:rsidRDefault="00602BB5">
    <w:pPr>
      <w:pStyle w:val="IPPHeader"/>
      <w:tabs>
        <w:tab w:val="clear" w:pos="9072"/>
        <w:tab w:val="right" w:pos="9639"/>
      </w:tabs>
      <w:rPr>
        <w:szCs w:val="18"/>
      </w:rPr>
    </w:pPr>
  </w:p>
  <w:p w:rsidR="00602BB5" w:rsidRDefault="002B6BB4">
    <w:pPr>
      <w:pStyle w:val="IPPHeader"/>
      <w:tabs>
        <w:tab w:val="clear" w:pos="9072"/>
        <w:tab w:val="right" w:pos="9639"/>
      </w:tabs>
    </w:pPr>
    <w:r>
      <w:rPr>
        <w:szCs w:val="18"/>
      </w:rPr>
      <w:t>Submission form for Topics for IPPC Standards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B5" w:rsidRDefault="00602BB5">
    <w:pPr>
      <w:pStyle w:val="IPPHeader"/>
      <w:tabs>
        <w:tab w:val="clear" w:pos="9072"/>
        <w:tab w:val="right" w:pos="9639"/>
      </w:tabs>
      <w:jc w:val="right"/>
      <w:rPr>
        <w:szCs w:val="18"/>
      </w:rPr>
    </w:pPr>
  </w:p>
  <w:p w:rsidR="00602BB5" w:rsidRDefault="002B6BB4">
    <w:pPr>
      <w:pStyle w:val="IPPHeader"/>
      <w:tabs>
        <w:tab w:val="clear" w:pos="9072"/>
        <w:tab w:val="right" w:pos="9639"/>
      </w:tabs>
      <w:jc w:val="right"/>
      <w:rPr>
        <w:szCs w:val="18"/>
      </w:rPr>
    </w:pPr>
    <w:r>
      <w:rPr>
        <w:szCs w:val="18"/>
      </w:rPr>
      <w:t>Submission form for Topics for IPPC Standards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B5" w:rsidRDefault="002B6BB4">
    <w:pPr>
      <w:pStyle w:val="IPPHeader"/>
    </w:pPr>
    <w:r>
      <w:rPr>
        <w:noProof/>
        <w:lang w:eastAsia="en-GB"/>
      </w:rPr>
      <w:drawing>
        <wp:anchor distT="0" distB="0" distL="114300" distR="114300" simplePos="0" relativeHeight="251658240" behindDoc="0" locked="0" layoutInCell="1" allowOverlap="1" wp14:anchorId="5D90B8A7" wp14:editId="1408BC7B">
          <wp:simplePos x="0" y="0"/>
          <wp:positionH relativeFrom="column">
            <wp:posOffset>-929005</wp:posOffset>
          </wp:positionH>
          <wp:positionV relativeFrom="paragraph">
            <wp:posOffset>-310515</wp:posOffset>
          </wp:positionV>
          <wp:extent cx="7597140" cy="426720"/>
          <wp:effectExtent l="19050" t="0" r="381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7140" cy="42672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0" locked="0" layoutInCell="1" allowOverlap="1" wp14:anchorId="2E337E0C" wp14:editId="08775127">
          <wp:simplePos x="0" y="0"/>
          <wp:positionH relativeFrom="column">
            <wp:posOffset>-43815</wp:posOffset>
          </wp:positionH>
          <wp:positionV relativeFrom="paragraph">
            <wp:posOffset>159385</wp:posOffset>
          </wp:positionV>
          <wp:extent cx="635000" cy="330200"/>
          <wp:effectExtent l="19050" t="0" r="0" b="0"/>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2"/>
                  <a:srcRect/>
                  <a:stretch>
                    <a:fillRect/>
                  </a:stretch>
                </pic:blipFill>
                <pic:spPr bwMode="auto">
                  <a:xfrm>
                    <a:off x="0" y="0"/>
                    <a:ext cx="635000" cy="330200"/>
                  </a:xfrm>
                  <a:prstGeom prst="rect">
                    <a:avLst/>
                  </a:prstGeom>
                  <a:noFill/>
                  <a:ln w="9525">
                    <a:noFill/>
                    <a:miter lim="800000"/>
                    <a:headEnd/>
                    <a:tailEnd/>
                  </a:ln>
                </pic:spPr>
              </pic:pic>
            </a:graphicData>
          </a:graphic>
        </wp:anchor>
      </w:drawing>
    </w:r>
    <w:r>
      <w:tab/>
    </w:r>
  </w:p>
  <w:p w:rsidR="00602BB5" w:rsidRDefault="002B6BB4">
    <w:pPr>
      <w:pStyle w:val="IPPHeader"/>
    </w:pPr>
    <w:r>
      <w:tab/>
      <w:t>International Plant Protection Convention</w:t>
    </w:r>
    <w:r>
      <w:tab/>
    </w:r>
    <w:r>
      <w:rPr>
        <w:rFonts w:cs="Times New Roman"/>
        <w:sz w:val="20"/>
        <w:szCs w:val="20"/>
      </w:rPr>
      <w:t>Topic number 2015-001</w:t>
    </w:r>
  </w:p>
  <w:p w:rsidR="00602BB5" w:rsidRDefault="002B6BB4">
    <w:pPr>
      <w:pStyle w:val="IPPHeader"/>
      <w:tabs>
        <w:tab w:val="clear" w:pos="9072"/>
        <w:tab w:val="right" w:pos="9639"/>
      </w:tabs>
      <w:rPr>
        <w:i/>
        <w:iCs/>
      </w:rPr>
    </w:pPr>
    <w:r>
      <w:tab/>
      <w:t xml:space="preserve">Submission form for </w:t>
    </w:r>
    <w:r>
      <w:rPr>
        <w:szCs w:val="18"/>
      </w:rPr>
      <w:t>Submission form for Topics for IPPC Standards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C0F3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609365C"/>
    <w:multiLevelType w:val="hybridMultilevel"/>
    <w:tmpl w:val="4F560C4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69956EE"/>
    <w:multiLevelType w:val="hybridMultilevel"/>
    <w:tmpl w:val="72A6ECC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4C0A6C"/>
    <w:multiLevelType w:val="multilevel"/>
    <w:tmpl w:val="06E871E4"/>
    <w:numStyleLink w:val="IPPParagraphnumberedlist"/>
  </w:abstractNum>
  <w:abstractNum w:abstractNumId="5">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DCE42D7"/>
    <w:multiLevelType w:val="hybridMultilevel"/>
    <w:tmpl w:val="E496EC50"/>
    <w:lvl w:ilvl="0" w:tplc="EE9EA238">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78F6FD9"/>
    <w:multiLevelType w:val="hybridMultilevel"/>
    <w:tmpl w:val="2B98F090"/>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B82B85"/>
    <w:multiLevelType w:val="hybridMultilevel"/>
    <w:tmpl w:val="8904BEC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7F84860"/>
    <w:multiLevelType w:val="hybridMultilevel"/>
    <w:tmpl w:val="9D3EE0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A3C16A4"/>
    <w:multiLevelType w:val="multilevel"/>
    <w:tmpl w:val="6C128D1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1D131A9B"/>
    <w:multiLevelType w:val="hybridMultilevel"/>
    <w:tmpl w:val="9F4A89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EA30316"/>
    <w:multiLevelType w:val="multilevel"/>
    <w:tmpl w:val="3152947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27F51483"/>
    <w:multiLevelType w:val="hybridMultilevel"/>
    <w:tmpl w:val="A126BB1C"/>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6">
    <w:nsid w:val="32D01177"/>
    <w:multiLevelType w:val="hybridMultilevel"/>
    <w:tmpl w:val="3152947C"/>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DA4756E"/>
    <w:multiLevelType w:val="multilevel"/>
    <w:tmpl w:val="3152947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9091615"/>
    <w:multiLevelType w:val="hybridMultilevel"/>
    <w:tmpl w:val="A2D0AB10"/>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B106712"/>
    <w:multiLevelType w:val="hybridMultilevel"/>
    <w:tmpl w:val="B66AA42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CEC4F0B"/>
    <w:multiLevelType w:val="hybridMultilevel"/>
    <w:tmpl w:val="6F9E5F90"/>
    <w:lvl w:ilvl="0" w:tplc="5C6AA0C8">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544050E6"/>
    <w:multiLevelType w:val="hybridMultilevel"/>
    <w:tmpl w:val="897E2B7C"/>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55C65B4D"/>
    <w:multiLevelType w:val="hybridMultilevel"/>
    <w:tmpl w:val="67C46A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616120C0"/>
    <w:multiLevelType w:val="hybridMultilevel"/>
    <w:tmpl w:val="3278B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42F2C2B"/>
    <w:multiLevelType w:val="hybridMultilevel"/>
    <w:tmpl w:val="6C128D1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DE771A"/>
    <w:multiLevelType w:val="hybridMultilevel"/>
    <w:tmpl w:val="069C076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68C47F68"/>
    <w:multiLevelType w:val="multilevel"/>
    <w:tmpl w:val="67C46A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574283"/>
    <w:multiLevelType w:val="multilevel"/>
    <w:tmpl w:val="A2D0AB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nsid w:val="6D47126D"/>
    <w:multiLevelType w:val="hybridMultilevel"/>
    <w:tmpl w:val="A0101ED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AA565B"/>
    <w:multiLevelType w:val="multilevel"/>
    <w:tmpl w:val="4F560C4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nsid w:val="773A4970"/>
    <w:multiLevelType w:val="multilevel"/>
    <w:tmpl w:val="A126BB1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25"/>
  </w:num>
  <w:num w:numId="3">
    <w:abstractNumId w:val="30"/>
  </w:num>
  <w:num w:numId="4">
    <w:abstractNumId w:val="2"/>
  </w:num>
  <w:num w:numId="5">
    <w:abstractNumId w:val="16"/>
  </w:num>
  <w:num w:numId="6">
    <w:abstractNumId w:val="35"/>
  </w:num>
  <w:num w:numId="7">
    <w:abstractNumId w:val="18"/>
  </w:num>
  <w:num w:numId="8">
    <w:abstractNumId w:val="13"/>
  </w:num>
  <w:num w:numId="9">
    <w:abstractNumId w:val="1"/>
  </w:num>
  <w:num w:numId="10">
    <w:abstractNumId w:val="21"/>
  </w:num>
  <w:num w:numId="11">
    <w:abstractNumId w:val="8"/>
  </w:num>
  <w:num w:numId="12">
    <w:abstractNumId w:val="14"/>
  </w:num>
  <w:num w:numId="13">
    <w:abstractNumId w:val="33"/>
  </w:num>
  <w:num w:numId="14">
    <w:abstractNumId w:val="24"/>
  </w:num>
  <w:num w:numId="15">
    <w:abstractNumId w:val="20"/>
  </w:num>
  <w:num w:numId="16">
    <w:abstractNumId w:val="32"/>
  </w:num>
  <w:num w:numId="17">
    <w:abstractNumId w:val="29"/>
  </w:num>
  <w:num w:numId="18">
    <w:abstractNumId w:val="27"/>
  </w:num>
  <w:num w:numId="19">
    <w:abstractNumId w:val="22"/>
  </w:num>
  <w:num w:numId="20">
    <w:abstractNumId w:val="36"/>
  </w:num>
  <w:num w:numId="21">
    <w:abstractNumId w:val="10"/>
  </w:num>
  <w:num w:numId="22">
    <w:abstractNumId w:val="28"/>
  </w:num>
  <w:num w:numId="23">
    <w:abstractNumId w:val="5"/>
  </w:num>
  <w:num w:numId="24">
    <w:abstractNumId w:val="4"/>
  </w:num>
  <w:num w:numId="25">
    <w:abstractNumId w:val="15"/>
  </w:num>
  <w:num w:numId="26">
    <w:abstractNumId w:val="34"/>
  </w:num>
  <w:num w:numId="27">
    <w:abstractNumId w:val="23"/>
  </w:num>
  <w:num w:numId="28">
    <w:abstractNumId w:val="17"/>
  </w:num>
  <w:num w:numId="29">
    <w:abstractNumId w:val="37"/>
  </w:num>
  <w:num w:numId="30">
    <w:abstractNumId w:val="11"/>
  </w:num>
  <w:num w:numId="31">
    <w:abstractNumId w:val="4"/>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4"/>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4"/>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4"/>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4"/>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4"/>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0"/>
  </w:num>
  <w:num w:numId="38">
    <w:abstractNumId w:val="19"/>
  </w:num>
  <w:num w:numId="39">
    <w:abstractNumId w:val="31"/>
  </w:num>
  <w:num w:numId="40">
    <w:abstractNumId w:val="6"/>
  </w:num>
  <w:num w:numId="41">
    <w:abstractNumId w:val="12"/>
  </w:num>
  <w:num w:numId="42">
    <w:abstractNumId w:val="7"/>
  </w:num>
  <w:num w:numId="43">
    <w:abstractNumId w:val="26"/>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removePersonalInformation/>
  <w:removeDateAndTime/>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602BB5"/>
    <w:rsid w:val="002B6BB4"/>
    <w:rsid w:val="00602BB5"/>
    <w:rsid w:val="006B7C3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C32"/>
    <w:pPr>
      <w:spacing w:after="200" w:line="276" w:lineRule="auto"/>
    </w:pPr>
    <w:rPr>
      <w:rFonts w:eastAsiaTheme="minorHAnsi" w:cstheme="minorBidi"/>
      <w:sz w:val="24"/>
      <w:szCs w:val="22"/>
      <w:lang w:val="en-GB" w:eastAsia="en-US"/>
    </w:rPr>
  </w:style>
  <w:style w:type="paragraph" w:styleId="Heading1">
    <w:name w:val="heading 1"/>
    <w:basedOn w:val="Normal"/>
    <w:next w:val="Normal"/>
    <w:link w:val="Heading1Char"/>
    <w:uiPriority w:val="9"/>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6B7C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7C32"/>
  </w:style>
  <w:style w:type="table" w:styleId="TableGrid">
    <w:name w:val="Table Grid"/>
    <w:basedOn w:val="TableNormal"/>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B7C32"/>
    <w:pPr>
      <w:tabs>
        <w:tab w:val="center" w:pos="4536"/>
        <w:tab w:val="right" w:pos="9072"/>
      </w:tabs>
      <w:spacing w:after="0" w:line="240" w:lineRule="auto"/>
    </w:pPr>
  </w:style>
  <w:style w:type="character" w:styleId="PageNumber">
    <w:name w:val="page number"/>
    <w:rPr>
      <w:rFonts w:ascii="Arial" w:hAnsi="Arial"/>
      <w:b/>
      <w:sz w:val="18"/>
    </w:rPr>
  </w:style>
  <w:style w:type="paragraph" w:styleId="BalloonText">
    <w:name w:val="Balloon Text"/>
    <w:basedOn w:val="Normal"/>
    <w:link w:val="BalloonTextChar"/>
    <w:rPr>
      <w:rFonts w:ascii="Tahoma" w:hAnsi="Tahoma" w:cs="Tahoma"/>
      <w:sz w:val="16"/>
      <w:szCs w:val="16"/>
    </w:rPr>
  </w:style>
  <w:style w:type="paragraph" w:styleId="Header">
    <w:name w:val="header"/>
    <w:basedOn w:val="Normal"/>
    <w:link w:val="HeaderChar"/>
    <w:uiPriority w:val="99"/>
    <w:unhideWhenUsed/>
    <w:rsid w:val="006B7C32"/>
    <w:pPr>
      <w:tabs>
        <w:tab w:val="center" w:pos="4536"/>
        <w:tab w:val="right" w:pos="9072"/>
      </w:tabs>
      <w:spacing w:after="0" w:line="240" w:lineRule="auto"/>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CharChar">
    <w:name w:val="Char Char"/>
    <w:basedOn w:val="Normal"/>
    <w:pPr>
      <w:spacing w:after="160" w:line="240" w:lineRule="exact"/>
    </w:pPr>
    <w:rPr>
      <w:rFonts w:ascii="Tahoma" w:hAnsi="Tahoma"/>
      <w:sz w:val="20"/>
      <w:szCs w:val="20"/>
    </w:rPr>
  </w:style>
  <w:style w:type="paragraph" w:customStyle="1" w:styleId="CharChar0">
    <w:name w:val="(文字) (文字) Char (文字) (文字) Char"/>
    <w:basedOn w:val="Normal"/>
    <w:pPr>
      <w:spacing w:after="160" w:line="240" w:lineRule="exact"/>
    </w:pPr>
    <w:rPr>
      <w:rFonts w:ascii="Tahoma" w:hAnsi="Tahoma"/>
      <w:sz w:val="20"/>
      <w:szCs w:val="20"/>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character" w:customStyle="1" w:styleId="FooterChar">
    <w:name w:val="Footer Char"/>
    <w:basedOn w:val="DefaultParagraphFont"/>
    <w:link w:val="Footer"/>
    <w:uiPriority w:val="99"/>
    <w:rsid w:val="006B7C32"/>
    <w:rPr>
      <w:rFonts w:eastAsiaTheme="minorHAnsi" w:cstheme="minorBidi"/>
      <w:sz w:val="24"/>
      <w:szCs w:val="22"/>
      <w:lang w:val="en-GB" w:eastAsia="en-US"/>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Pr>
      <w:rFonts w:ascii="Courier" w:eastAsia="Times" w:hAnsi="Courier"/>
      <w:sz w:val="21"/>
      <w:szCs w:val="21"/>
    </w:rPr>
  </w:style>
  <w:style w:type="character" w:customStyle="1" w:styleId="PlainTextChar">
    <w:name w:val="Plain Text Char"/>
    <w:link w:val="PlainText"/>
    <w:uiPriority w:val="99"/>
    <w:rPr>
      <w:rFonts w:ascii="Courier" w:eastAsia="Times" w:hAnsi="Courier"/>
      <w:sz w:val="21"/>
      <w:szCs w:val="21"/>
      <w:lang w:val="en-AU" w:eastAsia="en-U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link w:val="FootnoteText"/>
    <w:semiHidden/>
    <w:rPr>
      <w:rFonts w:eastAsia="MS Mincho"/>
      <w:szCs w:val="24"/>
      <w:lang w:val="en-GB" w:eastAsia="en-US"/>
    </w:rPr>
  </w:style>
  <w:style w:type="character" w:styleId="FootnoteReference">
    <w:name w:val="footnote reference"/>
    <w:semiHidden/>
    <w:rPr>
      <w:vertAlign w:val="superscrip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val="en-GB"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GB" w:eastAsia="en-GB"/>
    </w:rPr>
  </w:style>
  <w:style w:type="character" w:customStyle="1" w:styleId="Heading1Char">
    <w:name w:val="Heading 1 Char"/>
    <w:link w:val="Heading1"/>
    <w:uiPriority w:val="9"/>
    <w:rPr>
      <w:rFonts w:eastAsia="MS Mincho"/>
      <w:b/>
      <w:bCs/>
      <w:sz w:val="22"/>
      <w:szCs w:val="24"/>
      <w:lang w:val="en-GB" w:eastAsia="en-US"/>
    </w:rPr>
  </w:style>
  <w:style w:type="character" w:customStyle="1" w:styleId="Heading2Char">
    <w:name w:val="Heading 2 Char"/>
    <w:link w:val="Heading2"/>
    <w:rPr>
      <w:rFonts w:ascii="Calibri" w:eastAsia="MS Mincho" w:hAnsi="Calibri"/>
      <w:b/>
      <w:bCs/>
      <w:i/>
      <w:iCs/>
      <w:sz w:val="28"/>
      <w:szCs w:val="28"/>
      <w:lang w:val="en-GB" w:eastAsia="en-US"/>
    </w:rPr>
  </w:style>
  <w:style w:type="character" w:customStyle="1" w:styleId="Heading3Char">
    <w:name w:val="Heading 3 Char"/>
    <w:link w:val="Heading3"/>
    <w:rPr>
      <w:rFonts w:ascii="Calibri" w:eastAsia="MS Mincho" w:hAnsi="Calibri"/>
      <w:b/>
      <w:bCs/>
      <w:sz w:val="26"/>
      <w:szCs w:val="26"/>
      <w:lang w:val="en-GB" w:eastAsia="en-US"/>
    </w:rPr>
  </w:style>
  <w:style w:type="paragraph" w:customStyle="1" w:styleId="Style">
    <w:name w:val="Style"/>
    <w:basedOn w:val="Footer"/>
    <w:autoRedefine/>
    <w:qFormat/>
    <w:pPr>
      <w:pBdr>
        <w:top w:val="single" w:sz="4" w:space="1" w:color="auto"/>
      </w:pBdr>
      <w:spacing w:after="120"/>
    </w:pPr>
    <w:rPr>
      <w:rFonts w:ascii="Arial" w:eastAsia="Times" w:hAnsi="Arial"/>
      <w:sz w:val="18"/>
      <w:lang w:val="es-ES_tradnl" w:eastAsia="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style>
  <w:style w:type="paragraph" w:customStyle="1" w:styleId="IPPBullet2">
    <w:name w:val="IPP Bullet2"/>
    <w:basedOn w:val="IPPNormal"/>
    <w:next w:val="IPPBullet1"/>
    <w:qFormat/>
    <w:pPr>
      <w:numPr>
        <w:numId w:val="26"/>
      </w:numPr>
      <w:tabs>
        <w:tab w:val="left" w:pos="1134"/>
      </w:tabs>
      <w:spacing w:after="60"/>
      <w:ind w:left="1134" w:hanging="567"/>
    </w:pPr>
  </w:style>
  <w:style w:type="character" w:customStyle="1" w:styleId="BalloonTextChar">
    <w:name w:val="Balloon Text Char"/>
    <w:link w:val="BalloonText"/>
    <w:rPr>
      <w:rFonts w:ascii="Tahoma" w:eastAsia="MS Mincho" w:hAnsi="Tahoma" w:cs="Tahoma"/>
      <w:sz w:val="16"/>
      <w:szCs w:val="16"/>
      <w:lang w:val="en-GB" w:eastAsia="en-US"/>
    </w:rPr>
  </w:style>
  <w:style w:type="paragraph" w:customStyle="1" w:styleId="IPPQuote">
    <w:name w:val="IPP Quote"/>
    <w:basedOn w:val="IPPNormal"/>
    <w:qFormat/>
    <w:pPr>
      <w:ind w:left="851" w:right="851"/>
    </w:pPr>
    <w:rPr>
      <w:sz w:val="18"/>
    </w:rPr>
  </w:style>
  <w:style w:type="paragraph" w:customStyle="1" w:styleId="IPPNormal">
    <w:name w:val="IPP Normal"/>
    <w:basedOn w:val="Normal"/>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rPr>
      <w:rFonts w:ascii="Times New Roman" w:hAnsi="Times New Roman"/>
      <w:i/>
      <w:sz w:val="22"/>
      <w:lang w:val="en-US"/>
    </w:rPr>
  </w:style>
  <w:style w:type="character" w:customStyle="1" w:styleId="IPPNormalbold">
    <w:name w:val="IPP Normal bold"/>
    <w:rPr>
      <w:rFonts w:ascii="Times New Roman" w:eastAsia="Times" w:hAnsi="Times New Roman"/>
      <w:b/>
      <w:sz w:val="22"/>
      <w:szCs w:val="21"/>
      <w:lang w:val="en-AU"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rPr>
      <w:rFonts w:ascii="Times New Roman" w:hAnsi="Times New Roman"/>
      <w:sz w:val="22"/>
      <w:u w:val="single"/>
      <w:lang w:val="en-US"/>
    </w:rPr>
  </w:style>
  <w:style w:type="paragraph" w:customStyle="1" w:styleId="IPPBullet1">
    <w:name w:val="IPP Bullet1"/>
    <w:basedOn w:val="IPPBullet1Last"/>
    <w:qFormat/>
    <w:pPr>
      <w:numPr>
        <w:numId w:val="39"/>
      </w:numPr>
      <w:spacing w:after="60"/>
      <w:ind w:left="567" w:hanging="567"/>
    </w:pPr>
  </w:style>
  <w:style w:type="paragraph" w:customStyle="1" w:styleId="IPPBullet1Last">
    <w:name w:val="IPP Bullet1Last"/>
    <w:basedOn w:val="IPPNormal"/>
    <w:next w:val="IPPNormal"/>
    <w:autoRedefine/>
    <w:qFormat/>
    <w:pPr>
      <w:numPr>
        <w:numId w:val="27"/>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outlineLvl w:val="1"/>
    </w:pPr>
    <w:rPr>
      <w:b/>
    </w:rPr>
  </w:style>
  <w:style w:type="numbering" w:customStyle="1" w:styleId="IPPParagraphnumberedlist">
    <w:name w:val="IPP Paragraph numbered list"/>
    <w:pPr>
      <w:numPr>
        <w:numId w:val="25"/>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pPr>
      <w:numPr>
        <w:numId w:val="22"/>
      </w:numPr>
    </w:pPr>
  </w:style>
  <w:style w:type="paragraph" w:customStyle="1" w:styleId="IPPLetterListIndent">
    <w:name w:val="IPP LetterList Indent"/>
    <w:basedOn w:val="IPPLetterList"/>
    <w:qFormat/>
    <w:pPr>
      <w:numPr>
        <w:numId w:val="23"/>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28"/>
      </w:numPr>
    </w:pPr>
  </w:style>
  <w:style w:type="paragraph" w:customStyle="1" w:styleId="IPPHdg2Num">
    <w:name w:val="IPP Hdg2Num"/>
    <w:basedOn w:val="IPPHeading2"/>
    <w:next w:val="IPPNormal"/>
    <w:qFormat/>
    <w:pPr>
      <w:numPr>
        <w:ilvl w:val="1"/>
        <w:numId w:val="29"/>
      </w:numPr>
    </w:pPr>
  </w:style>
  <w:style w:type="paragraph" w:customStyle="1" w:styleId="IPPNumberedList">
    <w:name w:val="IPP NumberedList"/>
    <w:basedOn w:val="IPPBullet1"/>
    <w:qFormat/>
    <w:pPr>
      <w:numPr>
        <w:numId w:val="37"/>
      </w:numPr>
    </w:pPr>
  </w:style>
  <w:style w:type="character" w:customStyle="1" w:styleId="HeaderChar">
    <w:name w:val="Header Char"/>
    <w:basedOn w:val="DefaultParagraphFont"/>
    <w:link w:val="Header"/>
    <w:uiPriority w:val="99"/>
    <w:rsid w:val="006B7C32"/>
    <w:rPr>
      <w:rFonts w:eastAsiaTheme="minorHAnsi" w:cstheme="minorBidi"/>
      <w:sz w:val="24"/>
      <w:szCs w:val="22"/>
      <w:lang w:val="en-GB" w:eastAsia="en-US"/>
    </w:rPr>
  </w:style>
  <w:style w:type="character" w:styleId="Strong">
    <w:name w:val="Strong"/>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numPr>
        <w:numId w:val="31"/>
      </w:numPr>
    </w:pPr>
  </w:style>
  <w:style w:type="paragraph" w:styleId="Revision">
    <w:name w:val="Revision"/>
    <w:hidden/>
    <w:uiPriority w:val="99"/>
    <w:semiHidden/>
    <w:rPr>
      <w:rFonts w:eastAsia="MS Mincho"/>
      <w:sz w:val="22"/>
      <w:szCs w:val="24"/>
      <w:lang w:val="en-GB" w:eastAsia="en-US"/>
    </w:rPr>
  </w:style>
  <w:style w:type="paragraph" w:customStyle="1" w:styleId="schedulepara">
    <w:name w:val="schedulepara"/>
    <w:basedOn w:val="Normal"/>
    <w:pPr>
      <w:spacing w:before="100" w:beforeAutospacing="1" w:after="100" w:afterAutospacing="1"/>
    </w:pPr>
    <w:rPr>
      <w:rFonts w:eastAsia="Times New Roman"/>
      <w:lang w:eastAsia="en-AU"/>
    </w:rPr>
  </w:style>
  <w:style w:type="paragraph" w:customStyle="1" w:styleId="p1">
    <w:name w:val="p1"/>
    <w:basedOn w:val="Normal"/>
    <w:pPr>
      <w:spacing w:before="100" w:beforeAutospacing="1" w:after="100" w:afterAutospacing="1"/>
    </w:pPr>
    <w:rPr>
      <w:rFonts w:eastAsia="Times New Roman"/>
      <w:lang w:eastAsia="en-AU"/>
    </w:rPr>
  </w:style>
  <w:style w:type="paragraph" w:customStyle="1" w:styleId="scheduleheading">
    <w:name w:val="scheduleheading"/>
    <w:basedOn w:val="Normal"/>
    <w:pPr>
      <w:spacing w:before="100" w:beforeAutospacing="1" w:after="100" w:afterAutospacing="1"/>
    </w:pPr>
    <w:rPr>
      <w:rFonts w:eastAsia="Times New Roman"/>
      <w:lang w:eastAsia="en-AU"/>
    </w:rPr>
  </w:style>
  <w:style w:type="character" w:customStyle="1" w:styleId="legtitle1">
    <w:name w:val="legtitle1"/>
    <w:basedOn w:val="DefaultParagraphFont"/>
    <w:rPr>
      <w:rFonts w:ascii="Helvetica Neue" w:hAnsi="Helvetica Neue" w:hint="default"/>
      <w:b/>
      <w:bCs/>
      <w:color w:val="10418E"/>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Grid">
    <w:name w:val="IPPParagraphnumberedlist"/>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067034">
      <w:bodyDiv w:val="1"/>
      <w:marLeft w:val="0"/>
      <w:marRight w:val="0"/>
      <w:marTop w:val="0"/>
      <w:marBottom w:val="0"/>
      <w:divBdr>
        <w:top w:val="none" w:sz="0" w:space="0" w:color="auto"/>
        <w:left w:val="none" w:sz="0" w:space="0" w:color="auto"/>
        <w:bottom w:val="none" w:sz="0" w:space="0" w:color="auto"/>
        <w:right w:val="none" w:sz="0" w:space="0" w:color="auto"/>
      </w:divBdr>
      <w:divsChild>
        <w:div w:id="49428665">
          <w:marLeft w:val="0"/>
          <w:marRight w:val="0"/>
          <w:marTop w:val="0"/>
          <w:marBottom w:val="0"/>
          <w:divBdr>
            <w:top w:val="none" w:sz="0" w:space="0" w:color="auto"/>
            <w:left w:val="none" w:sz="0" w:space="0" w:color="auto"/>
            <w:bottom w:val="none" w:sz="0" w:space="0" w:color="auto"/>
            <w:right w:val="none" w:sz="0" w:space="0" w:color="auto"/>
          </w:divBdr>
          <w:divsChild>
            <w:div w:id="1305429384">
              <w:marLeft w:val="0"/>
              <w:marRight w:val="0"/>
              <w:marTop w:val="0"/>
              <w:marBottom w:val="0"/>
              <w:divBdr>
                <w:top w:val="none" w:sz="0" w:space="0" w:color="auto"/>
                <w:left w:val="none" w:sz="0" w:space="0" w:color="auto"/>
                <w:bottom w:val="none" w:sz="0" w:space="0" w:color="auto"/>
                <w:right w:val="none" w:sz="0" w:space="0" w:color="auto"/>
              </w:divBdr>
              <w:divsChild>
                <w:div w:id="312413127">
                  <w:marLeft w:val="0"/>
                  <w:marRight w:val="0"/>
                  <w:marTop w:val="0"/>
                  <w:marBottom w:val="0"/>
                  <w:divBdr>
                    <w:top w:val="none" w:sz="0" w:space="0" w:color="auto"/>
                    <w:left w:val="none" w:sz="0" w:space="0" w:color="auto"/>
                    <w:bottom w:val="none" w:sz="0" w:space="0" w:color="auto"/>
                    <w:right w:val="none" w:sz="0" w:space="0" w:color="auto"/>
                  </w:divBdr>
                  <w:divsChild>
                    <w:div w:id="450637187">
                      <w:marLeft w:val="0"/>
                      <w:marRight w:val="0"/>
                      <w:marTop w:val="0"/>
                      <w:marBottom w:val="0"/>
                      <w:divBdr>
                        <w:top w:val="none" w:sz="0" w:space="0" w:color="auto"/>
                        <w:left w:val="none" w:sz="0" w:space="0" w:color="auto"/>
                        <w:bottom w:val="none" w:sz="0" w:space="0" w:color="auto"/>
                        <w:right w:val="none" w:sz="0" w:space="0" w:color="auto"/>
                      </w:divBdr>
                      <w:divsChild>
                        <w:div w:id="19892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36521">
      <w:bodyDiv w:val="1"/>
      <w:marLeft w:val="0"/>
      <w:marRight w:val="0"/>
      <w:marTop w:val="0"/>
      <w:marBottom w:val="0"/>
      <w:divBdr>
        <w:top w:val="none" w:sz="0" w:space="0" w:color="auto"/>
        <w:left w:val="none" w:sz="0" w:space="0" w:color="auto"/>
        <w:bottom w:val="none" w:sz="0" w:space="0" w:color="auto"/>
        <w:right w:val="none" w:sz="0" w:space="0" w:color="auto"/>
      </w:divBdr>
      <w:divsChild>
        <w:div w:id="159272136">
          <w:marLeft w:val="0"/>
          <w:marRight w:val="0"/>
          <w:marTop w:val="0"/>
          <w:marBottom w:val="0"/>
          <w:divBdr>
            <w:top w:val="none" w:sz="0" w:space="0" w:color="auto"/>
            <w:left w:val="none" w:sz="0" w:space="0" w:color="auto"/>
            <w:bottom w:val="none" w:sz="0" w:space="0" w:color="auto"/>
            <w:right w:val="none" w:sz="0" w:space="0" w:color="auto"/>
          </w:divBdr>
          <w:divsChild>
            <w:div w:id="1023090000">
              <w:marLeft w:val="0"/>
              <w:marRight w:val="0"/>
              <w:marTop w:val="0"/>
              <w:marBottom w:val="0"/>
              <w:divBdr>
                <w:top w:val="none" w:sz="0" w:space="0" w:color="auto"/>
                <w:left w:val="none" w:sz="0" w:space="0" w:color="auto"/>
                <w:bottom w:val="none" w:sz="0" w:space="0" w:color="auto"/>
                <w:right w:val="none" w:sz="0" w:space="0" w:color="auto"/>
              </w:divBdr>
              <w:divsChild>
                <w:div w:id="1049916152">
                  <w:marLeft w:val="0"/>
                  <w:marRight w:val="0"/>
                  <w:marTop w:val="0"/>
                  <w:marBottom w:val="0"/>
                  <w:divBdr>
                    <w:top w:val="none" w:sz="0" w:space="0" w:color="auto"/>
                    <w:left w:val="none" w:sz="0" w:space="0" w:color="auto"/>
                    <w:bottom w:val="none" w:sz="0" w:space="0" w:color="auto"/>
                    <w:right w:val="none" w:sz="0" w:space="0" w:color="auto"/>
                  </w:divBdr>
                  <w:divsChild>
                    <w:div w:id="13203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84418">
      <w:bodyDiv w:val="1"/>
      <w:marLeft w:val="0"/>
      <w:marRight w:val="0"/>
      <w:marTop w:val="0"/>
      <w:marBottom w:val="0"/>
      <w:divBdr>
        <w:top w:val="none" w:sz="0" w:space="0" w:color="auto"/>
        <w:left w:val="none" w:sz="0" w:space="0" w:color="auto"/>
        <w:bottom w:val="none" w:sz="0" w:space="0" w:color="auto"/>
        <w:right w:val="none" w:sz="0" w:space="0" w:color="auto"/>
      </w:divBdr>
      <w:divsChild>
        <w:div w:id="404032418">
          <w:marLeft w:val="0"/>
          <w:marRight w:val="0"/>
          <w:marTop w:val="0"/>
          <w:marBottom w:val="0"/>
          <w:divBdr>
            <w:top w:val="none" w:sz="0" w:space="0" w:color="auto"/>
            <w:left w:val="none" w:sz="0" w:space="0" w:color="auto"/>
            <w:bottom w:val="none" w:sz="0" w:space="0" w:color="auto"/>
            <w:right w:val="none" w:sz="0" w:space="0" w:color="auto"/>
          </w:divBdr>
          <w:divsChild>
            <w:div w:id="1485924897">
              <w:marLeft w:val="0"/>
              <w:marRight w:val="0"/>
              <w:marTop w:val="0"/>
              <w:marBottom w:val="0"/>
              <w:divBdr>
                <w:top w:val="none" w:sz="0" w:space="0" w:color="auto"/>
                <w:left w:val="none" w:sz="0" w:space="0" w:color="auto"/>
                <w:bottom w:val="none" w:sz="0" w:space="0" w:color="auto"/>
                <w:right w:val="none" w:sz="0" w:space="0" w:color="auto"/>
              </w:divBdr>
              <w:divsChild>
                <w:div w:id="183442389">
                  <w:marLeft w:val="0"/>
                  <w:marRight w:val="0"/>
                  <w:marTop w:val="0"/>
                  <w:marBottom w:val="0"/>
                  <w:divBdr>
                    <w:top w:val="none" w:sz="0" w:space="0" w:color="auto"/>
                    <w:left w:val="none" w:sz="0" w:space="0" w:color="auto"/>
                    <w:bottom w:val="none" w:sz="0" w:space="0" w:color="auto"/>
                    <w:right w:val="none" w:sz="0" w:space="0" w:color="auto"/>
                  </w:divBdr>
                  <w:divsChild>
                    <w:div w:id="746806315">
                      <w:marLeft w:val="0"/>
                      <w:marRight w:val="0"/>
                      <w:marTop w:val="0"/>
                      <w:marBottom w:val="0"/>
                      <w:divBdr>
                        <w:top w:val="none" w:sz="0" w:space="0" w:color="auto"/>
                        <w:left w:val="none" w:sz="0" w:space="0" w:color="auto"/>
                        <w:bottom w:val="none" w:sz="0" w:space="0" w:color="auto"/>
                        <w:right w:val="none" w:sz="0" w:space="0" w:color="auto"/>
                      </w:divBdr>
                      <w:divsChild>
                        <w:div w:id="2014801085">
                          <w:marLeft w:val="0"/>
                          <w:marRight w:val="0"/>
                          <w:marTop w:val="0"/>
                          <w:marBottom w:val="0"/>
                          <w:divBdr>
                            <w:top w:val="none" w:sz="0" w:space="0" w:color="auto"/>
                            <w:left w:val="none" w:sz="0" w:space="0" w:color="auto"/>
                            <w:bottom w:val="none" w:sz="0" w:space="0" w:color="auto"/>
                            <w:right w:val="none" w:sz="0" w:space="0" w:color="auto"/>
                          </w:divBdr>
                          <w:divsChild>
                            <w:div w:id="398328408">
                              <w:marLeft w:val="0"/>
                              <w:marRight w:val="0"/>
                              <w:marTop w:val="0"/>
                              <w:marBottom w:val="0"/>
                              <w:divBdr>
                                <w:top w:val="single" w:sz="4" w:space="0" w:color="828282"/>
                                <w:left w:val="single" w:sz="4" w:space="0" w:color="828282"/>
                                <w:bottom w:val="single" w:sz="4" w:space="0" w:color="828282"/>
                                <w:right w:val="single" w:sz="4" w:space="0" w:color="828282"/>
                              </w:divBdr>
                              <w:divsChild>
                                <w:div w:id="908075428">
                                  <w:marLeft w:val="0"/>
                                  <w:marRight w:val="0"/>
                                  <w:marTop w:val="0"/>
                                  <w:marBottom w:val="0"/>
                                  <w:divBdr>
                                    <w:top w:val="none" w:sz="0" w:space="0" w:color="auto"/>
                                    <w:left w:val="none" w:sz="0" w:space="0" w:color="auto"/>
                                    <w:bottom w:val="none" w:sz="0" w:space="0" w:color="auto"/>
                                    <w:right w:val="none" w:sz="0" w:space="0" w:color="auto"/>
                                  </w:divBdr>
                                  <w:divsChild>
                                    <w:div w:id="428040360">
                                      <w:marLeft w:val="0"/>
                                      <w:marRight w:val="0"/>
                                      <w:marTop w:val="0"/>
                                      <w:marBottom w:val="0"/>
                                      <w:divBdr>
                                        <w:top w:val="none" w:sz="0" w:space="0" w:color="auto"/>
                                        <w:left w:val="none" w:sz="0" w:space="0" w:color="auto"/>
                                        <w:bottom w:val="none" w:sz="0" w:space="0" w:color="auto"/>
                                        <w:right w:val="none" w:sz="0" w:space="0" w:color="auto"/>
                                      </w:divBdr>
                                      <w:divsChild>
                                        <w:div w:id="120078678">
                                          <w:marLeft w:val="0"/>
                                          <w:marRight w:val="0"/>
                                          <w:marTop w:val="0"/>
                                          <w:marBottom w:val="0"/>
                                          <w:divBdr>
                                            <w:top w:val="none" w:sz="0" w:space="0" w:color="auto"/>
                                            <w:left w:val="none" w:sz="0" w:space="0" w:color="auto"/>
                                            <w:bottom w:val="none" w:sz="0" w:space="0" w:color="auto"/>
                                            <w:right w:val="none" w:sz="0" w:space="0" w:color="auto"/>
                                          </w:divBdr>
                                          <w:divsChild>
                                            <w:div w:id="383524596">
                                              <w:marLeft w:val="0"/>
                                              <w:marRight w:val="0"/>
                                              <w:marTop w:val="0"/>
                                              <w:marBottom w:val="0"/>
                                              <w:divBdr>
                                                <w:top w:val="none" w:sz="0" w:space="0" w:color="auto"/>
                                                <w:left w:val="none" w:sz="0" w:space="0" w:color="auto"/>
                                                <w:bottom w:val="none" w:sz="0" w:space="0" w:color="auto"/>
                                                <w:right w:val="none" w:sz="0" w:space="0" w:color="auto"/>
                                              </w:divBdr>
                                              <w:divsChild>
                                                <w:div w:id="1172139009">
                                                  <w:marLeft w:val="0"/>
                                                  <w:marRight w:val="0"/>
                                                  <w:marTop w:val="0"/>
                                                  <w:marBottom w:val="0"/>
                                                  <w:divBdr>
                                                    <w:top w:val="none" w:sz="0" w:space="0" w:color="auto"/>
                                                    <w:left w:val="none" w:sz="0" w:space="0" w:color="auto"/>
                                                    <w:bottom w:val="none" w:sz="0" w:space="0" w:color="auto"/>
                                                    <w:right w:val="none" w:sz="0" w:space="0" w:color="auto"/>
                                                  </w:divBdr>
                                                  <w:divsChild>
                                                    <w:div w:id="17496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4294884">
      <w:bodyDiv w:val="1"/>
      <w:marLeft w:val="0"/>
      <w:marRight w:val="0"/>
      <w:marTop w:val="0"/>
      <w:marBottom w:val="0"/>
      <w:divBdr>
        <w:top w:val="none" w:sz="0" w:space="0" w:color="auto"/>
        <w:left w:val="none" w:sz="0" w:space="0" w:color="auto"/>
        <w:bottom w:val="none" w:sz="0" w:space="0" w:color="auto"/>
        <w:right w:val="none" w:sz="0" w:space="0" w:color="auto"/>
      </w:divBdr>
      <w:divsChild>
        <w:div w:id="225922910">
          <w:marLeft w:val="0"/>
          <w:marRight w:val="0"/>
          <w:marTop w:val="0"/>
          <w:marBottom w:val="0"/>
          <w:divBdr>
            <w:top w:val="none" w:sz="0" w:space="0" w:color="auto"/>
            <w:left w:val="none" w:sz="0" w:space="0" w:color="auto"/>
            <w:bottom w:val="none" w:sz="0" w:space="0" w:color="auto"/>
            <w:right w:val="none" w:sz="0" w:space="0" w:color="auto"/>
          </w:divBdr>
          <w:divsChild>
            <w:div w:id="24063159">
              <w:marLeft w:val="0"/>
              <w:marRight w:val="0"/>
              <w:marTop w:val="0"/>
              <w:marBottom w:val="0"/>
              <w:divBdr>
                <w:top w:val="none" w:sz="0" w:space="0" w:color="auto"/>
                <w:left w:val="none" w:sz="0" w:space="0" w:color="auto"/>
                <w:bottom w:val="none" w:sz="0" w:space="0" w:color="auto"/>
                <w:right w:val="none" w:sz="0" w:space="0" w:color="auto"/>
              </w:divBdr>
              <w:divsChild>
                <w:div w:id="781606131">
                  <w:marLeft w:val="0"/>
                  <w:marRight w:val="0"/>
                  <w:marTop w:val="0"/>
                  <w:marBottom w:val="0"/>
                  <w:divBdr>
                    <w:top w:val="none" w:sz="0" w:space="0" w:color="auto"/>
                    <w:left w:val="none" w:sz="0" w:space="0" w:color="auto"/>
                    <w:bottom w:val="none" w:sz="0" w:space="0" w:color="auto"/>
                    <w:right w:val="none" w:sz="0" w:space="0" w:color="auto"/>
                  </w:divBdr>
                  <w:divsChild>
                    <w:div w:id="1892879852">
                      <w:marLeft w:val="0"/>
                      <w:marRight w:val="0"/>
                      <w:marTop w:val="0"/>
                      <w:marBottom w:val="0"/>
                      <w:divBdr>
                        <w:top w:val="none" w:sz="0" w:space="0" w:color="auto"/>
                        <w:left w:val="none" w:sz="0" w:space="0" w:color="auto"/>
                        <w:bottom w:val="none" w:sz="0" w:space="0" w:color="auto"/>
                        <w:right w:val="none" w:sz="0" w:space="0" w:color="auto"/>
                      </w:divBdr>
                      <w:divsChild>
                        <w:div w:id="122817583">
                          <w:marLeft w:val="0"/>
                          <w:marRight w:val="0"/>
                          <w:marTop w:val="0"/>
                          <w:marBottom w:val="0"/>
                          <w:divBdr>
                            <w:top w:val="none" w:sz="0" w:space="0" w:color="auto"/>
                            <w:left w:val="none" w:sz="0" w:space="0" w:color="auto"/>
                            <w:bottom w:val="none" w:sz="0" w:space="0" w:color="auto"/>
                            <w:right w:val="none" w:sz="0" w:space="0" w:color="auto"/>
                          </w:divBdr>
                          <w:divsChild>
                            <w:div w:id="2065447406">
                              <w:marLeft w:val="0"/>
                              <w:marRight w:val="0"/>
                              <w:marTop w:val="0"/>
                              <w:marBottom w:val="0"/>
                              <w:divBdr>
                                <w:top w:val="none" w:sz="0" w:space="0" w:color="auto"/>
                                <w:left w:val="none" w:sz="0" w:space="0" w:color="auto"/>
                                <w:bottom w:val="none" w:sz="0" w:space="0" w:color="auto"/>
                                <w:right w:val="none" w:sz="0" w:space="0" w:color="auto"/>
                              </w:divBdr>
                              <w:divsChild>
                                <w:div w:id="9225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8B956-AC07-491C-AC8F-33634009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2404</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Submission form for ICPM work programme topics</vt:lpstr>
    </vt:vector>
  </TitlesOfParts>
  <Manager/>
  <Company/>
  <LinksUpToDate>false</LinksUpToDate>
  <CharactersWithSpaces>16861</CharactersWithSpaces>
  <SharedDoc>false</SharedDoc>
  <HLinks>
    <vt:vector size="66" baseType="variant">
      <vt:variant>
        <vt:i4>393279</vt:i4>
      </vt:variant>
      <vt:variant>
        <vt:i4>18</vt:i4>
      </vt:variant>
      <vt:variant>
        <vt:i4>0</vt:i4>
      </vt:variant>
      <vt:variant>
        <vt:i4>5</vt:i4>
      </vt:variant>
      <vt:variant>
        <vt:lpwstr>mailto:ippc@fao.org</vt:lpwstr>
      </vt:variant>
      <vt:variant>
        <vt:lpwstr/>
      </vt:variant>
      <vt:variant>
        <vt:i4>7733291</vt:i4>
      </vt:variant>
      <vt:variant>
        <vt:i4>15</vt:i4>
      </vt:variant>
      <vt:variant>
        <vt:i4>0</vt:i4>
      </vt:variant>
      <vt:variant>
        <vt:i4>5</vt:i4>
      </vt:variant>
      <vt:variant>
        <vt:lpwstr>https://www.ippc.int/en/core-activities/standards-setting/approved-specifications/</vt:lpwstr>
      </vt:variant>
      <vt:variant>
        <vt:lpwstr/>
      </vt:variant>
      <vt:variant>
        <vt:i4>655375</vt:i4>
      </vt:variant>
      <vt:variant>
        <vt:i4>12</vt:i4>
      </vt:variant>
      <vt:variant>
        <vt:i4>0</vt:i4>
      </vt:variant>
      <vt:variant>
        <vt:i4>5</vt:i4>
      </vt:variant>
      <vt:variant>
        <vt:lpwstr>https://www.ippc.int/en/core-activities/standards-setting/list-topics-ippc-standards/</vt:lpwstr>
      </vt:variant>
      <vt:variant>
        <vt:lpwstr/>
      </vt:variant>
      <vt:variant>
        <vt:i4>3735651</vt:i4>
      </vt:variant>
      <vt:variant>
        <vt:i4>9</vt:i4>
      </vt:variant>
      <vt:variant>
        <vt:i4>0</vt:i4>
      </vt:variant>
      <vt:variant>
        <vt:i4>5</vt:i4>
      </vt:variant>
      <vt:variant>
        <vt:lpwstr>https://www.ippc.int/en/core-activities/standards-setting/</vt:lpwstr>
      </vt:variant>
      <vt:variant>
        <vt:lpwstr/>
      </vt:variant>
      <vt:variant>
        <vt:i4>6094942</vt:i4>
      </vt:variant>
      <vt:variant>
        <vt:i4>6</vt:i4>
      </vt:variant>
      <vt:variant>
        <vt:i4>0</vt:i4>
      </vt:variant>
      <vt:variant>
        <vt:i4>5</vt:i4>
      </vt:variant>
      <vt:variant>
        <vt:lpwstr>http://www.ippc.int/</vt:lpwstr>
      </vt:variant>
      <vt:variant>
        <vt:lpwstr/>
      </vt:variant>
      <vt:variant>
        <vt:i4>5636114</vt:i4>
      </vt:variant>
      <vt:variant>
        <vt:i4>3</vt:i4>
      </vt:variant>
      <vt:variant>
        <vt:i4>0</vt:i4>
      </vt:variant>
      <vt:variant>
        <vt:i4>5</vt:i4>
      </vt:variant>
      <vt:variant>
        <vt:lpwstr>https://www.ippc.int/index.php?id=207776</vt:lpwstr>
      </vt:variant>
      <vt:variant>
        <vt:lpwstr/>
      </vt:variant>
      <vt:variant>
        <vt:i4>393279</vt:i4>
      </vt:variant>
      <vt:variant>
        <vt:i4>0</vt:i4>
      </vt:variant>
      <vt:variant>
        <vt:i4>0</vt:i4>
      </vt:variant>
      <vt:variant>
        <vt:i4>5</vt:i4>
      </vt:variant>
      <vt:variant>
        <vt:lpwstr>mailto:ippc@fao.org</vt:lpwstr>
      </vt:variant>
      <vt:variant>
        <vt:lpwstr/>
      </vt:variant>
      <vt:variant>
        <vt:i4>655375</vt:i4>
      </vt:variant>
      <vt:variant>
        <vt:i4>9</vt:i4>
      </vt:variant>
      <vt:variant>
        <vt:i4>0</vt:i4>
      </vt:variant>
      <vt:variant>
        <vt:i4>5</vt:i4>
      </vt:variant>
      <vt:variant>
        <vt:lpwstr>https://www.ippc.int/en/core-activities/standards-setting/list-topics-ippc-standards/</vt:lpwstr>
      </vt:variant>
      <vt:variant>
        <vt:lpwstr/>
      </vt:variant>
      <vt:variant>
        <vt:i4>3735651</vt:i4>
      </vt:variant>
      <vt:variant>
        <vt:i4>6</vt:i4>
      </vt:variant>
      <vt:variant>
        <vt:i4>0</vt:i4>
      </vt:variant>
      <vt:variant>
        <vt:i4>5</vt:i4>
      </vt:variant>
      <vt:variant>
        <vt:lpwstr>https://www.ippc.int/en/core-activities/standards-setting/</vt:lpwstr>
      </vt:variant>
      <vt:variant>
        <vt:lpwstr/>
      </vt:variant>
      <vt:variant>
        <vt:i4>917510</vt:i4>
      </vt:variant>
      <vt:variant>
        <vt:i4>3</vt:i4>
      </vt:variant>
      <vt:variant>
        <vt:i4>0</vt:i4>
      </vt:variant>
      <vt:variant>
        <vt:i4>5</vt:i4>
      </vt:variant>
      <vt:variant>
        <vt:lpwstr>https://www.ippc.int/en/core-activities/calls-topics/</vt:lpwstr>
      </vt:variant>
      <vt:variant>
        <vt:lpwstr/>
      </vt:variant>
      <vt:variant>
        <vt:i4>1507388</vt:i4>
      </vt:variant>
      <vt:variant>
        <vt:i4>0</vt:i4>
      </vt:variant>
      <vt:variant>
        <vt:i4>0</vt:i4>
      </vt:variant>
      <vt:variant>
        <vt:i4>5</vt:i4>
      </vt:variant>
      <vt:variant>
        <vt:lpwstr>https://www.ippc.int/index.php?id=1111210&amp;no_cache=1&amp;L=0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2013-05-13T01:43:00Z</cp:lastPrinted>
  <dcterms:created xsi:type="dcterms:W3CDTF">2015-08-14T07:00:00Z</dcterms:created>
  <dcterms:modified xsi:type="dcterms:W3CDTF">2015-09-02T11:51:00Z</dcterms:modified>
</cp:coreProperties>
</file>