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FF22" w14:textId="7C0093F0" w:rsidR="002629E4" w:rsidRDefault="005E6EB8" w:rsidP="007B5B14">
      <w:pPr>
        <w:pStyle w:val="IPPHeadSection"/>
        <w:jc w:val="center"/>
      </w:pPr>
      <w:r w:rsidRPr="00D41F8D">
        <w:t>2016</w:t>
      </w:r>
      <w:r>
        <w:t xml:space="preserve"> </w:t>
      </w:r>
      <w:r w:rsidR="006D0C79" w:rsidRPr="00D41F8D">
        <w:t>IPPC Regional Workshops</w:t>
      </w:r>
    </w:p>
    <w:p w14:paraId="4F191F20" w14:textId="6DC45AEB" w:rsidR="00B110E0" w:rsidRPr="00B110E0" w:rsidRDefault="00B110E0" w:rsidP="00DF2775">
      <w:pPr>
        <w:spacing w:after="240"/>
        <w:jc w:val="center"/>
        <w:rPr>
          <w:i/>
          <w:iCs/>
        </w:rPr>
      </w:pPr>
      <w:r>
        <w:rPr>
          <w:i/>
          <w:iCs/>
        </w:rPr>
        <w:t xml:space="preserve">(prepared by </w:t>
      </w:r>
      <w:r w:rsidR="00DF2775">
        <w:rPr>
          <w:i/>
        </w:rPr>
        <w:t>the Secretariat</w:t>
      </w:r>
      <w:bookmarkStart w:id="0" w:name="_GoBack"/>
      <w:bookmarkEnd w:id="0"/>
      <w:r>
        <w:rPr>
          <w:i/>
          <w:iCs/>
        </w:rPr>
        <w:t>)</w:t>
      </w:r>
    </w:p>
    <w:p w14:paraId="621625A0" w14:textId="77777777" w:rsidR="00011231" w:rsidRPr="00D41F8D" w:rsidRDefault="00011231" w:rsidP="007B5B14">
      <w:pPr>
        <w:pStyle w:val="IPPHeading1"/>
      </w:pPr>
      <w:r w:rsidRPr="00D41F8D">
        <w:t xml:space="preserve">Background </w:t>
      </w:r>
    </w:p>
    <w:p w14:paraId="2D3AA671" w14:textId="29B9D65E" w:rsidR="00C5768C" w:rsidRPr="00D41F8D" w:rsidRDefault="00011231" w:rsidP="007B5B14">
      <w:pPr>
        <w:pStyle w:val="IPPParagraphnumbering"/>
      </w:pPr>
      <w:r w:rsidRPr="00D41F8D">
        <w:t xml:space="preserve">Six IPPC Regional Workshops were organized in Asia, Latin America, Near East and North Africa, </w:t>
      </w:r>
      <w:r w:rsidR="00504DC0" w:rsidRPr="00D41F8D">
        <w:t xml:space="preserve">Central and Eastern Europe </w:t>
      </w:r>
      <w:r w:rsidRPr="00D41F8D">
        <w:t xml:space="preserve">and Central Asia, Southwest Pacific, and the Caribbean. A total number of </w:t>
      </w:r>
      <w:r w:rsidR="00F71D8A">
        <w:t>212 persons from 114</w:t>
      </w:r>
      <w:r w:rsidR="00504DC0" w:rsidRPr="00D41F8D">
        <w:t xml:space="preserve"> countries have benefited from these workshops across </w:t>
      </w:r>
      <w:r w:rsidR="00C5768C">
        <w:t>six</w:t>
      </w:r>
      <w:r w:rsidR="00C5768C" w:rsidRPr="00D41F8D">
        <w:t xml:space="preserve"> </w:t>
      </w:r>
      <w:r w:rsidR="00504DC0" w:rsidRPr="00D41F8D">
        <w:t>regions.</w:t>
      </w:r>
    </w:p>
    <w:p w14:paraId="3E10025C" w14:textId="6D3EC35F" w:rsidR="00C5768C" w:rsidRPr="00D41F8D" w:rsidRDefault="00504DC0" w:rsidP="007B5B14">
      <w:pPr>
        <w:pStyle w:val="IPPParagraphnumbering"/>
      </w:pPr>
      <w:r w:rsidRPr="00D41F8D">
        <w:t xml:space="preserve">This year, the IPPC Regional Workshop </w:t>
      </w:r>
      <w:r w:rsidR="00C5768C">
        <w:t>were</w:t>
      </w:r>
      <w:r w:rsidRPr="00D41F8D">
        <w:t xml:space="preserve"> reshuffled as a forum for exchange in between </w:t>
      </w:r>
      <w:r w:rsidR="00C5768C">
        <w:t>contracting parties</w:t>
      </w:r>
      <w:r w:rsidRPr="00D41F8D">
        <w:t>, RPPOs, FAO offices, cooperation institutions and the IPPC. The strengthen</w:t>
      </w:r>
      <w:r w:rsidR="00C5768C">
        <w:t>ed</w:t>
      </w:r>
      <w:r w:rsidRPr="00D41F8D">
        <w:t xml:space="preserve"> alliances with the organizers allowed more interactive activities. Th</w:t>
      </w:r>
      <w:r w:rsidR="00C5768C">
        <w:t>is</w:t>
      </w:r>
      <w:r w:rsidRPr="00D41F8D">
        <w:t xml:space="preserve"> new way of operating allow</w:t>
      </w:r>
      <w:r w:rsidR="00C5768C">
        <w:t>ed</w:t>
      </w:r>
      <w:r w:rsidRPr="00D41F8D">
        <w:t xml:space="preserve"> </w:t>
      </w:r>
      <w:r w:rsidR="00C5768C">
        <w:t>the IPPC</w:t>
      </w:r>
      <w:r w:rsidR="00C5768C" w:rsidRPr="00D41F8D">
        <w:t xml:space="preserve"> </w:t>
      </w:r>
      <w:r w:rsidRPr="00D41F8D">
        <w:t>to get a better understanding of NPPOs concerns, and to promote synergies and collaboration between interested parties.</w:t>
      </w:r>
    </w:p>
    <w:p w14:paraId="2F96DE1C" w14:textId="4ED4EC7F" w:rsidR="006D0C79" w:rsidRPr="007B5B14" w:rsidRDefault="00504DC0" w:rsidP="006D0C79">
      <w:pPr>
        <w:pStyle w:val="IPPParagraphnumbering"/>
      </w:pPr>
      <w:r w:rsidRPr="00D41F8D">
        <w:t xml:space="preserve">This year, the new Online Commenting System (OCS) was </w:t>
      </w:r>
      <w:r w:rsidR="00641C7B" w:rsidRPr="00D41F8D">
        <w:t>launched</w:t>
      </w:r>
      <w:r w:rsidR="00C5768C">
        <w:t xml:space="preserve"> and</w:t>
      </w:r>
      <w:r w:rsidRPr="00D41F8D">
        <w:t xml:space="preserve"> training activities were provided to </w:t>
      </w:r>
      <w:r w:rsidR="00C5768C">
        <w:t>c</w:t>
      </w:r>
      <w:r w:rsidRPr="00D41F8D">
        <w:t xml:space="preserve">ontracting </w:t>
      </w:r>
      <w:r w:rsidR="00C5768C">
        <w:t>p</w:t>
      </w:r>
      <w:r w:rsidRPr="00D41F8D">
        <w:t>arties</w:t>
      </w:r>
      <w:r w:rsidR="00C5768C">
        <w:t xml:space="preserve"> in attendance</w:t>
      </w:r>
      <w:r w:rsidRPr="00D41F8D">
        <w:t xml:space="preserve">, </w:t>
      </w:r>
      <w:r w:rsidR="00C5768C">
        <w:t>resulting in</w:t>
      </w:r>
      <w:r w:rsidR="00C5768C" w:rsidRPr="00D41F8D">
        <w:t xml:space="preserve"> </w:t>
      </w:r>
      <w:r w:rsidRPr="00D41F8D">
        <w:t>a significant increase in the number of comments, particularly from developing countries.</w:t>
      </w:r>
    </w:p>
    <w:p w14:paraId="56E85D35" w14:textId="27C4863A" w:rsidR="006D0C79" w:rsidRPr="00D41F8D" w:rsidRDefault="00D81A4C" w:rsidP="007B5B14">
      <w:pPr>
        <w:pStyle w:val="IPPHeading1"/>
      </w:pPr>
      <w:r w:rsidRPr="00D41F8D">
        <w:t>Major activities: c</w:t>
      </w:r>
      <w:r w:rsidR="006D0C79" w:rsidRPr="00D41F8D">
        <w:t>ontent of the regional workshop</w:t>
      </w:r>
      <w:r w:rsidR="00C5768C">
        <w:t>s</w:t>
      </w:r>
    </w:p>
    <w:p w14:paraId="037F4633" w14:textId="16684568" w:rsidR="006D0C79" w:rsidRPr="009F7DF4" w:rsidRDefault="009F7DF4" w:rsidP="009F7DF4">
      <w:pPr>
        <w:pStyle w:val="IPPHeading2"/>
        <w:rPr>
          <w:rStyle w:val="IPPnormalitalics"/>
          <w:i w:val="0"/>
          <w:iCs/>
        </w:rPr>
      </w:pPr>
      <w:r w:rsidRPr="009F7DF4">
        <w:rPr>
          <w:rStyle w:val="IPPnormalitalics"/>
          <w:i w:val="0"/>
          <w:iCs/>
        </w:rPr>
        <w:t>1.</w:t>
      </w:r>
      <w:r w:rsidRPr="009F7DF4">
        <w:rPr>
          <w:rStyle w:val="IPPnormalitalics"/>
          <w:i w:val="0"/>
          <w:iCs/>
        </w:rPr>
        <w:tab/>
      </w:r>
      <w:r w:rsidR="006850F4" w:rsidRPr="009F7DF4">
        <w:rPr>
          <w:rStyle w:val="IPPnormalitalics"/>
          <w:i w:val="0"/>
          <w:iCs/>
        </w:rPr>
        <w:t>Reinforce the capacity of Contracting Parties to formulate productive comments on draft standards</w:t>
      </w:r>
    </w:p>
    <w:p w14:paraId="6E907770" w14:textId="616A27F7" w:rsidR="006850F4" w:rsidRPr="00D41F8D" w:rsidRDefault="006850F4" w:rsidP="007B5B14">
      <w:pPr>
        <w:pStyle w:val="IPPBullet1"/>
        <w:rPr>
          <w:bCs/>
        </w:rPr>
      </w:pPr>
      <w:r w:rsidRPr="00D41F8D">
        <w:t>Online Comment System (OCS) and Revised standard setting procedures for 2016</w:t>
      </w:r>
    </w:p>
    <w:p w14:paraId="408C21AC" w14:textId="38CE6A61" w:rsidR="006850F4" w:rsidRPr="00D41F8D" w:rsidRDefault="006850F4" w:rsidP="007B5B14">
      <w:pPr>
        <w:pStyle w:val="IPPBullet1"/>
        <w:rPr>
          <w:bCs/>
        </w:rPr>
      </w:pPr>
      <w:r w:rsidRPr="00D41F8D">
        <w:t>Overview of the 2016 consultation on ISPMs</w:t>
      </w:r>
    </w:p>
    <w:p w14:paraId="61D3E094" w14:textId="60643F45" w:rsidR="006850F4" w:rsidRPr="00D41F8D" w:rsidRDefault="006850F4" w:rsidP="007B5B14">
      <w:pPr>
        <w:pStyle w:val="IPPBullet1"/>
        <w:rPr>
          <w:bCs/>
        </w:rPr>
      </w:pPr>
      <w:r w:rsidRPr="00D41F8D">
        <w:rPr>
          <w:bCs/>
        </w:rPr>
        <w:t>Draft amendments to ISPM 5 (2016) Glossary of phytosanitary terns (1994-001)</w:t>
      </w:r>
    </w:p>
    <w:p w14:paraId="509F7AAB" w14:textId="77777777" w:rsidR="00DD16DA" w:rsidRPr="00D41F8D" w:rsidRDefault="00DD16DA" w:rsidP="007B5B14">
      <w:pPr>
        <w:pStyle w:val="IPPBullet1"/>
        <w:rPr>
          <w:bCs/>
        </w:rPr>
      </w:pPr>
      <w:r w:rsidRPr="00D41F8D">
        <w:rPr>
          <w:bCs/>
        </w:rPr>
        <w:t xml:space="preserve">Draft revision of ISPM 6: National surveillance systems (2009-004) </w:t>
      </w:r>
    </w:p>
    <w:p w14:paraId="297FEFDC" w14:textId="391E5C39" w:rsidR="006850F4" w:rsidRPr="00D41F8D" w:rsidRDefault="00DD16DA" w:rsidP="009F7DF4">
      <w:pPr>
        <w:pStyle w:val="IPPBullet1Last"/>
      </w:pPr>
      <w:r w:rsidRPr="00D41F8D">
        <w:t>Requirements for the Use of Temperature Treatments as Phytosanitary Measures</w:t>
      </w:r>
      <w:r w:rsidRPr="00D41F8D">
        <w:br/>
        <w:t xml:space="preserve"> (2014 – 005)</w:t>
      </w:r>
    </w:p>
    <w:p w14:paraId="01026F9F" w14:textId="50160072" w:rsidR="006850F4" w:rsidRPr="009F7DF4" w:rsidRDefault="009F7DF4" w:rsidP="009F7DF4">
      <w:pPr>
        <w:pStyle w:val="IPPHeading2"/>
        <w:rPr>
          <w:rStyle w:val="IPPnormalitalics"/>
          <w:i w:val="0"/>
          <w:iCs/>
        </w:rPr>
      </w:pPr>
      <w:r w:rsidRPr="009F7DF4">
        <w:rPr>
          <w:rStyle w:val="IPPnormalitalics"/>
          <w:i w:val="0"/>
          <w:iCs/>
        </w:rPr>
        <w:t>2.</w:t>
      </w:r>
      <w:r w:rsidRPr="009F7DF4">
        <w:rPr>
          <w:rStyle w:val="IPPnormalitalics"/>
          <w:i w:val="0"/>
          <w:iCs/>
        </w:rPr>
        <w:tab/>
      </w:r>
      <w:r w:rsidR="006850F4" w:rsidRPr="009F7DF4">
        <w:rPr>
          <w:rStyle w:val="IPPnormalitalics"/>
          <w:i w:val="0"/>
          <w:iCs/>
        </w:rPr>
        <w:t>Implementation and awareness raising in the framework of the IPPC/FAO</w:t>
      </w:r>
    </w:p>
    <w:p w14:paraId="37430072" w14:textId="285B6A9A" w:rsidR="006850F4" w:rsidRPr="00D41F8D" w:rsidRDefault="006850F4" w:rsidP="007B5B14">
      <w:pPr>
        <w:pStyle w:val="IPPBullet1"/>
        <w:rPr>
          <w:i/>
        </w:rPr>
      </w:pPr>
      <w:r w:rsidRPr="00D41F8D">
        <w:t>Facilitated exercise on the IRSS Helpdesk, the IRSS studies, the Phytosanitary Resources Page and IPPC technical resources</w:t>
      </w:r>
    </w:p>
    <w:p w14:paraId="5615685E" w14:textId="0C156E75" w:rsidR="006850F4" w:rsidRPr="00D41F8D" w:rsidRDefault="006850F4" w:rsidP="007B5B14">
      <w:pPr>
        <w:pStyle w:val="IPPBullet1"/>
        <w:rPr>
          <w:i/>
        </w:rPr>
      </w:pPr>
      <w:r w:rsidRPr="00D41F8D">
        <w:t>Import verification – the IPPC manual (facilitated exercise)</w:t>
      </w:r>
    </w:p>
    <w:p w14:paraId="2D3B2757" w14:textId="6D9188F6" w:rsidR="006850F4" w:rsidRPr="00D41F8D" w:rsidRDefault="006850F4" w:rsidP="007B5B14">
      <w:pPr>
        <w:pStyle w:val="IPPBullet1"/>
        <w:rPr>
          <w:i/>
        </w:rPr>
      </w:pPr>
      <w:r w:rsidRPr="00D41F8D">
        <w:rPr>
          <w:rFonts w:eastAsia="Calibri"/>
        </w:rPr>
        <w:t>FAO projects or any other capacity development activities (</w:t>
      </w:r>
      <w:r w:rsidR="00C5768C">
        <w:rPr>
          <w:rFonts w:eastAsia="Calibri"/>
        </w:rPr>
        <w:t>as</w:t>
      </w:r>
      <w:r w:rsidRPr="00D41F8D">
        <w:rPr>
          <w:rFonts w:eastAsia="Calibri"/>
        </w:rPr>
        <w:t xml:space="preserve"> determined by the FAO regional offices)</w:t>
      </w:r>
    </w:p>
    <w:p w14:paraId="766CA337" w14:textId="51723DF7" w:rsidR="006850F4" w:rsidRPr="00D41F8D" w:rsidRDefault="006850F4" w:rsidP="009F7DF4">
      <w:pPr>
        <w:pStyle w:val="IPPBullet1Last"/>
        <w:rPr>
          <w:i/>
        </w:rPr>
      </w:pPr>
      <w:r w:rsidRPr="00D41F8D">
        <w:t>Delivering Phytosanitary Diagnostic Services (IPPC guide, CPM</w:t>
      </w:r>
      <w:r w:rsidR="00C5768C">
        <w:t xml:space="preserve"> </w:t>
      </w:r>
      <w:r w:rsidRPr="00D41F8D">
        <w:t>11 recommendation, available diagnostic/detection tools, diagnostic protocols)</w:t>
      </w:r>
    </w:p>
    <w:p w14:paraId="069E5505" w14:textId="771C0611" w:rsidR="006850F4" w:rsidRPr="009F7DF4" w:rsidRDefault="009F7DF4" w:rsidP="009F7DF4">
      <w:pPr>
        <w:pStyle w:val="IPPHeading2"/>
        <w:rPr>
          <w:rStyle w:val="IPPnormalitalics"/>
          <w:i w:val="0"/>
          <w:iCs/>
        </w:rPr>
      </w:pPr>
      <w:r w:rsidRPr="009F7DF4">
        <w:rPr>
          <w:rStyle w:val="IPPnormalitalics"/>
          <w:i w:val="0"/>
          <w:iCs/>
        </w:rPr>
        <w:t>3.</w:t>
      </w:r>
      <w:r w:rsidRPr="009F7DF4">
        <w:rPr>
          <w:rStyle w:val="IPPnormalitalics"/>
          <w:i w:val="0"/>
          <w:iCs/>
        </w:rPr>
        <w:tab/>
      </w:r>
      <w:r w:rsidR="006850F4" w:rsidRPr="009F7DF4">
        <w:rPr>
          <w:rStyle w:val="IPPnormalitalics"/>
          <w:i w:val="0"/>
          <w:iCs/>
        </w:rPr>
        <w:t>Moving together from ideas to action (</w:t>
      </w:r>
      <w:r w:rsidR="00C5768C" w:rsidRPr="009F7DF4">
        <w:rPr>
          <w:rStyle w:val="IPPnormalitalics"/>
          <w:i w:val="0"/>
          <w:iCs/>
        </w:rPr>
        <w:t>f</w:t>
      </w:r>
      <w:r w:rsidR="006850F4" w:rsidRPr="009F7DF4">
        <w:rPr>
          <w:rStyle w:val="IPPnormalitalics"/>
          <w:i w:val="0"/>
          <w:iCs/>
        </w:rPr>
        <w:t>acilitated sessions)</w:t>
      </w:r>
    </w:p>
    <w:p w14:paraId="585DD6CE" w14:textId="77777777" w:rsidR="006850F4" w:rsidRPr="00D41F8D" w:rsidRDefault="006850F4" w:rsidP="007B5B14">
      <w:pPr>
        <w:pStyle w:val="IPPBullet1"/>
      </w:pPr>
      <w:r w:rsidRPr="00D41F8D">
        <w:t>FAO/IPPC Foresight and the questionnaire on emerging issues in plant health: discussion and conclusions for the region</w:t>
      </w:r>
    </w:p>
    <w:p w14:paraId="142C83FE" w14:textId="65CFB6DD" w:rsidR="006850F4" w:rsidRPr="00D41F8D" w:rsidRDefault="006850F4" w:rsidP="007B5B14">
      <w:pPr>
        <w:pStyle w:val="IPPBullet1"/>
        <w:rPr>
          <w:i/>
        </w:rPr>
      </w:pPr>
      <w:r w:rsidRPr="00D41F8D">
        <w:t>2020 International Year of Plant Health: setting a work plan for the region</w:t>
      </w:r>
    </w:p>
    <w:p w14:paraId="7E4AEB59" w14:textId="1B33BF5A" w:rsidR="006850F4" w:rsidRPr="00D41F8D" w:rsidRDefault="006850F4" w:rsidP="009F7DF4">
      <w:pPr>
        <w:pStyle w:val="IPPBullet1Last"/>
        <w:rPr>
          <w:i/>
        </w:rPr>
      </w:pPr>
      <w:r w:rsidRPr="00D41F8D">
        <w:rPr>
          <w:lang w:val="fr-FR"/>
        </w:rPr>
        <w:t>IPPC implementation pilot programme on surveillance: toward concrete actions</w:t>
      </w:r>
    </w:p>
    <w:p w14:paraId="67F170F4" w14:textId="42D95B40" w:rsidR="006D0C79" w:rsidRPr="00D41F8D" w:rsidRDefault="00D81A4C" w:rsidP="007B5B14">
      <w:pPr>
        <w:pStyle w:val="IPPHeading1"/>
      </w:pPr>
      <w:r w:rsidRPr="00D41F8D">
        <w:t>Emerging issues</w:t>
      </w:r>
    </w:p>
    <w:p w14:paraId="55D3C413" w14:textId="4FD6CEBD" w:rsidR="001373B6" w:rsidRDefault="001373B6" w:rsidP="009F7DF4">
      <w:pPr>
        <w:pStyle w:val="IPPParagraphnumbering"/>
        <w:spacing w:after="1080"/>
      </w:pPr>
      <w:r w:rsidRPr="00D41F8D">
        <w:t>Regions hold specific presentations and discussions on the basis of their specific concerns. The presentations specific to a region are summarized in the below table.</w:t>
      </w:r>
    </w:p>
    <w:tbl>
      <w:tblPr>
        <w:tblStyle w:val="TableGrid"/>
        <w:tblW w:w="0" w:type="auto"/>
        <w:tblLook w:val="04A0" w:firstRow="1" w:lastRow="0" w:firstColumn="1" w:lastColumn="0" w:noHBand="0" w:noVBand="1"/>
      </w:tblPr>
      <w:tblGrid>
        <w:gridCol w:w="1795"/>
        <w:gridCol w:w="7266"/>
      </w:tblGrid>
      <w:tr w:rsidR="008C57DD" w:rsidRPr="007B5B14" w14:paraId="1B26A26E" w14:textId="77777777" w:rsidTr="008C57DD">
        <w:tc>
          <w:tcPr>
            <w:tcW w:w="1795" w:type="dxa"/>
          </w:tcPr>
          <w:p w14:paraId="48ED4AB7" w14:textId="3C3B3A79" w:rsidR="008C57DD" w:rsidRPr="007B5B14" w:rsidRDefault="008C57DD" w:rsidP="006D0C79">
            <w:pPr>
              <w:rPr>
                <w:rFonts w:ascii="Arial" w:hAnsi="Arial" w:cs="Arial"/>
                <w:b/>
                <w:sz w:val="18"/>
                <w:szCs w:val="18"/>
              </w:rPr>
            </w:pPr>
            <w:r w:rsidRPr="007B5B14">
              <w:rPr>
                <w:rFonts w:ascii="Arial" w:hAnsi="Arial" w:cs="Arial"/>
                <w:b/>
                <w:sz w:val="18"/>
                <w:szCs w:val="18"/>
              </w:rPr>
              <w:lastRenderedPageBreak/>
              <w:t>Region</w:t>
            </w:r>
          </w:p>
        </w:tc>
        <w:tc>
          <w:tcPr>
            <w:tcW w:w="7266" w:type="dxa"/>
          </w:tcPr>
          <w:p w14:paraId="525828EB" w14:textId="75DC6230" w:rsidR="008C57DD" w:rsidRPr="007B5B14" w:rsidRDefault="008C57DD" w:rsidP="006D0C79">
            <w:pPr>
              <w:rPr>
                <w:rFonts w:ascii="Arial" w:hAnsi="Arial" w:cs="Arial"/>
                <w:b/>
                <w:sz w:val="18"/>
                <w:szCs w:val="18"/>
              </w:rPr>
            </w:pPr>
            <w:r w:rsidRPr="007B5B14">
              <w:rPr>
                <w:rFonts w:ascii="Arial" w:hAnsi="Arial" w:cs="Arial"/>
                <w:b/>
                <w:sz w:val="18"/>
                <w:szCs w:val="18"/>
              </w:rPr>
              <w:t>Specific presentations</w:t>
            </w:r>
          </w:p>
        </w:tc>
      </w:tr>
      <w:tr w:rsidR="008C57DD" w:rsidRPr="007B5B14" w14:paraId="6ACCF298" w14:textId="77777777" w:rsidTr="008C57DD">
        <w:tc>
          <w:tcPr>
            <w:tcW w:w="1795" w:type="dxa"/>
          </w:tcPr>
          <w:p w14:paraId="34320E62" w14:textId="22AFC4F9" w:rsidR="008C57DD" w:rsidRPr="007B5B14" w:rsidRDefault="008C57DD" w:rsidP="006D0C79">
            <w:pPr>
              <w:rPr>
                <w:rFonts w:ascii="Arial" w:hAnsi="Arial" w:cs="Arial"/>
                <w:sz w:val="18"/>
                <w:szCs w:val="18"/>
              </w:rPr>
            </w:pPr>
            <w:r w:rsidRPr="007B5B14">
              <w:rPr>
                <w:rFonts w:ascii="Arial" w:hAnsi="Arial" w:cs="Arial"/>
                <w:sz w:val="18"/>
                <w:szCs w:val="18"/>
              </w:rPr>
              <w:t>Asia</w:t>
            </w:r>
          </w:p>
        </w:tc>
        <w:tc>
          <w:tcPr>
            <w:tcW w:w="7266" w:type="dxa"/>
          </w:tcPr>
          <w:p w14:paraId="7F5E96D2" w14:textId="60670123" w:rsidR="008C57DD" w:rsidRPr="007B5B14" w:rsidRDefault="00536906" w:rsidP="006D0C79">
            <w:pPr>
              <w:rPr>
                <w:rFonts w:ascii="Arial" w:hAnsi="Arial" w:cs="Arial"/>
                <w:sz w:val="18"/>
                <w:szCs w:val="18"/>
              </w:rPr>
            </w:pPr>
            <w:r w:rsidRPr="007B5B14">
              <w:rPr>
                <w:rFonts w:ascii="Arial" w:hAnsi="Arial" w:cs="Arial"/>
                <w:sz w:val="18"/>
                <w:szCs w:val="18"/>
              </w:rPr>
              <w:t>/</w:t>
            </w:r>
          </w:p>
        </w:tc>
      </w:tr>
      <w:tr w:rsidR="008C57DD" w:rsidRPr="003D7FDB" w14:paraId="61637B47" w14:textId="77777777" w:rsidTr="008C57DD">
        <w:tc>
          <w:tcPr>
            <w:tcW w:w="1795" w:type="dxa"/>
          </w:tcPr>
          <w:p w14:paraId="5383983F" w14:textId="4C244FE9" w:rsidR="008C57DD" w:rsidRPr="007B5B14" w:rsidRDefault="008C57DD" w:rsidP="006D0C79">
            <w:pPr>
              <w:rPr>
                <w:rFonts w:ascii="Arial" w:hAnsi="Arial" w:cs="Arial"/>
                <w:sz w:val="18"/>
                <w:szCs w:val="18"/>
              </w:rPr>
            </w:pPr>
            <w:r w:rsidRPr="007B5B14">
              <w:rPr>
                <w:rFonts w:ascii="Arial" w:hAnsi="Arial" w:cs="Arial"/>
                <w:sz w:val="18"/>
                <w:szCs w:val="18"/>
              </w:rPr>
              <w:t>Latin America</w:t>
            </w:r>
          </w:p>
        </w:tc>
        <w:tc>
          <w:tcPr>
            <w:tcW w:w="7266" w:type="dxa"/>
          </w:tcPr>
          <w:p w14:paraId="79928E97" w14:textId="77777777" w:rsidR="001C4223" w:rsidRPr="007B5B14" w:rsidRDefault="001C4223" w:rsidP="001C4223">
            <w:pPr>
              <w:pStyle w:val="ListParagraph"/>
              <w:numPr>
                <w:ilvl w:val="0"/>
                <w:numId w:val="10"/>
              </w:numPr>
              <w:ind w:left="1240"/>
              <w:rPr>
                <w:rFonts w:ascii="Arial" w:hAnsi="Arial" w:cs="Arial"/>
                <w:sz w:val="18"/>
                <w:szCs w:val="18"/>
                <w:lang w:val="es-ES"/>
              </w:rPr>
            </w:pPr>
            <w:r w:rsidRPr="007B5B14">
              <w:rPr>
                <w:rFonts w:ascii="Arial" w:hAnsi="Arial" w:cs="Arial"/>
                <w:sz w:val="18"/>
                <w:szCs w:val="18"/>
                <w:lang w:val="es-ES"/>
              </w:rPr>
              <w:t>Mesoamérica, Una región prioritaria para la cooperación técnica de FAO</w:t>
            </w:r>
          </w:p>
          <w:p w14:paraId="7A74796E" w14:textId="689B84CF" w:rsidR="008C57DD" w:rsidRPr="007B5B14" w:rsidRDefault="001C4223" w:rsidP="001C4223">
            <w:pPr>
              <w:pStyle w:val="ListParagraph"/>
              <w:numPr>
                <w:ilvl w:val="0"/>
                <w:numId w:val="10"/>
              </w:numPr>
              <w:ind w:left="1240"/>
              <w:rPr>
                <w:rFonts w:ascii="Arial" w:hAnsi="Arial" w:cs="Arial"/>
                <w:sz w:val="18"/>
                <w:szCs w:val="18"/>
                <w:lang w:val="es-ES"/>
              </w:rPr>
            </w:pPr>
            <w:r w:rsidRPr="007B5B14">
              <w:rPr>
                <w:rFonts w:ascii="Arial" w:hAnsi="Arial" w:cs="Arial"/>
                <w:sz w:val="18"/>
                <w:szCs w:val="18"/>
                <w:lang w:val="es-ES"/>
              </w:rPr>
              <w:t>Temas para analizar con la Secretaria de la CIPF</w:t>
            </w:r>
            <w:r w:rsidR="006E5966" w:rsidRPr="007B5B14">
              <w:rPr>
                <w:rFonts w:ascii="Arial" w:hAnsi="Arial" w:cs="Arial"/>
                <w:sz w:val="18"/>
                <w:szCs w:val="18"/>
                <w:lang w:val="es-ES"/>
              </w:rPr>
              <w:t xml:space="preserve"> </w:t>
            </w:r>
          </w:p>
        </w:tc>
      </w:tr>
      <w:tr w:rsidR="008C57DD" w:rsidRPr="007B5B14" w14:paraId="44F06093" w14:textId="77777777" w:rsidTr="008C57DD">
        <w:tc>
          <w:tcPr>
            <w:tcW w:w="1795" w:type="dxa"/>
          </w:tcPr>
          <w:p w14:paraId="407D389F" w14:textId="19E5478B" w:rsidR="008C57DD" w:rsidRPr="007B5B14" w:rsidRDefault="008C57DD" w:rsidP="006D0C79">
            <w:pPr>
              <w:rPr>
                <w:rFonts w:ascii="Arial" w:hAnsi="Arial" w:cs="Arial"/>
                <w:sz w:val="18"/>
                <w:szCs w:val="18"/>
              </w:rPr>
            </w:pPr>
            <w:r w:rsidRPr="007B5B14">
              <w:rPr>
                <w:rFonts w:ascii="Arial" w:hAnsi="Arial" w:cs="Arial"/>
                <w:sz w:val="18"/>
                <w:szCs w:val="18"/>
              </w:rPr>
              <w:t>Near East and North Africa</w:t>
            </w:r>
          </w:p>
        </w:tc>
        <w:tc>
          <w:tcPr>
            <w:tcW w:w="7266" w:type="dxa"/>
          </w:tcPr>
          <w:p w14:paraId="09C50041" w14:textId="7E6F8D70" w:rsidR="00260E4E" w:rsidRPr="007B5B14" w:rsidRDefault="00260E4E" w:rsidP="008C57DD">
            <w:pPr>
              <w:pStyle w:val="ListParagraph"/>
              <w:numPr>
                <w:ilvl w:val="0"/>
                <w:numId w:val="10"/>
              </w:numPr>
              <w:ind w:left="1240"/>
              <w:rPr>
                <w:rFonts w:ascii="Arial" w:hAnsi="Arial" w:cs="Arial"/>
                <w:sz w:val="18"/>
                <w:szCs w:val="18"/>
              </w:rPr>
            </w:pPr>
            <w:r w:rsidRPr="007B5B14">
              <w:rPr>
                <w:rFonts w:ascii="Arial" w:hAnsi="Arial" w:cs="Arial"/>
                <w:sz w:val="18"/>
                <w:szCs w:val="18"/>
              </w:rPr>
              <w:t>FAO projects and other plant protection capacity development activities in NENA Region</w:t>
            </w:r>
          </w:p>
          <w:p w14:paraId="4E19A172" w14:textId="5022DC1B" w:rsidR="00260E4E" w:rsidRPr="007B5B14" w:rsidRDefault="00260E4E" w:rsidP="00260E4E">
            <w:pPr>
              <w:pStyle w:val="ListParagraph"/>
              <w:numPr>
                <w:ilvl w:val="0"/>
                <w:numId w:val="10"/>
              </w:numPr>
              <w:ind w:left="1240"/>
              <w:rPr>
                <w:rFonts w:ascii="Arial" w:hAnsi="Arial" w:cs="Arial"/>
                <w:sz w:val="18"/>
                <w:szCs w:val="18"/>
              </w:rPr>
            </w:pPr>
            <w:r w:rsidRPr="007B5B14">
              <w:rPr>
                <w:rFonts w:ascii="Arial" w:hAnsi="Arial" w:cs="Arial"/>
                <w:sz w:val="18"/>
                <w:szCs w:val="18"/>
              </w:rPr>
              <w:t>Activities of the Technical consultation of the RPPOs</w:t>
            </w:r>
          </w:p>
          <w:p w14:paraId="178A4BC9" w14:textId="7BABDAD1" w:rsidR="00260E4E" w:rsidRPr="007B5B14" w:rsidRDefault="00260E4E" w:rsidP="00260E4E">
            <w:pPr>
              <w:pStyle w:val="ListParagraph"/>
              <w:numPr>
                <w:ilvl w:val="0"/>
                <w:numId w:val="10"/>
              </w:numPr>
              <w:autoSpaceDE w:val="0"/>
              <w:autoSpaceDN w:val="0"/>
              <w:adjustRightInd w:val="0"/>
              <w:ind w:left="1240"/>
              <w:rPr>
                <w:rFonts w:ascii="Arial" w:hAnsi="Arial" w:cs="Arial"/>
                <w:sz w:val="18"/>
                <w:szCs w:val="18"/>
              </w:rPr>
            </w:pPr>
            <w:r w:rsidRPr="007B5B14">
              <w:rPr>
                <w:rFonts w:ascii="Arial" w:hAnsi="Arial" w:cs="Arial"/>
                <w:sz w:val="18"/>
                <w:szCs w:val="18"/>
              </w:rPr>
              <w:t xml:space="preserve">Biological Control of the Invasive </w:t>
            </w:r>
            <w:r w:rsidRPr="007B5B14">
              <w:rPr>
                <w:rFonts w:ascii="Arial" w:hAnsi="Arial" w:cs="Arial"/>
                <w:iCs/>
                <w:sz w:val="18"/>
                <w:szCs w:val="18"/>
              </w:rPr>
              <w:t>Weed</w:t>
            </w:r>
            <w:r w:rsidRPr="007B5B14">
              <w:rPr>
                <w:rFonts w:ascii="Arial" w:hAnsi="Arial" w:cs="Arial"/>
                <w:i/>
                <w:sz w:val="18"/>
                <w:szCs w:val="18"/>
              </w:rPr>
              <w:t xml:space="preserve"> Parthenium hysterophorus</w:t>
            </w:r>
            <w:r w:rsidRPr="007B5B14">
              <w:rPr>
                <w:rFonts w:ascii="Arial" w:hAnsi="Arial" w:cs="Arial"/>
                <w:sz w:val="18"/>
                <w:szCs w:val="18"/>
              </w:rPr>
              <w:t xml:space="preserve"> in East Africa</w:t>
            </w:r>
          </w:p>
          <w:p w14:paraId="1EF1FFD5" w14:textId="5A1DB396" w:rsidR="008C57DD" w:rsidRPr="007B5B14" w:rsidRDefault="008C57DD" w:rsidP="00260E4E">
            <w:pPr>
              <w:pStyle w:val="ListParagraph"/>
              <w:numPr>
                <w:ilvl w:val="0"/>
                <w:numId w:val="10"/>
              </w:numPr>
              <w:ind w:left="1240"/>
              <w:rPr>
                <w:rFonts w:ascii="Arial" w:hAnsi="Arial" w:cs="Arial"/>
                <w:sz w:val="18"/>
                <w:szCs w:val="18"/>
              </w:rPr>
            </w:pPr>
            <w:r w:rsidRPr="007B5B14">
              <w:rPr>
                <w:rFonts w:ascii="Arial" w:hAnsi="Arial" w:cs="Arial"/>
                <w:sz w:val="18"/>
                <w:szCs w:val="18"/>
              </w:rPr>
              <w:t>Multiple Uses of cactus Pear (</w:t>
            </w:r>
            <w:r w:rsidRPr="007B5B14">
              <w:rPr>
                <w:rFonts w:ascii="Arial" w:hAnsi="Arial" w:cs="Arial"/>
                <w:i/>
                <w:iCs/>
                <w:sz w:val="18"/>
                <w:szCs w:val="18"/>
              </w:rPr>
              <w:t>Opuntia ficus-indica</w:t>
            </w:r>
            <w:r w:rsidRPr="007B5B14">
              <w:rPr>
                <w:rFonts w:ascii="Arial" w:hAnsi="Arial" w:cs="Arial"/>
                <w:sz w:val="18"/>
                <w:szCs w:val="18"/>
              </w:rPr>
              <w:t>) and threat of recent cochineal (</w:t>
            </w:r>
            <w:r w:rsidRPr="007B5B14">
              <w:rPr>
                <w:rFonts w:ascii="Arial" w:hAnsi="Arial" w:cs="Arial"/>
                <w:i/>
                <w:iCs/>
                <w:sz w:val="18"/>
                <w:szCs w:val="18"/>
              </w:rPr>
              <w:t>Dactylopiusopuntiae</w:t>
            </w:r>
            <w:r w:rsidRPr="007B5B14">
              <w:rPr>
                <w:rFonts w:ascii="Arial" w:hAnsi="Arial" w:cs="Arial"/>
                <w:sz w:val="18"/>
                <w:szCs w:val="18"/>
              </w:rPr>
              <w:t>) outb</w:t>
            </w:r>
            <w:r w:rsidR="00260E4E" w:rsidRPr="007B5B14">
              <w:rPr>
                <w:rFonts w:ascii="Arial" w:hAnsi="Arial" w:cs="Arial"/>
                <w:sz w:val="18"/>
                <w:szCs w:val="18"/>
              </w:rPr>
              <w:t>reaks in the Mediterranean basin</w:t>
            </w:r>
          </w:p>
        </w:tc>
      </w:tr>
      <w:tr w:rsidR="008C57DD" w:rsidRPr="007B5B14" w14:paraId="360B1003" w14:textId="77777777" w:rsidTr="008C57DD">
        <w:tc>
          <w:tcPr>
            <w:tcW w:w="1795" w:type="dxa"/>
          </w:tcPr>
          <w:p w14:paraId="54B5CB35" w14:textId="2F8A0B94" w:rsidR="008C57DD" w:rsidRPr="007B5B14" w:rsidRDefault="008C57DD" w:rsidP="006D0C79">
            <w:pPr>
              <w:rPr>
                <w:rFonts w:ascii="Arial" w:hAnsi="Arial" w:cs="Arial"/>
                <w:sz w:val="18"/>
                <w:szCs w:val="18"/>
              </w:rPr>
            </w:pPr>
            <w:r w:rsidRPr="007B5B14">
              <w:rPr>
                <w:rFonts w:ascii="Arial" w:hAnsi="Arial" w:cs="Arial"/>
                <w:sz w:val="18"/>
                <w:szCs w:val="18"/>
              </w:rPr>
              <w:t>Central and Eastern Europe  and Central Asia</w:t>
            </w:r>
          </w:p>
        </w:tc>
        <w:tc>
          <w:tcPr>
            <w:tcW w:w="7266" w:type="dxa"/>
          </w:tcPr>
          <w:p w14:paraId="3B3F117C" w14:textId="43898398" w:rsidR="000E3191" w:rsidRPr="007B5B14" w:rsidRDefault="00F204D4" w:rsidP="000E3191">
            <w:pPr>
              <w:pStyle w:val="ListParagraph"/>
              <w:numPr>
                <w:ilvl w:val="0"/>
                <w:numId w:val="10"/>
              </w:numPr>
              <w:ind w:left="1240"/>
              <w:rPr>
                <w:rFonts w:ascii="Arial" w:hAnsi="Arial" w:cs="Arial"/>
                <w:sz w:val="18"/>
                <w:szCs w:val="18"/>
              </w:rPr>
            </w:pPr>
            <w:r w:rsidRPr="007B5B14">
              <w:rPr>
                <w:rFonts w:ascii="Arial" w:hAnsi="Arial" w:cs="Arial"/>
                <w:sz w:val="18"/>
                <w:szCs w:val="18"/>
              </w:rPr>
              <w:t xml:space="preserve">e-Phyto recent development, progress and IPPC Hub concept pilot programme Emerging issues </w:t>
            </w:r>
          </w:p>
          <w:p w14:paraId="48139640" w14:textId="3F7DA71F" w:rsidR="00F204D4" w:rsidRPr="007B5B14" w:rsidRDefault="00F204D4" w:rsidP="00F204D4">
            <w:pPr>
              <w:pStyle w:val="ListParagraph"/>
              <w:numPr>
                <w:ilvl w:val="0"/>
                <w:numId w:val="10"/>
              </w:numPr>
              <w:ind w:left="1240"/>
              <w:rPr>
                <w:rFonts w:ascii="Arial" w:hAnsi="Arial" w:cs="Arial"/>
                <w:sz w:val="18"/>
                <w:szCs w:val="18"/>
              </w:rPr>
            </w:pPr>
            <w:r w:rsidRPr="007B5B14">
              <w:rPr>
                <w:rFonts w:ascii="Arial" w:hAnsi="Arial" w:cs="Arial"/>
                <w:sz w:val="18"/>
                <w:szCs w:val="18"/>
              </w:rPr>
              <w:t>Forest Invasive Species Network for Europe and Central Asia – introduction</w:t>
            </w:r>
          </w:p>
          <w:p w14:paraId="6D3EC3AF" w14:textId="77777777" w:rsidR="00F204D4" w:rsidRPr="007B5B14" w:rsidRDefault="00F204D4" w:rsidP="00F204D4">
            <w:pPr>
              <w:pStyle w:val="ListParagraph"/>
              <w:numPr>
                <w:ilvl w:val="0"/>
                <w:numId w:val="10"/>
              </w:numPr>
              <w:ind w:left="1240"/>
              <w:rPr>
                <w:rFonts w:ascii="Arial" w:hAnsi="Arial" w:cs="Arial"/>
                <w:sz w:val="18"/>
                <w:szCs w:val="18"/>
              </w:rPr>
            </w:pPr>
            <w:r w:rsidRPr="007B5B14">
              <w:rPr>
                <w:rFonts w:ascii="Arial" w:hAnsi="Arial" w:cs="Arial"/>
                <w:sz w:val="18"/>
                <w:szCs w:val="18"/>
              </w:rPr>
              <w:t>Emerging pests in the region, gaps and problems of phytosanitary services of the countries</w:t>
            </w:r>
          </w:p>
          <w:p w14:paraId="05E628C3" w14:textId="77777777" w:rsidR="00F204D4" w:rsidRPr="007B5B14" w:rsidRDefault="00F204D4" w:rsidP="00F204D4">
            <w:pPr>
              <w:pStyle w:val="ListParagraph"/>
              <w:numPr>
                <w:ilvl w:val="0"/>
                <w:numId w:val="10"/>
              </w:numPr>
              <w:ind w:left="1240"/>
              <w:rPr>
                <w:rFonts w:ascii="Arial" w:hAnsi="Arial" w:cs="Arial"/>
                <w:sz w:val="18"/>
                <w:szCs w:val="18"/>
              </w:rPr>
            </w:pPr>
            <w:r w:rsidRPr="007B5B14">
              <w:rPr>
                <w:rFonts w:ascii="Arial" w:hAnsi="Arial" w:cs="Arial"/>
                <w:sz w:val="18"/>
                <w:szCs w:val="18"/>
              </w:rPr>
              <w:t xml:space="preserve">National, Regional and Cross-regional priorities on plant protection in REU region </w:t>
            </w:r>
          </w:p>
          <w:p w14:paraId="5D4187FE" w14:textId="6F73D628" w:rsidR="00F204D4" w:rsidRPr="007B5B14" w:rsidRDefault="00F204D4" w:rsidP="00F204D4">
            <w:pPr>
              <w:pStyle w:val="ListParagraph"/>
              <w:numPr>
                <w:ilvl w:val="0"/>
                <w:numId w:val="10"/>
              </w:numPr>
              <w:ind w:left="1240"/>
              <w:rPr>
                <w:rFonts w:ascii="Arial" w:hAnsi="Arial" w:cs="Arial"/>
                <w:sz w:val="18"/>
                <w:szCs w:val="18"/>
              </w:rPr>
            </w:pPr>
            <w:r w:rsidRPr="007B5B14">
              <w:rPr>
                <w:rFonts w:ascii="Arial" w:hAnsi="Arial" w:cs="Arial"/>
                <w:sz w:val="18"/>
                <w:szCs w:val="18"/>
              </w:rPr>
              <w:t xml:space="preserve">Discussion on future steps at national, regional and cross regional levels in REU region </w:t>
            </w:r>
          </w:p>
        </w:tc>
      </w:tr>
      <w:tr w:rsidR="008C57DD" w:rsidRPr="007B5B14" w14:paraId="76CE25F5" w14:textId="77777777" w:rsidTr="008C57DD">
        <w:tc>
          <w:tcPr>
            <w:tcW w:w="1795" w:type="dxa"/>
          </w:tcPr>
          <w:p w14:paraId="61721CC7" w14:textId="69B6791C" w:rsidR="008C57DD" w:rsidRPr="007B5B14" w:rsidRDefault="008C57DD" w:rsidP="006D0C79">
            <w:pPr>
              <w:rPr>
                <w:rFonts w:ascii="Arial" w:hAnsi="Arial" w:cs="Arial"/>
                <w:sz w:val="18"/>
                <w:szCs w:val="18"/>
              </w:rPr>
            </w:pPr>
            <w:r w:rsidRPr="007B5B14">
              <w:rPr>
                <w:rFonts w:ascii="Arial" w:hAnsi="Arial" w:cs="Arial"/>
                <w:sz w:val="18"/>
                <w:szCs w:val="18"/>
              </w:rPr>
              <w:t>Southwest Pacific</w:t>
            </w:r>
          </w:p>
        </w:tc>
        <w:tc>
          <w:tcPr>
            <w:tcW w:w="7266" w:type="dxa"/>
          </w:tcPr>
          <w:p w14:paraId="71C6E864" w14:textId="35EC3B23" w:rsidR="008C57DD" w:rsidRPr="007B5B14" w:rsidRDefault="00D41F8D" w:rsidP="00D41F8D">
            <w:pPr>
              <w:rPr>
                <w:rFonts w:ascii="Arial" w:hAnsi="Arial" w:cs="Arial"/>
                <w:sz w:val="18"/>
                <w:szCs w:val="18"/>
              </w:rPr>
            </w:pPr>
            <w:r w:rsidRPr="007B5B14">
              <w:rPr>
                <w:rFonts w:ascii="Arial" w:hAnsi="Arial" w:cs="Arial"/>
                <w:sz w:val="18"/>
                <w:szCs w:val="18"/>
              </w:rPr>
              <w:t>/</w:t>
            </w:r>
          </w:p>
        </w:tc>
      </w:tr>
      <w:tr w:rsidR="008C57DD" w:rsidRPr="007B5B14" w14:paraId="5680494A" w14:textId="77777777" w:rsidTr="008C57DD">
        <w:tc>
          <w:tcPr>
            <w:tcW w:w="1795" w:type="dxa"/>
          </w:tcPr>
          <w:p w14:paraId="5D931BEB" w14:textId="02EA59B3" w:rsidR="008C57DD" w:rsidRPr="007B5B14" w:rsidRDefault="008C57DD" w:rsidP="006D0C79">
            <w:pPr>
              <w:rPr>
                <w:rFonts w:ascii="Arial" w:hAnsi="Arial" w:cs="Arial"/>
                <w:sz w:val="18"/>
                <w:szCs w:val="18"/>
                <w:lang w:val="fr-FR"/>
              </w:rPr>
            </w:pPr>
            <w:r w:rsidRPr="007B5B14">
              <w:rPr>
                <w:rFonts w:ascii="Arial" w:hAnsi="Arial" w:cs="Arial"/>
                <w:sz w:val="18"/>
                <w:szCs w:val="18"/>
                <w:lang w:val="fr-FR"/>
              </w:rPr>
              <w:t>Caribbean</w:t>
            </w:r>
          </w:p>
        </w:tc>
        <w:tc>
          <w:tcPr>
            <w:tcW w:w="7266" w:type="dxa"/>
          </w:tcPr>
          <w:p w14:paraId="36D6A84F" w14:textId="77777777" w:rsidR="001C4223" w:rsidRPr="007B5B14" w:rsidRDefault="001C4223" w:rsidP="001C4223">
            <w:pPr>
              <w:pStyle w:val="ListParagraph"/>
              <w:numPr>
                <w:ilvl w:val="0"/>
                <w:numId w:val="10"/>
              </w:numPr>
              <w:ind w:left="1240"/>
              <w:rPr>
                <w:rFonts w:ascii="Arial" w:hAnsi="Arial" w:cs="Arial"/>
                <w:sz w:val="18"/>
                <w:szCs w:val="18"/>
                <w:lang w:val="en-US"/>
              </w:rPr>
            </w:pPr>
            <w:r w:rsidRPr="007B5B14">
              <w:rPr>
                <w:rFonts w:ascii="Arial" w:hAnsi="Arial" w:cs="Arial"/>
                <w:sz w:val="18"/>
                <w:szCs w:val="18"/>
                <w:lang w:val="en-US"/>
              </w:rPr>
              <w:t>Discussion topics from the Caribbean region</w:t>
            </w:r>
          </w:p>
          <w:p w14:paraId="5B45033C" w14:textId="77777777" w:rsidR="001C4223" w:rsidRPr="007B5B14" w:rsidRDefault="001C4223" w:rsidP="001C4223">
            <w:pPr>
              <w:pStyle w:val="ListParagraph"/>
              <w:numPr>
                <w:ilvl w:val="0"/>
                <w:numId w:val="10"/>
              </w:numPr>
              <w:ind w:left="1240"/>
              <w:rPr>
                <w:rFonts w:ascii="Arial" w:hAnsi="Arial" w:cs="Arial"/>
                <w:sz w:val="18"/>
                <w:szCs w:val="18"/>
                <w:lang w:val="en-US"/>
              </w:rPr>
            </w:pPr>
            <w:r w:rsidRPr="007B5B14">
              <w:rPr>
                <w:rFonts w:ascii="Arial" w:hAnsi="Arial" w:cs="Arial"/>
                <w:sz w:val="18"/>
                <w:szCs w:val="18"/>
                <w:lang w:val="en-US"/>
              </w:rPr>
              <w:t>Update: FAO Regional and Capacity Development Activities - 2016</w:t>
            </w:r>
          </w:p>
          <w:p w14:paraId="6FA2E035" w14:textId="7DE81682" w:rsidR="008C57DD" w:rsidRPr="007B5B14" w:rsidRDefault="008C57DD" w:rsidP="001C4223">
            <w:pPr>
              <w:ind w:left="360"/>
              <w:rPr>
                <w:rFonts w:ascii="Arial" w:hAnsi="Arial" w:cs="Arial"/>
                <w:sz w:val="18"/>
                <w:szCs w:val="18"/>
                <w:lang w:val="en-US"/>
              </w:rPr>
            </w:pPr>
          </w:p>
        </w:tc>
      </w:tr>
    </w:tbl>
    <w:p w14:paraId="24F94A9C" w14:textId="77777777" w:rsidR="00D81A4C" w:rsidRPr="00D41F8D" w:rsidRDefault="00D81A4C" w:rsidP="007B5B14">
      <w:pPr>
        <w:pStyle w:val="IPPHeading1"/>
      </w:pPr>
      <w:r w:rsidRPr="00D41F8D">
        <w:t xml:space="preserve">Major achievements </w:t>
      </w:r>
    </w:p>
    <w:p w14:paraId="3A59D4F4" w14:textId="0921AADF" w:rsidR="006D0C79" w:rsidRPr="007B5B14" w:rsidRDefault="009F7DF4" w:rsidP="009F7DF4">
      <w:pPr>
        <w:pStyle w:val="IPPHeading2"/>
      </w:pPr>
      <w:r>
        <w:t>1.</w:t>
      </w:r>
      <w:r>
        <w:tab/>
      </w:r>
      <w:r w:rsidR="00D81A4C" w:rsidRPr="007B5B14">
        <w:t>A</w:t>
      </w:r>
      <w:r w:rsidR="006D0C79" w:rsidRPr="007B5B14">
        <w:t xml:space="preserve">nalysis of the </w:t>
      </w:r>
      <w:r w:rsidR="00C5768C" w:rsidRPr="007B5B14">
        <w:t xml:space="preserve">workshop feedback </w:t>
      </w:r>
      <w:r w:rsidR="006D0C79" w:rsidRPr="007B5B14">
        <w:t>survey</w:t>
      </w:r>
    </w:p>
    <w:p w14:paraId="0512170B" w14:textId="7244D97A" w:rsidR="00D41F8D" w:rsidRPr="00D41F8D" w:rsidRDefault="00945EDA" w:rsidP="007B5B14">
      <w:pPr>
        <w:pStyle w:val="IPPParagraphnumbering"/>
      </w:pPr>
      <w:r w:rsidRPr="00D41F8D">
        <w:t>Sixty-three persons answered the survey, mainly from Africa, Latin America, Caribbean and Central Asia and E</w:t>
      </w:r>
      <w:r w:rsidR="00BD0884" w:rsidRPr="00D41F8D">
        <w:t>astern Europe workshops</w:t>
      </w:r>
      <w:r w:rsidR="00F71D8A">
        <w:t xml:space="preserve">, </w:t>
      </w:r>
      <w:r w:rsidR="00C5768C">
        <w:t xml:space="preserve">out of </w:t>
      </w:r>
      <w:r w:rsidR="00F71D8A">
        <w:t>a total of 212 participants</w:t>
      </w:r>
      <w:r w:rsidR="00BD0884" w:rsidRPr="00D41F8D">
        <w:t>. P</w:t>
      </w:r>
      <w:r w:rsidRPr="00D41F8D">
        <w:t>articipants generally found the content of the workshop relevant, thorough and easy to understand, and considered they were well informed on the objectives of the workshop. Most participants reported that they were well prepared for the workshop, having analysed the draft standard</w:t>
      </w:r>
      <w:r w:rsidR="00C5768C">
        <w:t>s</w:t>
      </w:r>
      <w:r w:rsidRPr="00D41F8D">
        <w:t xml:space="preserve"> and other documents, but some admitted they were not. Presentations allowed participants to increase their knowledge on the topics presented. Although the pace of the workshops was generally considered appropriate, a few participants found it too fast, and suggested further time could be dedicated to the workshops. </w:t>
      </w:r>
    </w:p>
    <w:p w14:paraId="123E3AAA" w14:textId="77777777" w:rsidR="00D41F8D" w:rsidRPr="00D41F8D" w:rsidRDefault="00D41F8D" w:rsidP="007B5B14">
      <w:pPr>
        <w:pStyle w:val="IPPParagraphnumbering"/>
      </w:pPr>
      <w:r w:rsidRPr="00D41F8D">
        <w:t>Participants considered particularly valuable:</w:t>
      </w:r>
    </w:p>
    <w:p w14:paraId="785D3C62" w14:textId="77777777" w:rsidR="00D41F8D" w:rsidRPr="00D41F8D" w:rsidRDefault="00D41F8D" w:rsidP="007B5B14">
      <w:pPr>
        <w:pStyle w:val="IPPBullet1"/>
      </w:pPr>
      <w:r w:rsidRPr="00D41F8D">
        <w:t>Better understanding of the IPPC, OCS, IYPH, IPP website, etc.</w:t>
      </w:r>
    </w:p>
    <w:p w14:paraId="2BE27762" w14:textId="77777777" w:rsidR="00D41F8D" w:rsidRPr="00D41F8D" w:rsidRDefault="00D41F8D" w:rsidP="007B5B14">
      <w:pPr>
        <w:pStyle w:val="IPPBullet1"/>
      </w:pPr>
      <w:r w:rsidRPr="00D41F8D">
        <w:rPr>
          <w:lang w:val="fr-FR"/>
        </w:rPr>
        <w:t>Information and experience exchange</w:t>
      </w:r>
    </w:p>
    <w:p w14:paraId="2A0AC724" w14:textId="77777777" w:rsidR="00D41F8D" w:rsidRPr="00D41F8D" w:rsidRDefault="00D41F8D" w:rsidP="007B5B14">
      <w:pPr>
        <w:pStyle w:val="IPPBullet1"/>
      </w:pPr>
      <w:r w:rsidRPr="00D41F8D">
        <w:rPr>
          <w:lang w:val="fr-FR"/>
        </w:rPr>
        <w:t>Interactions among NPPOs</w:t>
      </w:r>
    </w:p>
    <w:p w14:paraId="7A867010" w14:textId="77777777" w:rsidR="00D41F8D" w:rsidRPr="00D41F8D" w:rsidRDefault="00D41F8D" w:rsidP="007B5B14">
      <w:pPr>
        <w:pStyle w:val="IPPBullet1"/>
      </w:pPr>
      <w:r w:rsidRPr="00D41F8D">
        <w:rPr>
          <w:lang w:val="fr-FR"/>
        </w:rPr>
        <w:t>Group work</w:t>
      </w:r>
    </w:p>
    <w:p w14:paraId="12861AAA" w14:textId="77777777" w:rsidR="00D41F8D" w:rsidRPr="00D41F8D" w:rsidRDefault="00D41F8D" w:rsidP="007B5B14">
      <w:pPr>
        <w:pStyle w:val="IPPBullet1"/>
      </w:pPr>
      <w:r w:rsidRPr="00D41F8D">
        <w:rPr>
          <w:lang w:val="fr-FR"/>
        </w:rPr>
        <w:t>Availability of documents</w:t>
      </w:r>
    </w:p>
    <w:p w14:paraId="3DB9A12F" w14:textId="77777777" w:rsidR="00D41F8D" w:rsidRPr="00D41F8D" w:rsidRDefault="00D41F8D" w:rsidP="007B5B14">
      <w:pPr>
        <w:pStyle w:val="IPPBullet1"/>
      </w:pPr>
      <w:r w:rsidRPr="00D41F8D">
        <w:rPr>
          <w:lang w:val="fr-FR"/>
        </w:rPr>
        <w:t>Understanding the regional issues</w:t>
      </w:r>
    </w:p>
    <w:p w14:paraId="220AC542" w14:textId="12E3B891" w:rsidR="00D41F8D" w:rsidRPr="00D41F8D" w:rsidRDefault="00D41F8D" w:rsidP="009F7DF4">
      <w:pPr>
        <w:pStyle w:val="IPPBullet1Last"/>
      </w:pPr>
      <w:r w:rsidRPr="00D41F8D">
        <w:rPr>
          <w:lang w:val="fr-FR"/>
        </w:rPr>
        <w:t xml:space="preserve">The revision of </w:t>
      </w:r>
      <w:r w:rsidR="00C5768C">
        <w:rPr>
          <w:lang w:val="fr-FR"/>
        </w:rPr>
        <w:t>s</w:t>
      </w:r>
      <w:r w:rsidRPr="00D41F8D">
        <w:rPr>
          <w:lang w:val="fr-FR"/>
        </w:rPr>
        <w:t>tandards</w:t>
      </w:r>
    </w:p>
    <w:p w14:paraId="3FB2FB36" w14:textId="47AE1959" w:rsidR="006D0C79" w:rsidRPr="007B5B14" w:rsidRDefault="009F7DF4" w:rsidP="009F7DF4">
      <w:pPr>
        <w:pStyle w:val="IPPHeading2"/>
      </w:pPr>
      <w:r>
        <w:t>2.</w:t>
      </w:r>
      <w:r>
        <w:tab/>
      </w:r>
      <w:r w:rsidR="006D0C79" w:rsidRPr="007B5B14">
        <w:t>Information available and news on the IPP</w:t>
      </w:r>
    </w:p>
    <w:p w14:paraId="12BEA4EC" w14:textId="2473CB6F" w:rsidR="006D0C79" w:rsidRPr="00D41F8D" w:rsidRDefault="00536906" w:rsidP="007B5B14">
      <w:pPr>
        <w:pStyle w:val="IPPParagraphnumbering"/>
      </w:pPr>
      <w:r w:rsidRPr="00D41F8D">
        <w:t xml:space="preserve">The reports from all workshops are available on the IPP: </w:t>
      </w:r>
      <w:hyperlink r:id="rId8" w:history="1">
        <w:r w:rsidRPr="00D41F8D">
          <w:rPr>
            <w:rStyle w:val="Hyperlink"/>
            <w:rFonts w:asciiTheme="majorBidi" w:hAnsiTheme="majorBidi" w:cstheme="majorBidi"/>
          </w:rPr>
          <w:t>https://www.ippc.int/en/core-activities/capacity-development/regional-ippc-workshops/</w:t>
        </w:r>
      </w:hyperlink>
      <w:r w:rsidRPr="00D41F8D">
        <w:t xml:space="preserve"> </w:t>
      </w:r>
    </w:p>
    <w:p w14:paraId="095036F9" w14:textId="7C079DAA" w:rsidR="00536906" w:rsidRPr="00D41F8D" w:rsidRDefault="00536906" w:rsidP="007B5B14">
      <w:pPr>
        <w:pStyle w:val="IPPParagraphnumbering"/>
      </w:pPr>
      <w:r w:rsidRPr="00D41F8D">
        <w:t xml:space="preserve">The presentations in English, Spanish, Russian and Arabic and presentations specific to workshops are available on the IPP: </w:t>
      </w:r>
      <w:hyperlink r:id="rId9" w:history="1">
        <w:r w:rsidRPr="00D41F8D">
          <w:rPr>
            <w:rStyle w:val="Hyperlink"/>
            <w:rFonts w:asciiTheme="majorBidi" w:hAnsiTheme="majorBidi" w:cstheme="majorBidi"/>
          </w:rPr>
          <w:t>https://www.ippc.int/en/core-activities/capacity-development/regional-ippc-workshops/2016-ippc-regional-workshops/</w:t>
        </w:r>
      </w:hyperlink>
    </w:p>
    <w:p w14:paraId="0452BBA7" w14:textId="4ECE34DD" w:rsidR="00536906" w:rsidRPr="00D41F8D" w:rsidRDefault="00C5768C" w:rsidP="007B5B14">
      <w:pPr>
        <w:pStyle w:val="IPPParagraphnumbering"/>
      </w:pPr>
      <w:r w:rsidRPr="00D41F8D">
        <w:lastRenderedPageBreak/>
        <w:t>H</w:t>
      </w:r>
      <w:r>
        <w:t>eadline</w:t>
      </w:r>
      <w:r w:rsidRPr="00D41F8D">
        <w:t xml:space="preserve"> </w:t>
      </w:r>
      <w:r w:rsidR="00536906" w:rsidRPr="00D41F8D">
        <w:t>news has been published on the IPP for each workshop:</w:t>
      </w:r>
    </w:p>
    <w:p w14:paraId="50E51428" w14:textId="18A9A060" w:rsidR="00536906" w:rsidRPr="00D41F8D" w:rsidRDefault="00536906" w:rsidP="007B5B14">
      <w:pPr>
        <w:pStyle w:val="IPPBullet1"/>
        <w:rPr>
          <w:rFonts w:asciiTheme="majorBidi" w:hAnsiTheme="majorBidi" w:cstheme="majorBidi"/>
        </w:rPr>
      </w:pPr>
      <w:r w:rsidRPr="00D41F8D">
        <w:rPr>
          <w:rFonts w:asciiTheme="majorBidi" w:hAnsiTheme="majorBidi" w:cstheme="majorBidi"/>
        </w:rPr>
        <w:t xml:space="preserve">Asia: </w:t>
      </w:r>
      <w:hyperlink r:id="rId10" w:history="1">
        <w:r w:rsidR="00DD3028" w:rsidRPr="00AF0C69">
          <w:rPr>
            <w:rStyle w:val="Hyperlink"/>
          </w:rPr>
          <w:t>https://www.ippc.int/en/news/the-ippcapppc-regional-workshop-for-asia-held-in-republic-of-korea/</w:t>
        </w:r>
      </w:hyperlink>
      <w:r w:rsidR="00DD3028">
        <w:t xml:space="preserve"> </w:t>
      </w:r>
    </w:p>
    <w:p w14:paraId="4CA9646A" w14:textId="1921938D" w:rsidR="00536906" w:rsidRPr="00D41F8D" w:rsidRDefault="00536906" w:rsidP="007B5B14">
      <w:pPr>
        <w:pStyle w:val="IPPBullet1"/>
        <w:rPr>
          <w:rFonts w:asciiTheme="majorBidi" w:hAnsiTheme="majorBidi" w:cstheme="majorBidi"/>
        </w:rPr>
      </w:pPr>
      <w:r w:rsidRPr="00D41F8D">
        <w:rPr>
          <w:rFonts w:asciiTheme="majorBidi" w:hAnsiTheme="majorBidi" w:cstheme="majorBidi"/>
        </w:rPr>
        <w:t xml:space="preserve">Latin America: </w:t>
      </w:r>
      <w:hyperlink r:id="rId11" w:history="1">
        <w:r w:rsidR="00386A98" w:rsidRPr="00AF0C69">
          <w:rPr>
            <w:rStyle w:val="Hyperlink"/>
            <w:rFonts w:asciiTheme="majorBidi" w:hAnsiTheme="majorBidi" w:cstheme="majorBidi"/>
          </w:rPr>
          <w:t>https://www.ippc.int/en/news/the-2016-ippc-regional-workshop-for-latin-america-held-in-panama/</w:t>
        </w:r>
      </w:hyperlink>
      <w:r w:rsidR="00386A98">
        <w:rPr>
          <w:rFonts w:asciiTheme="majorBidi" w:hAnsiTheme="majorBidi" w:cstheme="majorBidi"/>
        </w:rPr>
        <w:t xml:space="preserve"> </w:t>
      </w:r>
    </w:p>
    <w:p w14:paraId="4AF8F148" w14:textId="09E148ED" w:rsidR="00536906" w:rsidRPr="00D41F8D" w:rsidRDefault="00386A98" w:rsidP="007B5B14">
      <w:pPr>
        <w:pStyle w:val="IPPBullet1"/>
        <w:rPr>
          <w:rFonts w:asciiTheme="majorBidi" w:hAnsiTheme="majorBidi" w:cstheme="majorBidi"/>
        </w:rPr>
      </w:pPr>
      <w:r>
        <w:rPr>
          <w:rFonts w:asciiTheme="majorBidi" w:hAnsiTheme="majorBidi" w:cstheme="majorBidi"/>
        </w:rPr>
        <w:t>Near E</w:t>
      </w:r>
      <w:r w:rsidR="00536906" w:rsidRPr="00D41F8D">
        <w:rPr>
          <w:rFonts w:asciiTheme="majorBidi" w:hAnsiTheme="majorBidi" w:cstheme="majorBidi"/>
        </w:rPr>
        <w:t xml:space="preserve">ast and North Africa: </w:t>
      </w:r>
      <w:hyperlink r:id="rId12" w:history="1">
        <w:r w:rsidR="005F0361" w:rsidRPr="00D41F8D">
          <w:rPr>
            <w:rStyle w:val="Hyperlink"/>
            <w:rFonts w:asciiTheme="majorBidi" w:hAnsiTheme="majorBidi" w:cstheme="majorBidi"/>
          </w:rPr>
          <w:t>https://www.ippc.int/en/news/the-2016-ippc-regional-workshop-for-the-near-east-and-north-africa-held-in-algeria/</w:t>
        </w:r>
      </w:hyperlink>
      <w:r w:rsidR="005F0361" w:rsidRPr="00D41F8D">
        <w:rPr>
          <w:rFonts w:asciiTheme="majorBidi" w:hAnsiTheme="majorBidi" w:cstheme="majorBidi"/>
        </w:rPr>
        <w:t xml:space="preserve"> </w:t>
      </w:r>
    </w:p>
    <w:p w14:paraId="3F34129D" w14:textId="201BB522" w:rsidR="00536906" w:rsidRPr="00D41F8D" w:rsidRDefault="00DE7920" w:rsidP="007B5B14">
      <w:pPr>
        <w:pStyle w:val="IPPBullet1"/>
        <w:rPr>
          <w:rFonts w:asciiTheme="majorBidi" w:hAnsiTheme="majorBidi" w:cstheme="majorBidi"/>
        </w:rPr>
      </w:pPr>
      <w:r>
        <w:rPr>
          <w:rFonts w:asciiTheme="majorBidi" w:hAnsiTheme="majorBidi" w:cstheme="majorBidi"/>
        </w:rPr>
        <w:t xml:space="preserve">Central and Eastern Europe </w:t>
      </w:r>
      <w:r w:rsidR="00536906" w:rsidRPr="00D41F8D">
        <w:rPr>
          <w:rFonts w:asciiTheme="majorBidi" w:hAnsiTheme="majorBidi" w:cstheme="majorBidi"/>
        </w:rPr>
        <w:t xml:space="preserve">and Central Asia: </w:t>
      </w:r>
      <w:hyperlink r:id="rId13" w:history="1">
        <w:r w:rsidR="00386A98" w:rsidRPr="00AF0C69">
          <w:rPr>
            <w:rStyle w:val="Hyperlink"/>
            <w:rFonts w:asciiTheme="majorBidi" w:hAnsiTheme="majorBidi" w:cstheme="majorBidi"/>
          </w:rPr>
          <w:t>https://www.ippc.int/en/news/the-2016-ippc-regional-workshop-for-the-central-and-eastern-europe-and-central-asia-held-in-republic-of-belarus/</w:t>
        </w:r>
      </w:hyperlink>
      <w:r w:rsidR="00386A98">
        <w:rPr>
          <w:rFonts w:asciiTheme="majorBidi" w:hAnsiTheme="majorBidi" w:cstheme="majorBidi"/>
        </w:rPr>
        <w:t xml:space="preserve"> </w:t>
      </w:r>
    </w:p>
    <w:p w14:paraId="4946BD2A" w14:textId="73B9E66A" w:rsidR="00536906" w:rsidRPr="00D41F8D" w:rsidRDefault="00536906" w:rsidP="007B5B14">
      <w:pPr>
        <w:pStyle w:val="IPPBullet1"/>
        <w:rPr>
          <w:rFonts w:asciiTheme="majorBidi" w:hAnsiTheme="majorBidi" w:cstheme="majorBidi"/>
        </w:rPr>
      </w:pPr>
      <w:r w:rsidRPr="00D41F8D">
        <w:rPr>
          <w:rFonts w:asciiTheme="majorBidi" w:hAnsiTheme="majorBidi" w:cstheme="majorBidi"/>
        </w:rPr>
        <w:t xml:space="preserve">Southwest Pacific: </w:t>
      </w:r>
      <w:hyperlink r:id="rId14" w:history="1">
        <w:r w:rsidR="005F0361" w:rsidRPr="00D41F8D">
          <w:rPr>
            <w:rStyle w:val="Hyperlink"/>
            <w:rFonts w:asciiTheme="majorBidi" w:hAnsiTheme="majorBidi" w:cstheme="majorBidi"/>
          </w:rPr>
          <w:t>https://www.ippc.int/en/news/the-2016-ippc-regional-workshop-for-the-south-west-pacific-held-in-fiji/</w:t>
        </w:r>
      </w:hyperlink>
      <w:r w:rsidR="005F0361" w:rsidRPr="00D41F8D">
        <w:rPr>
          <w:rFonts w:asciiTheme="majorBidi" w:hAnsiTheme="majorBidi" w:cstheme="majorBidi"/>
        </w:rPr>
        <w:t xml:space="preserve"> </w:t>
      </w:r>
    </w:p>
    <w:p w14:paraId="73A7864D" w14:textId="2CF4AFB2" w:rsidR="005F0361" w:rsidRPr="00336373" w:rsidRDefault="005F0361" w:rsidP="007B5B14">
      <w:pPr>
        <w:pStyle w:val="IPPBullet1"/>
        <w:rPr>
          <w:rFonts w:asciiTheme="majorBidi" w:hAnsiTheme="majorBidi" w:cstheme="majorBidi"/>
          <w:lang w:val="es-ES"/>
        </w:rPr>
      </w:pPr>
      <w:r w:rsidRPr="00336373">
        <w:rPr>
          <w:rFonts w:asciiTheme="majorBidi" w:hAnsiTheme="majorBidi" w:cstheme="majorBidi"/>
          <w:lang w:val="es-ES"/>
        </w:rPr>
        <w:t xml:space="preserve">Africa: </w:t>
      </w:r>
      <w:hyperlink r:id="rId15" w:history="1">
        <w:r w:rsidRPr="00336373">
          <w:rPr>
            <w:rStyle w:val="Hyperlink"/>
            <w:rFonts w:asciiTheme="majorBidi" w:hAnsiTheme="majorBidi" w:cstheme="majorBidi"/>
            <w:lang w:val="es-ES"/>
          </w:rPr>
          <w:t>https://www.ippc.int/en/news/the-2016-ippc-regional-workshop-for-africa-held-in-ethiopia/</w:t>
        </w:r>
      </w:hyperlink>
      <w:r w:rsidRPr="00336373">
        <w:rPr>
          <w:rFonts w:asciiTheme="majorBidi" w:hAnsiTheme="majorBidi" w:cstheme="majorBidi"/>
          <w:lang w:val="es-ES"/>
        </w:rPr>
        <w:t xml:space="preserve"> </w:t>
      </w:r>
    </w:p>
    <w:p w14:paraId="03F6FA00" w14:textId="54FFC7F9" w:rsidR="00536906" w:rsidRPr="00D41F8D" w:rsidRDefault="00536906" w:rsidP="009F7DF4">
      <w:pPr>
        <w:pStyle w:val="IPPBullet1Last"/>
        <w:rPr>
          <w:rFonts w:asciiTheme="majorBidi" w:hAnsiTheme="majorBidi" w:cstheme="majorBidi"/>
          <w:lang w:val="fr-FR"/>
        </w:rPr>
      </w:pPr>
      <w:r w:rsidRPr="00D41F8D">
        <w:rPr>
          <w:rFonts w:asciiTheme="majorBidi" w:hAnsiTheme="majorBidi" w:cstheme="majorBidi"/>
          <w:lang w:val="fr-FR"/>
        </w:rPr>
        <w:t xml:space="preserve">Caribbean : </w:t>
      </w:r>
      <w:hyperlink r:id="rId16" w:history="1">
        <w:r w:rsidR="005F0361" w:rsidRPr="00D41F8D">
          <w:rPr>
            <w:rStyle w:val="Hyperlink"/>
            <w:rFonts w:asciiTheme="majorBidi" w:hAnsiTheme="majorBidi" w:cstheme="majorBidi"/>
            <w:lang w:val="fr-FR"/>
          </w:rPr>
          <w:t>https://www.ippc.int/en/news/the-2016-ippc-regional-workshop-for-the-caribbean-held-in-barbados/</w:t>
        </w:r>
      </w:hyperlink>
      <w:r w:rsidR="005F0361" w:rsidRPr="00D41F8D">
        <w:rPr>
          <w:rFonts w:asciiTheme="majorBidi" w:hAnsiTheme="majorBidi" w:cstheme="majorBidi"/>
          <w:lang w:val="fr-FR"/>
        </w:rPr>
        <w:t xml:space="preserve"> </w:t>
      </w:r>
    </w:p>
    <w:p w14:paraId="732D8C59" w14:textId="377D94CB" w:rsidR="00536906" w:rsidRPr="007B5B14" w:rsidRDefault="003F1DF9" w:rsidP="006D0C79">
      <w:pPr>
        <w:pStyle w:val="IPPParagraphnumbering"/>
      </w:pPr>
      <w:r w:rsidRPr="00D41F8D">
        <w:t xml:space="preserve">The opening speech from the IPPC Secretary: </w:t>
      </w:r>
      <w:hyperlink r:id="rId17" w:history="1">
        <w:r w:rsidR="005F0361" w:rsidRPr="00D41F8D">
          <w:rPr>
            <w:rStyle w:val="Hyperlink"/>
            <w:rFonts w:asciiTheme="majorBidi" w:hAnsiTheme="majorBidi" w:cstheme="majorBidi"/>
          </w:rPr>
          <w:t>https://www.ippc.int/en/news/enhancing-global-food-security-through-strengthening-plant-health/</w:t>
        </w:r>
      </w:hyperlink>
      <w:r w:rsidR="005F0361" w:rsidRPr="00D41F8D">
        <w:t xml:space="preserve"> </w:t>
      </w:r>
    </w:p>
    <w:p w14:paraId="4501CC2C" w14:textId="7D0F48C4" w:rsidR="00504DC0" w:rsidRPr="007B5B14" w:rsidRDefault="009F7DF4" w:rsidP="009F7DF4">
      <w:pPr>
        <w:pStyle w:val="IPPHeading2"/>
      </w:pPr>
      <w:r>
        <w:t>3.</w:t>
      </w:r>
      <w:r>
        <w:tab/>
      </w:r>
      <w:r w:rsidR="00504DC0" w:rsidRPr="007B5B14">
        <w:t>Comments on draft standards through the OCS</w:t>
      </w:r>
    </w:p>
    <w:p w14:paraId="40C6740B" w14:textId="38D94707" w:rsidR="002629E4" w:rsidRPr="00D41F8D" w:rsidRDefault="002629E4" w:rsidP="007B5B14">
      <w:pPr>
        <w:pStyle w:val="IPPParagraphnumbering"/>
      </w:pPr>
      <w:r w:rsidRPr="00D41F8D">
        <w:t xml:space="preserve">In 2016, 5327 comments were provided on draft standards. </w:t>
      </w:r>
      <w:r w:rsidR="00C5768C">
        <w:t>This included</w:t>
      </w:r>
      <w:r w:rsidRPr="00D41F8D">
        <w:t xml:space="preserve"> 84 </w:t>
      </w:r>
      <w:r w:rsidR="00C5768C">
        <w:t>N</w:t>
      </w:r>
      <w:r w:rsidRPr="00D41F8D">
        <w:t>PPOs and international organizations commenting on draft standards (the EU is counted as 1, even though it provides comments on behalf of 28 member states) </w:t>
      </w:r>
    </w:p>
    <w:p w14:paraId="0ABEF656" w14:textId="439682B3" w:rsidR="002629E4" w:rsidRPr="00D41F8D" w:rsidRDefault="002629E4" w:rsidP="007B5B14">
      <w:pPr>
        <w:pStyle w:val="IPPParagraphnumbering"/>
      </w:pPr>
      <w:r w:rsidRPr="00D41F8D">
        <w:t>News on the OCS: </w:t>
      </w:r>
      <w:hyperlink r:id="rId18" w:tgtFrame="_blank" w:history="1">
        <w:r w:rsidRPr="00D41F8D">
          <w:rPr>
            <w:rStyle w:val="Hyperlink"/>
            <w:rFonts w:asciiTheme="majorBidi" w:hAnsiTheme="majorBidi" w:cstheme="majorBidi"/>
          </w:rPr>
          <w:t>https://www.ippc.int/en/news/the-ippc-continues-to-strengthen-stakeholders-engagement-in-setting-international-standards-for-phytosanitary-measures/</w:t>
        </w:r>
      </w:hyperlink>
      <w:r w:rsidR="007B5B14">
        <w:t xml:space="preserve"> </w:t>
      </w:r>
    </w:p>
    <w:p w14:paraId="505C16CA" w14:textId="1E06CC7C" w:rsidR="006D0C79" w:rsidRPr="00D41F8D" w:rsidRDefault="00D81A4C" w:rsidP="007B5B14">
      <w:pPr>
        <w:pStyle w:val="IPPHeading1"/>
      </w:pPr>
      <w:r w:rsidRPr="00D41F8D">
        <w:t>Recommendations</w:t>
      </w:r>
      <w:r w:rsidR="006D0C79" w:rsidRPr="00D41F8D">
        <w:t>: IPPC Regional Workshops for 2017</w:t>
      </w:r>
    </w:p>
    <w:p w14:paraId="3FCB7584" w14:textId="4C07B7C9" w:rsidR="00D41F8D" w:rsidRPr="00D41F8D" w:rsidRDefault="00D41F8D" w:rsidP="007B5B14">
      <w:pPr>
        <w:pStyle w:val="IPPParagraphnumbering"/>
      </w:pPr>
      <w:r w:rsidRPr="00D41F8D">
        <w:t>Participants</w:t>
      </w:r>
      <w:r>
        <w:t xml:space="preserve"> of the 2016 IPPC Regional Workshops</w:t>
      </w:r>
      <w:r w:rsidRPr="00D41F8D">
        <w:t xml:space="preserve"> made the following suggestions for improvement:</w:t>
      </w:r>
    </w:p>
    <w:p w14:paraId="7B682CD5" w14:textId="77777777" w:rsidR="00D41F8D" w:rsidRPr="00D41F8D" w:rsidRDefault="00D41F8D" w:rsidP="007B5B14">
      <w:pPr>
        <w:pStyle w:val="IPPBullet1"/>
      </w:pPr>
      <w:r w:rsidRPr="00D41F8D">
        <w:t>More time for the workshop, one more day (Africa)</w:t>
      </w:r>
    </w:p>
    <w:p w14:paraId="668CDD17" w14:textId="77777777" w:rsidR="00D41F8D" w:rsidRPr="00D41F8D" w:rsidRDefault="00D41F8D" w:rsidP="007B5B14">
      <w:pPr>
        <w:pStyle w:val="IPPBullet1"/>
      </w:pPr>
      <w:r w:rsidRPr="00D41F8D">
        <w:t>Participants should continue communicating (Africa)</w:t>
      </w:r>
    </w:p>
    <w:p w14:paraId="450AA2FB" w14:textId="77777777" w:rsidR="00D41F8D" w:rsidRPr="00D41F8D" w:rsidRDefault="00D41F8D" w:rsidP="007B5B14">
      <w:pPr>
        <w:pStyle w:val="IPPBullet1"/>
      </w:pPr>
      <w:r w:rsidRPr="00D41F8D">
        <w:t>More time for discussions and exercises (Africa)</w:t>
      </w:r>
    </w:p>
    <w:p w14:paraId="441B590A" w14:textId="77777777" w:rsidR="00D41F8D" w:rsidRPr="00D41F8D" w:rsidRDefault="00D41F8D" w:rsidP="007B5B14">
      <w:pPr>
        <w:pStyle w:val="IPPBullet1"/>
      </w:pPr>
      <w:r w:rsidRPr="00D41F8D">
        <w:t>Split work into working groups (Africa)</w:t>
      </w:r>
    </w:p>
    <w:p w14:paraId="6833B703" w14:textId="77777777" w:rsidR="00D41F8D" w:rsidRPr="00D41F8D" w:rsidRDefault="00D41F8D" w:rsidP="007B5B14">
      <w:pPr>
        <w:pStyle w:val="IPPBullet1"/>
      </w:pPr>
      <w:r w:rsidRPr="00D41F8D">
        <w:t>By working prior to the workshop on the content</w:t>
      </w:r>
    </w:p>
    <w:p w14:paraId="2300DAE3" w14:textId="77777777" w:rsidR="00D41F8D" w:rsidRPr="00D41F8D" w:rsidRDefault="00D41F8D" w:rsidP="007B5B14">
      <w:pPr>
        <w:pStyle w:val="IPPBullet1"/>
      </w:pPr>
      <w:r w:rsidRPr="00D41F8D">
        <w:t>Receiving agenda and related documents (Africa)</w:t>
      </w:r>
    </w:p>
    <w:p w14:paraId="72DA0669" w14:textId="77777777" w:rsidR="00D41F8D" w:rsidRPr="00D41F8D" w:rsidRDefault="00D41F8D" w:rsidP="007B5B14">
      <w:pPr>
        <w:pStyle w:val="IPPBullet1"/>
      </w:pPr>
      <w:r w:rsidRPr="00D41F8D">
        <w:t>More discussions on standards (Africa and Caribbean)</w:t>
      </w:r>
    </w:p>
    <w:p w14:paraId="3134E314" w14:textId="77777777" w:rsidR="00D41F8D" w:rsidRPr="00D41F8D" w:rsidRDefault="00D41F8D" w:rsidP="007B5B14">
      <w:pPr>
        <w:pStyle w:val="IPPBullet1"/>
      </w:pPr>
      <w:r w:rsidRPr="00D41F8D">
        <w:t>Have the presentations in French (Africa), standards and documents in Spanish (Latin America)</w:t>
      </w:r>
    </w:p>
    <w:p w14:paraId="54F8568C" w14:textId="1BBA63BC" w:rsidR="00D41F8D" w:rsidRPr="00D41F8D" w:rsidRDefault="00D41F8D" w:rsidP="007B5B14">
      <w:pPr>
        <w:pStyle w:val="IPPBullet1"/>
      </w:pPr>
      <w:r w:rsidRPr="00D41F8D">
        <w:t>Have good physical conditions for the workshop (Africa), better logistical arrangement (</w:t>
      </w:r>
      <w:r w:rsidR="00DE7920">
        <w:t xml:space="preserve">Central and Eastern Europe </w:t>
      </w:r>
      <w:r w:rsidR="00DE7920" w:rsidRPr="00D41F8D">
        <w:t>and Central Asia</w:t>
      </w:r>
      <w:r w:rsidRPr="00D41F8D">
        <w:t>)</w:t>
      </w:r>
    </w:p>
    <w:p w14:paraId="5935D7FE" w14:textId="0ACB2C03" w:rsidR="00D41F8D" w:rsidRPr="00D41F8D" w:rsidRDefault="00D41F8D" w:rsidP="009F7DF4">
      <w:pPr>
        <w:pStyle w:val="IPPBullet1Last"/>
      </w:pPr>
      <w:r w:rsidRPr="00D41F8D">
        <w:t>Practical sessions were perceived as too basic (Caribbean).</w:t>
      </w:r>
    </w:p>
    <w:p w14:paraId="75BACCAE" w14:textId="7B45D59B" w:rsidR="002629E4" w:rsidRPr="00D41F8D" w:rsidRDefault="002629E4" w:rsidP="007B5B14">
      <w:pPr>
        <w:pStyle w:val="IPPParagraphnumbering"/>
      </w:pPr>
      <w:r w:rsidRPr="00D41F8D">
        <w:t>In 2017,</w:t>
      </w:r>
      <w:r w:rsidR="00945EDA" w:rsidRPr="00D41F8D">
        <w:t xml:space="preserve"> IPPC Regional </w:t>
      </w:r>
      <w:r w:rsidR="00D81A4C" w:rsidRPr="00D41F8D">
        <w:t>Workshops should be organized from the 1st August until the 10th of</w:t>
      </w:r>
      <w:r w:rsidR="00945EDA" w:rsidRPr="00D41F8D">
        <w:t xml:space="preserve"> September,</w:t>
      </w:r>
      <w:r w:rsidR="00D81A4C" w:rsidRPr="00D41F8D">
        <w:t xml:space="preserve"> to give </w:t>
      </w:r>
      <w:r w:rsidR="00DC2FD5">
        <w:t>two to three</w:t>
      </w:r>
      <w:r w:rsidR="00D81A4C" w:rsidRPr="00D41F8D">
        <w:t xml:space="preserve"> weeks </w:t>
      </w:r>
      <w:r w:rsidR="00DC2FD5">
        <w:t>for contracting parties</w:t>
      </w:r>
      <w:r w:rsidR="00D81A4C" w:rsidRPr="00D41F8D">
        <w:t xml:space="preserve"> </w:t>
      </w:r>
      <w:r w:rsidR="00DC2FD5">
        <w:t>to submit</w:t>
      </w:r>
      <w:r w:rsidR="00D81A4C" w:rsidRPr="00D41F8D">
        <w:t xml:space="preserve"> their comments after the workshops. P</w:t>
      </w:r>
      <w:r w:rsidR="00945EDA" w:rsidRPr="00D41F8D">
        <w:t>laces</w:t>
      </w:r>
      <w:r w:rsidR="00D81A4C" w:rsidRPr="00D41F8D">
        <w:t xml:space="preserve"> are</w:t>
      </w:r>
      <w:r w:rsidR="00945EDA" w:rsidRPr="00D41F8D">
        <w:t xml:space="preserve"> to be determined or confirmed</w:t>
      </w:r>
      <w:r w:rsidR="00D81A4C" w:rsidRPr="00D41F8D">
        <w:t>.</w:t>
      </w:r>
      <w:r w:rsidRPr="00D41F8D">
        <w:t xml:space="preserve"> The agenda of the 2017 regional workshop should be discussed in the 2016 TC-RPPO to be held on 14-18 November. A draft agenda should be ready prior to CPM, by the 1st of March.</w:t>
      </w:r>
    </w:p>
    <w:p w14:paraId="1A3AD4AE" w14:textId="281FD9AE" w:rsidR="008A14E2" w:rsidRDefault="002629E4" w:rsidP="007B5B14">
      <w:pPr>
        <w:pStyle w:val="IPPParagraphnumbering"/>
      </w:pPr>
      <w:r w:rsidRPr="00D41F8D">
        <w:lastRenderedPageBreak/>
        <w:t>Since all regions have different needs,</w:t>
      </w:r>
      <w:r w:rsidR="00DC2FD5">
        <w:t xml:space="preserve"> it was proposed</w:t>
      </w:r>
      <w:r w:rsidRPr="00D41F8D">
        <w:t xml:space="preserve"> a list of topics could be provided to countries for them to select and compose their agenda prior to the workshops. The wo</w:t>
      </w:r>
      <w:r w:rsidR="004710A6">
        <w:t xml:space="preserve">rkshops should last </w:t>
      </w:r>
      <w:r w:rsidR="00DC2FD5">
        <w:t>three</w:t>
      </w:r>
      <w:r w:rsidR="004710A6">
        <w:t xml:space="preserve"> to </w:t>
      </w:r>
      <w:r w:rsidR="00DC2FD5">
        <w:t xml:space="preserve">four </w:t>
      </w:r>
      <w:r w:rsidR="004710A6">
        <w:t>days</w:t>
      </w:r>
      <w:r w:rsidR="00DC2FD5">
        <w:t>.</w:t>
      </w:r>
    </w:p>
    <w:p w14:paraId="708003A0" w14:textId="67DC89AF" w:rsidR="008A14E2" w:rsidRPr="00336373" w:rsidRDefault="008A14E2" w:rsidP="003D7FDB">
      <w:pPr>
        <w:pStyle w:val="IPPParagraphnumbering"/>
      </w:pPr>
      <w:r w:rsidRPr="00336373">
        <w:t xml:space="preserve">The </w:t>
      </w:r>
      <w:r w:rsidR="003D7FDB">
        <w:t>TC-RPPO</w:t>
      </w:r>
      <w:r w:rsidRPr="00336373">
        <w:t xml:space="preserve"> is requested to:</w:t>
      </w:r>
    </w:p>
    <w:p w14:paraId="7A18167E" w14:textId="5C70FFD2" w:rsidR="008A14E2" w:rsidRPr="00336373" w:rsidRDefault="008A14E2" w:rsidP="007B5B14">
      <w:pPr>
        <w:pStyle w:val="IPPBullet1"/>
      </w:pPr>
      <w:r w:rsidRPr="007B5B14">
        <w:rPr>
          <w:i/>
        </w:rPr>
        <w:t>Note</w:t>
      </w:r>
      <w:r w:rsidRPr="00336373">
        <w:t xml:space="preserve"> the organization and the new developments of the 2016 IPPC Regional Workshops.</w:t>
      </w:r>
    </w:p>
    <w:p w14:paraId="2B999155" w14:textId="7612F6B3" w:rsidR="008A14E2" w:rsidRPr="00336373" w:rsidRDefault="008A14E2" w:rsidP="007B5B14">
      <w:pPr>
        <w:pStyle w:val="IPPBullet1"/>
      </w:pPr>
      <w:r w:rsidRPr="007B5B14">
        <w:rPr>
          <w:i/>
        </w:rPr>
        <w:t>Suggest</w:t>
      </w:r>
      <w:r w:rsidRPr="00336373">
        <w:t xml:space="preserve"> topics to be included in the agenda of the 2017 IPPC Regional Workshops</w:t>
      </w:r>
    </w:p>
    <w:p w14:paraId="33770F1D" w14:textId="508F21F2" w:rsidR="008A14E2" w:rsidRPr="00336373" w:rsidRDefault="008A14E2" w:rsidP="009F7DF4">
      <w:pPr>
        <w:pStyle w:val="IPPBullet1Last"/>
      </w:pPr>
      <w:r w:rsidRPr="007B5B14">
        <w:rPr>
          <w:i/>
        </w:rPr>
        <w:t>Make</w:t>
      </w:r>
      <w:r w:rsidRPr="00336373">
        <w:t xml:space="preserve"> recommendations for an improved organization of the 2017 IPPC Regional Workshops</w:t>
      </w:r>
    </w:p>
    <w:p w14:paraId="7D683FF3" w14:textId="77777777" w:rsidR="008A14E2" w:rsidRDefault="008A14E2">
      <w:pPr>
        <w:rPr>
          <w:rFonts w:asciiTheme="majorBidi" w:hAnsiTheme="majorBidi" w:cstheme="majorBidi"/>
        </w:rPr>
      </w:pPr>
      <w:r>
        <w:rPr>
          <w:rFonts w:asciiTheme="majorBidi" w:hAnsiTheme="majorBidi" w:cstheme="majorBidi"/>
        </w:rPr>
        <w:br w:type="page"/>
      </w:r>
    </w:p>
    <w:p w14:paraId="67608841" w14:textId="049FB17A" w:rsidR="006D0C79" w:rsidRPr="00D41F8D" w:rsidRDefault="006D0C79" w:rsidP="00F60D2D">
      <w:pPr>
        <w:pStyle w:val="IPPAnnexHead"/>
      </w:pPr>
      <w:r w:rsidRPr="00D41F8D">
        <w:t xml:space="preserve">Annex 1: table of IPPC Regional Workshops held in 2016 per region with the date, venue, number of participants and of contracting parties and details on </w:t>
      </w:r>
      <w:r w:rsidR="00011231" w:rsidRPr="00D41F8D">
        <w:t>organizers and funding agencies.</w:t>
      </w:r>
    </w:p>
    <w:tbl>
      <w:tblPr>
        <w:tblStyle w:val="TableGrid"/>
        <w:tblpPr w:leftFromText="180" w:rightFromText="180" w:vertAnchor="page" w:horzAnchor="margin" w:tblpXSpec="center" w:tblpY="2581"/>
        <w:tblW w:w="10638" w:type="dxa"/>
        <w:tblLayout w:type="fixed"/>
        <w:tblLook w:val="04A0" w:firstRow="1" w:lastRow="0" w:firstColumn="1" w:lastColumn="0" w:noHBand="0" w:noVBand="1"/>
      </w:tblPr>
      <w:tblGrid>
        <w:gridCol w:w="1276"/>
        <w:gridCol w:w="1559"/>
        <w:gridCol w:w="1276"/>
        <w:gridCol w:w="1196"/>
        <w:gridCol w:w="3240"/>
        <w:gridCol w:w="2091"/>
      </w:tblGrid>
      <w:tr w:rsidR="002629E4" w:rsidRPr="00F60D2D" w14:paraId="0F1310FF" w14:textId="77777777" w:rsidTr="00D41F8D">
        <w:tc>
          <w:tcPr>
            <w:tcW w:w="1276" w:type="dxa"/>
            <w:shd w:val="clear" w:color="auto" w:fill="DDD9C3" w:themeFill="background2" w:themeFillShade="E6"/>
          </w:tcPr>
          <w:p w14:paraId="676182EE" w14:textId="72702507" w:rsidR="002629E4" w:rsidRPr="00F60D2D" w:rsidRDefault="00D41F8D" w:rsidP="00D41F8D">
            <w:pPr>
              <w:rPr>
                <w:rFonts w:ascii="Arial" w:hAnsi="Arial" w:cs="Arial"/>
                <w:b/>
                <w:sz w:val="18"/>
                <w:szCs w:val="18"/>
              </w:rPr>
            </w:pPr>
            <w:r w:rsidRPr="00F60D2D">
              <w:rPr>
                <w:rFonts w:ascii="Arial" w:hAnsi="Arial" w:cs="Arial"/>
                <w:b/>
                <w:sz w:val="18"/>
                <w:szCs w:val="18"/>
              </w:rPr>
              <w:t>Region</w:t>
            </w:r>
          </w:p>
        </w:tc>
        <w:tc>
          <w:tcPr>
            <w:tcW w:w="1559" w:type="dxa"/>
            <w:shd w:val="clear" w:color="auto" w:fill="DDD9C3" w:themeFill="background2" w:themeFillShade="E6"/>
          </w:tcPr>
          <w:p w14:paraId="22E8C425" w14:textId="77777777" w:rsidR="002629E4" w:rsidRPr="00F60D2D" w:rsidRDefault="002629E4" w:rsidP="007A266C">
            <w:pPr>
              <w:rPr>
                <w:rFonts w:ascii="Arial" w:hAnsi="Arial" w:cs="Arial"/>
                <w:b/>
                <w:sz w:val="18"/>
                <w:szCs w:val="18"/>
              </w:rPr>
            </w:pPr>
            <w:r w:rsidRPr="00F60D2D">
              <w:rPr>
                <w:rFonts w:ascii="Arial" w:hAnsi="Arial" w:cs="Arial"/>
                <w:b/>
                <w:sz w:val="18"/>
                <w:szCs w:val="18"/>
              </w:rPr>
              <w:t>Date and venue</w:t>
            </w:r>
          </w:p>
        </w:tc>
        <w:tc>
          <w:tcPr>
            <w:tcW w:w="1276" w:type="dxa"/>
            <w:shd w:val="clear" w:color="auto" w:fill="DDD9C3" w:themeFill="background2" w:themeFillShade="E6"/>
          </w:tcPr>
          <w:p w14:paraId="56B9978E" w14:textId="77777777" w:rsidR="002629E4" w:rsidRPr="00F60D2D" w:rsidRDefault="002629E4" w:rsidP="007A266C">
            <w:pPr>
              <w:rPr>
                <w:rFonts w:ascii="Arial" w:hAnsi="Arial" w:cs="Arial"/>
                <w:b/>
                <w:sz w:val="18"/>
                <w:szCs w:val="18"/>
              </w:rPr>
            </w:pPr>
            <w:r w:rsidRPr="00F60D2D">
              <w:rPr>
                <w:rFonts w:ascii="Arial" w:hAnsi="Arial" w:cs="Arial"/>
                <w:b/>
                <w:sz w:val="18"/>
                <w:szCs w:val="18"/>
              </w:rPr>
              <w:t>Nb participants</w:t>
            </w:r>
          </w:p>
        </w:tc>
        <w:tc>
          <w:tcPr>
            <w:tcW w:w="1196" w:type="dxa"/>
            <w:shd w:val="clear" w:color="auto" w:fill="DDD9C3" w:themeFill="background2" w:themeFillShade="E6"/>
          </w:tcPr>
          <w:p w14:paraId="28F813CE" w14:textId="77777777" w:rsidR="002629E4" w:rsidRPr="00F60D2D" w:rsidRDefault="002629E4" w:rsidP="007A266C">
            <w:pPr>
              <w:rPr>
                <w:rFonts w:ascii="Arial" w:hAnsi="Arial" w:cs="Arial"/>
                <w:b/>
                <w:sz w:val="18"/>
                <w:szCs w:val="18"/>
              </w:rPr>
            </w:pPr>
            <w:r w:rsidRPr="00F60D2D">
              <w:rPr>
                <w:rFonts w:ascii="Arial" w:hAnsi="Arial" w:cs="Arial"/>
                <w:b/>
                <w:sz w:val="18"/>
                <w:szCs w:val="18"/>
              </w:rPr>
              <w:t>Nb contracting parties</w:t>
            </w:r>
          </w:p>
        </w:tc>
        <w:tc>
          <w:tcPr>
            <w:tcW w:w="3240" w:type="dxa"/>
            <w:shd w:val="clear" w:color="auto" w:fill="DDD9C3" w:themeFill="background2" w:themeFillShade="E6"/>
          </w:tcPr>
          <w:p w14:paraId="501C8AEB" w14:textId="77777777" w:rsidR="002629E4" w:rsidRPr="00F60D2D" w:rsidRDefault="002629E4" w:rsidP="007A266C">
            <w:pPr>
              <w:rPr>
                <w:rFonts w:ascii="Arial" w:hAnsi="Arial" w:cs="Arial"/>
                <w:b/>
                <w:sz w:val="18"/>
                <w:szCs w:val="18"/>
              </w:rPr>
            </w:pPr>
            <w:r w:rsidRPr="00F60D2D">
              <w:rPr>
                <w:rFonts w:ascii="Arial" w:hAnsi="Arial" w:cs="Arial"/>
                <w:b/>
                <w:sz w:val="18"/>
                <w:szCs w:val="18"/>
              </w:rPr>
              <w:t>Organizers and Funding Agencies for 2016</w:t>
            </w:r>
          </w:p>
        </w:tc>
        <w:tc>
          <w:tcPr>
            <w:tcW w:w="2091" w:type="dxa"/>
            <w:shd w:val="clear" w:color="auto" w:fill="DDD9C3" w:themeFill="background2" w:themeFillShade="E6"/>
          </w:tcPr>
          <w:p w14:paraId="720A4557" w14:textId="77777777" w:rsidR="002629E4" w:rsidRPr="00F60D2D" w:rsidRDefault="002629E4" w:rsidP="007A266C">
            <w:pPr>
              <w:rPr>
                <w:rFonts w:ascii="Arial" w:hAnsi="Arial" w:cs="Arial"/>
                <w:b/>
                <w:sz w:val="18"/>
                <w:szCs w:val="18"/>
              </w:rPr>
            </w:pPr>
            <w:r w:rsidRPr="00F60D2D">
              <w:rPr>
                <w:rFonts w:ascii="Arial" w:hAnsi="Arial" w:cs="Arial"/>
                <w:b/>
                <w:sz w:val="18"/>
                <w:szCs w:val="18"/>
              </w:rPr>
              <w:t>Discussions on next date and venue</w:t>
            </w:r>
          </w:p>
        </w:tc>
      </w:tr>
      <w:tr w:rsidR="002629E4" w:rsidRPr="00F60D2D" w14:paraId="731AB117" w14:textId="77777777" w:rsidTr="00D41F8D">
        <w:trPr>
          <w:trHeight w:val="1157"/>
        </w:trPr>
        <w:tc>
          <w:tcPr>
            <w:tcW w:w="1276" w:type="dxa"/>
          </w:tcPr>
          <w:p w14:paraId="697FB9CF" w14:textId="77777777" w:rsidR="002629E4" w:rsidRPr="00F60D2D" w:rsidRDefault="002629E4" w:rsidP="007A266C">
            <w:pPr>
              <w:rPr>
                <w:rFonts w:ascii="Arial" w:hAnsi="Arial" w:cs="Arial"/>
                <w:sz w:val="18"/>
                <w:szCs w:val="18"/>
              </w:rPr>
            </w:pPr>
            <w:r w:rsidRPr="00F60D2D">
              <w:rPr>
                <w:rFonts w:ascii="Arial" w:hAnsi="Arial" w:cs="Arial"/>
                <w:sz w:val="18"/>
                <w:szCs w:val="18"/>
              </w:rPr>
              <w:t>Asia</w:t>
            </w:r>
          </w:p>
          <w:p w14:paraId="64083CB9" w14:textId="77777777" w:rsidR="002629E4" w:rsidRPr="00F60D2D" w:rsidRDefault="002629E4" w:rsidP="007A266C">
            <w:pPr>
              <w:rPr>
                <w:rFonts w:ascii="Arial" w:hAnsi="Arial" w:cs="Arial"/>
                <w:sz w:val="18"/>
                <w:szCs w:val="18"/>
              </w:rPr>
            </w:pPr>
          </w:p>
        </w:tc>
        <w:tc>
          <w:tcPr>
            <w:tcW w:w="1559" w:type="dxa"/>
          </w:tcPr>
          <w:p w14:paraId="2B0E6F15" w14:textId="77777777" w:rsidR="002629E4" w:rsidRPr="00F60D2D" w:rsidRDefault="002629E4" w:rsidP="007A266C">
            <w:pPr>
              <w:rPr>
                <w:rFonts w:ascii="Arial" w:hAnsi="Arial" w:cs="Arial"/>
                <w:sz w:val="18"/>
                <w:szCs w:val="18"/>
              </w:rPr>
            </w:pPr>
            <w:r w:rsidRPr="00F60D2D">
              <w:rPr>
                <w:rFonts w:ascii="Arial" w:hAnsi="Arial" w:cs="Arial"/>
                <w:sz w:val="18"/>
                <w:szCs w:val="18"/>
              </w:rPr>
              <w:t>July</w:t>
            </w:r>
          </w:p>
        </w:tc>
        <w:tc>
          <w:tcPr>
            <w:tcW w:w="1276" w:type="dxa"/>
          </w:tcPr>
          <w:p w14:paraId="63C8455B" w14:textId="77777777" w:rsidR="002629E4" w:rsidRPr="00F60D2D" w:rsidRDefault="002629E4" w:rsidP="007A266C">
            <w:pPr>
              <w:rPr>
                <w:rFonts w:ascii="Arial" w:hAnsi="Arial" w:cs="Arial"/>
                <w:sz w:val="18"/>
                <w:szCs w:val="18"/>
              </w:rPr>
            </w:pPr>
            <w:r w:rsidRPr="00F60D2D">
              <w:rPr>
                <w:rFonts w:ascii="Arial" w:hAnsi="Arial" w:cs="Arial"/>
                <w:sz w:val="18"/>
                <w:szCs w:val="18"/>
              </w:rPr>
              <w:t>30</w:t>
            </w:r>
          </w:p>
        </w:tc>
        <w:tc>
          <w:tcPr>
            <w:tcW w:w="1196" w:type="dxa"/>
          </w:tcPr>
          <w:p w14:paraId="15198DE7" w14:textId="77777777" w:rsidR="002629E4" w:rsidRPr="00F60D2D" w:rsidRDefault="002629E4" w:rsidP="007A266C">
            <w:pPr>
              <w:rPr>
                <w:rFonts w:ascii="Arial" w:hAnsi="Arial" w:cs="Arial"/>
                <w:sz w:val="18"/>
                <w:szCs w:val="18"/>
              </w:rPr>
            </w:pPr>
            <w:r w:rsidRPr="00F60D2D">
              <w:rPr>
                <w:rFonts w:ascii="Arial" w:hAnsi="Arial" w:cs="Arial"/>
                <w:sz w:val="18"/>
                <w:szCs w:val="18"/>
              </w:rPr>
              <w:t>18</w:t>
            </w:r>
          </w:p>
        </w:tc>
        <w:tc>
          <w:tcPr>
            <w:tcW w:w="3240" w:type="dxa"/>
          </w:tcPr>
          <w:p w14:paraId="1065823B" w14:textId="77777777" w:rsidR="002629E4" w:rsidRPr="00F60D2D" w:rsidRDefault="002629E4" w:rsidP="007A266C">
            <w:pPr>
              <w:rPr>
                <w:rFonts w:ascii="Arial" w:hAnsi="Arial" w:cs="Arial"/>
                <w:sz w:val="18"/>
                <w:szCs w:val="18"/>
              </w:rPr>
            </w:pPr>
            <w:r w:rsidRPr="00F60D2D">
              <w:rPr>
                <w:rFonts w:ascii="Arial" w:hAnsi="Arial" w:cs="Arial"/>
                <w:sz w:val="18"/>
                <w:szCs w:val="18"/>
              </w:rPr>
              <w:t>Financed by the Republic of Korea and organized by the APPPC. The IPPC Secretariat will contribute on Standard Setting components.</w:t>
            </w:r>
          </w:p>
        </w:tc>
        <w:tc>
          <w:tcPr>
            <w:tcW w:w="2091" w:type="dxa"/>
          </w:tcPr>
          <w:p w14:paraId="2141C476" w14:textId="77777777" w:rsidR="002629E4" w:rsidRPr="00F60D2D" w:rsidRDefault="002629E4" w:rsidP="007A266C">
            <w:pPr>
              <w:rPr>
                <w:rFonts w:ascii="Arial" w:hAnsi="Arial" w:cs="Arial"/>
                <w:sz w:val="18"/>
                <w:szCs w:val="18"/>
              </w:rPr>
            </w:pPr>
            <w:r w:rsidRPr="00F60D2D">
              <w:rPr>
                <w:rFonts w:ascii="Arial" w:hAnsi="Arial" w:cs="Arial"/>
                <w:sz w:val="18"/>
                <w:szCs w:val="18"/>
              </w:rPr>
              <w:t>04-08 September, in Busan, South Korea</w:t>
            </w:r>
          </w:p>
        </w:tc>
      </w:tr>
      <w:tr w:rsidR="002629E4" w:rsidRPr="00F60D2D" w14:paraId="3B923252" w14:textId="77777777" w:rsidTr="00D41F8D">
        <w:trPr>
          <w:trHeight w:val="1112"/>
        </w:trPr>
        <w:tc>
          <w:tcPr>
            <w:tcW w:w="1276" w:type="dxa"/>
          </w:tcPr>
          <w:p w14:paraId="6208B178" w14:textId="77777777" w:rsidR="002629E4" w:rsidRPr="00F60D2D" w:rsidRDefault="002629E4" w:rsidP="007A266C">
            <w:pPr>
              <w:rPr>
                <w:rFonts w:ascii="Arial" w:hAnsi="Arial" w:cs="Arial"/>
                <w:sz w:val="18"/>
                <w:szCs w:val="18"/>
              </w:rPr>
            </w:pPr>
            <w:r w:rsidRPr="00F60D2D">
              <w:rPr>
                <w:rFonts w:ascii="Arial" w:hAnsi="Arial" w:cs="Arial"/>
                <w:sz w:val="18"/>
                <w:szCs w:val="18"/>
              </w:rPr>
              <w:t>Latin America</w:t>
            </w:r>
          </w:p>
          <w:p w14:paraId="028D3B03" w14:textId="77777777" w:rsidR="002629E4" w:rsidRPr="00F60D2D" w:rsidRDefault="002629E4" w:rsidP="007A266C">
            <w:pPr>
              <w:rPr>
                <w:rFonts w:ascii="Arial" w:hAnsi="Arial" w:cs="Arial"/>
                <w:sz w:val="18"/>
                <w:szCs w:val="18"/>
              </w:rPr>
            </w:pPr>
          </w:p>
          <w:p w14:paraId="7F1DA393" w14:textId="77777777" w:rsidR="002629E4" w:rsidRPr="00F60D2D" w:rsidRDefault="002629E4" w:rsidP="007A266C">
            <w:pPr>
              <w:rPr>
                <w:rFonts w:ascii="Arial" w:hAnsi="Arial" w:cs="Arial"/>
                <w:sz w:val="18"/>
                <w:szCs w:val="18"/>
                <w:lang w:val="fr-FR"/>
              </w:rPr>
            </w:pPr>
            <w:r w:rsidRPr="00F60D2D">
              <w:rPr>
                <w:rFonts w:ascii="Arial" w:hAnsi="Arial" w:cs="Arial"/>
                <w:sz w:val="18"/>
                <w:szCs w:val="18"/>
                <w:lang w:val="fr-FR"/>
              </w:rPr>
              <w:t xml:space="preserve"> </w:t>
            </w:r>
          </w:p>
        </w:tc>
        <w:tc>
          <w:tcPr>
            <w:tcW w:w="1559" w:type="dxa"/>
          </w:tcPr>
          <w:p w14:paraId="2F19352B" w14:textId="77777777" w:rsidR="002629E4" w:rsidRPr="00F60D2D" w:rsidRDefault="002629E4" w:rsidP="007A266C">
            <w:pPr>
              <w:rPr>
                <w:rFonts w:ascii="Arial" w:hAnsi="Arial" w:cs="Arial"/>
                <w:sz w:val="18"/>
                <w:szCs w:val="18"/>
              </w:rPr>
            </w:pPr>
            <w:r w:rsidRPr="00F60D2D">
              <w:rPr>
                <w:rFonts w:ascii="Arial" w:hAnsi="Arial" w:cs="Arial"/>
                <w:sz w:val="18"/>
                <w:szCs w:val="18"/>
              </w:rPr>
              <w:t>23-26 August</w:t>
            </w:r>
          </w:p>
          <w:p w14:paraId="75197947" w14:textId="77777777" w:rsidR="002629E4" w:rsidRPr="00F60D2D" w:rsidRDefault="002629E4" w:rsidP="007A266C">
            <w:pPr>
              <w:rPr>
                <w:rFonts w:ascii="Arial" w:hAnsi="Arial" w:cs="Arial"/>
                <w:sz w:val="18"/>
                <w:szCs w:val="18"/>
              </w:rPr>
            </w:pPr>
          </w:p>
          <w:p w14:paraId="6D4E7DA5" w14:textId="77777777" w:rsidR="002629E4" w:rsidRPr="00F60D2D" w:rsidRDefault="002629E4" w:rsidP="007A266C">
            <w:pPr>
              <w:rPr>
                <w:rFonts w:ascii="Arial" w:hAnsi="Arial" w:cs="Arial"/>
                <w:sz w:val="18"/>
                <w:szCs w:val="18"/>
              </w:rPr>
            </w:pPr>
            <w:r w:rsidRPr="00F60D2D">
              <w:rPr>
                <w:rFonts w:ascii="Arial" w:hAnsi="Arial" w:cs="Arial"/>
                <w:sz w:val="18"/>
                <w:szCs w:val="18"/>
              </w:rPr>
              <w:t>Panama</w:t>
            </w:r>
          </w:p>
        </w:tc>
        <w:tc>
          <w:tcPr>
            <w:tcW w:w="1276" w:type="dxa"/>
          </w:tcPr>
          <w:p w14:paraId="77370F82" w14:textId="77777777" w:rsidR="002629E4" w:rsidRPr="00F60D2D" w:rsidRDefault="002629E4" w:rsidP="007A266C">
            <w:pPr>
              <w:rPr>
                <w:rFonts w:ascii="Arial" w:hAnsi="Arial" w:cs="Arial"/>
                <w:sz w:val="18"/>
                <w:szCs w:val="18"/>
                <w:lang w:val="en-US"/>
              </w:rPr>
            </w:pPr>
            <w:r w:rsidRPr="00F60D2D">
              <w:rPr>
                <w:rFonts w:ascii="Arial" w:hAnsi="Arial" w:cs="Arial"/>
                <w:sz w:val="18"/>
                <w:szCs w:val="18"/>
                <w:lang w:val="en-US"/>
              </w:rPr>
              <w:t>41</w:t>
            </w:r>
          </w:p>
        </w:tc>
        <w:tc>
          <w:tcPr>
            <w:tcW w:w="1196" w:type="dxa"/>
          </w:tcPr>
          <w:p w14:paraId="165AF613" w14:textId="77777777" w:rsidR="002629E4" w:rsidRPr="00F60D2D" w:rsidRDefault="002629E4" w:rsidP="007A266C">
            <w:pPr>
              <w:rPr>
                <w:rFonts w:ascii="Arial" w:hAnsi="Arial" w:cs="Arial"/>
                <w:sz w:val="18"/>
                <w:szCs w:val="18"/>
                <w:lang w:val="en-US"/>
              </w:rPr>
            </w:pPr>
            <w:r w:rsidRPr="00F60D2D">
              <w:rPr>
                <w:rFonts w:ascii="Arial" w:hAnsi="Arial" w:cs="Arial"/>
                <w:sz w:val="18"/>
                <w:szCs w:val="18"/>
                <w:lang w:val="en-US"/>
              </w:rPr>
              <w:t>19</w:t>
            </w:r>
          </w:p>
        </w:tc>
        <w:tc>
          <w:tcPr>
            <w:tcW w:w="3240" w:type="dxa"/>
          </w:tcPr>
          <w:p w14:paraId="3A9EF684" w14:textId="77777777" w:rsidR="002629E4" w:rsidRPr="00F60D2D" w:rsidRDefault="002629E4" w:rsidP="007A266C">
            <w:pPr>
              <w:rPr>
                <w:rFonts w:ascii="Arial" w:hAnsi="Arial" w:cs="Arial"/>
                <w:sz w:val="18"/>
                <w:szCs w:val="18"/>
                <w:lang w:val="en-US"/>
              </w:rPr>
            </w:pPr>
            <w:r w:rsidRPr="00F60D2D">
              <w:rPr>
                <w:rFonts w:ascii="Arial" w:hAnsi="Arial" w:cs="Arial"/>
                <w:sz w:val="18"/>
                <w:szCs w:val="18"/>
                <w:lang w:val="en-US"/>
              </w:rPr>
              <w:t xml:space="preserve">Financed by the </w:t>
            </w:r>
            <w:r w:rsidRPr="00F60D2D">
              <w:rPr>
                <w:rFonts w:ascii="Arial" w:hAnsi="Arial" w:cs="Arial"/>
                <w:sz w:val="18"/>
                <w:szCs w:val="18"/>
              </w:rPr>
              <w:t xml:space="preserve">IPPC Trust Fund </w:t>
            </w:r>
            <w:r w:rsidRPr="00F60D2D">
              <w:rPr>
                <w:rFonts w:ascii="Arial" w:hAnsi="Arial" w:cs="Arial"/>
                <w:sz w:val="18"/>
                <w:szCs w:val="18"/>
                <w:lang w:val="en-US"/>
              </w:rPr>
              <w:t>and organized by IICA</w:t>
            </w:r>
            <w:r w:rsidRPr="00F60D2D">
              <w:rPr>
                <w:rFonts w:ascii="Arial" w:hAnsi="Arial" w:cs="Arial"/>
                <w:sz w:val="18"/>
                <w:szCs w:val="18"/>
              </w:rPr>
              <w:t xml:space="preserve"> under a letter of  agreement</w:t>
            </w:r>
            <w:r w:rsidRPr="00F60D2D">
              <w:rPr>
                <w:rFonts w:ascii="Arial" w:hAnsi="Arial" w:cs="Arial"/>
                <w:sz w:val="18"/>
                <w:szCs w:val="18"/>
                <w:lang w:val="en-US"/>
              </w:rPr>
              <w:t>, OIRSA</w:t>
            </w:r>
            <w:r w:rsidRPr="00F60D2D">
              <w:rPr>
                <w:rFonts w:ascii="Arial" w:hAnsi="Arial" w:cs="Arial"/>
                <w:sz w:val="18"/>
                <w:szCs w:val="18"/>
                <w:lang w:val="ka-GE"/>
              </w:rPr>
              <w:t xml:space="preserve">, </w:t>
            </w:r>
            <w:r w:rsidRPr="00F60D2D">
              <w:rPr>
                <w:rFonts w:ascii="Arial" w:hAnsi="Arial" w:cs="Arial"/>
                <w:sz w:val="18"/>
                <w:szCs w:val="18"/>
                <w:lang w:val="en-US"/>
              </w:rPr>
              <w:t xml:space="preserve">COSAVE and  the </w:t>
            </w:r>
            <w:r w:rsidRPr="00F60D2D">
              <w:rPr>
                <w:rFonts w:ascii="Arial" w:hAnsi="Arial" w:cs="Arial"/>
                <w:sz w:val="18"/>
                <w:szCs w:val="18"/>
              </w:rPr>
              <w:t>National Agricultural Health Service of Panama</w:t>
            </w:r>
          </w:p>
        </w:tc>
        <w:tc>
          <w:tcPr>
            <w:tcW w:w="2091" w:type="dxa"/>
          </w:tcPr>
          <w:p w14:paraId="7F6407F5" w14:textId="77777777" w:rsidR="002629E4" w:rsidRPr="00F60D2D" w:rsidRDefault="002629E4" w:rsidP="007A266C">
            <w:pPr>
              <w:rPr>
                <w:rFonts w:ascii="Arial" w:hAnsi="Arial" w:cs="Arial"/>
                <w:sz w:val="18"/>
                <w:szCs w:val="18"/>
                <w:lang w:val="en-US"/>
              </w:rPr>
            </w:pPr>
            <w:r w:rsidRPr="00F60D2D">
              <w:rPr>
                <w:rFonts w:ascii="Arial" w:hAnsi="Arial" w:cs="Arial"/>
                <w:sz w:val="18"/>
                <w:szCs w:val="18"/>
                <w:lang w:val="en-US"/>
              </w:rPr>
              <w:t>04-08 September. Peru and Brazil proposed to host the next RW, which proposals were accepted by the participants</w:t>
            </w:r>
          </w:p>
        </w:tc>
      </w:tr>
      <w:tr w:rsidR="002629E4" w:rsidRPr="00F60D2D" w14:paraId="0A340053" w14:textId="77777777" w:rsidTr="00D41F8D">
        <w:trPr>
          <w:trHeight w:val="565"/>
        </w:trPr>
        <w:tc>
          <w:tcPr>
            <w:tcW w:w="1276" w:type="dxa"/>
          </w:tcPr>
          <w:p w14:paraId="72A1586A" w14:textId="77777777" w:rsidR="002629E4" w:rsidRPr="00F60D2D" w:rsidRDefault="002629E4" w:rsidP="007A266C">
            <w:pPr>
              <w:rPr>
                <w:rFonts w:ascii="Arial" w:hAnsi="Arial" w:cs="Arial"/>
                <w:sz w:val="18"/>
                <w:szCs w:val="18"/>
              </w:rPr>
            </w:pPr>
            <w:r w:rsidRPr="00F60D2D">
              <w:rPr>
                <w:rFonts w:ascii="Arial" w:hAnsi="Arial" w:cs="Arial"/>
                <w:sz w:val="18"/>
                <w:szCs w:val="18"/>
              </w:rPr>
              <w:t>Near East and North Africa</w:t>
            </w:r>
          </w:p>
          <w:p w14:paraId="32C9D88A" w14:textId="77777777" w:rsidR="002629E4" w:rsidRPr="00F60D2D" w:rsidRDefault="002629E4" w:rsidP="007A266C">
            <w:pPr>
              <w:rPr>
                <w:rFonts w:ascii="Arial" w:hAnsi="Arial" w:cs="Arial"/>
                <w:sz w:val="18"/>
                <w:szCs w:val="18"/>
              </w:rPr>
            </w:pPr>
          </w:p>
          <w:p w14:paraId="0484ED8B" w14:textId="77777777" w:rsidR="002629E4" w:rsidRPr="00F60D2D" w:rsidRDefault="002629E4" w:rsidP="007A266C">
            <w:pPr>
              <w:rPr>
                <w:rFonts w:ascii="Arial" w:hAnsi="Arial" w:cs="Arial"/>
                <w:sz w:val="18"/>
                <w:szCs w:val="18"/>
              </w:rPr>
            </w:pPr>
          </w:p>
        </w:tc>
        <w:tc>
          <w:tcPr>
            <w:tcW w:w="1559" w:type="dxa"/>
          </w:tcPr>
          <w:p w14:paraId="7A99A4F1" w14:textId="77777777" w:rsidR="002629E4" w:rsidRPr="00F60D2D" w:rsidRDefault="002629E4" w:rsidP="007A266C">
            <w:pPr>
              <w:rPr>
                <w:rFonts w:ascii="Arial" w:hAnsi="Arial" w:cs="Arial"/>
                <w:sz w:val="18"/>
                <w:szCs w:val="18"/>
              </w:rPr>
            </w:pPr>
            <w:r w:rsidRPr="00F60D2D">
              <w:rPr>
                <w:rFonts w:ascii="Arial" w:hAnsi="Arial" w:cs="Arial"/>
                <w:sz w:val="18"/>
                <w:szCs w:val="18"/>
              </w:rPr>
              <w:t>5-9 September</w:t>
            </w:r>
          </w:p>
          <w:p w14:paraId="73599B46" w14:textId="77777777" w:rsidR="002629E4" w:rsidRPr="00F60D2D" w:rsidRDefault="002629E4" w:rsidP="007A266C">
            <w:pPr>
              <w:rPr>
                <w:rFonts w:ascii="Arial" w:hAnsi="Arial" w:cs="Arial"/>
                <w:sz w:val="18"/>
                <w:szCs w:val="18"/>
              </w:rPr>
            </w:pPr>
            <w:r w:rsidRPr="00F60D2D">
              <w:rPr>
                <w:rFonts w:ascii="Arial" w:hAnsi="Arial" w:cs="Arial"/>
                <w:sz w:val="18"/>
                <w:szCs w:val="18"/>
              </w:rPr>
              <w:t>Algiers/Algeria</w:t>
            </w:r>
          </w:p>
        </w:tc>
        <w:tc>
          <w:tcPr>
            <w:tcW w:w="1276" w:type="dxa"/>
          </w:tcPr>
          <w:p w14:paraId="4FA6B1A8" w14:textId="77777777" w:rsidR="002629E4" w:rsidRPr="00F60D2D" w:rsidRDefault="002629E4" w:rsidP="007A266C">
            <w:pPr>
              <w:rPr>
                <w:rFonts w:ascii="Arial" w:hAnsi="Arial" w:cs="Arial"/>
                <w:sz w:val="18"/>
                <w:szCs w:val="18"/>
              </w:rPr>
            </w:pPr>
            <w:r w:rsidRPr="00F60D2D">
              <w:rPr>
                <w:rFonts w:ascii="Arial" w:hAnsi="Arial" w:cs="Arial"/>
                <w:sz w:val="18"/>
                <w:szCs w:val="18"/>
              </w:rPr>
              <w:t>38</w:t>
            </w:r>
          </w:p>
        </w:tc>
        <w:tc>
          <w:tcPr>
            <w:tcW w:w="1196" w:type="dxa"/>
          </w:tcPr>
          <w:p w14:paraId="48FA6328" w14:textId="77777777" w:rsidR="002629E4" w:rsidRPr="00F60D2D" w:rsidRDefault="002629E4" w:rsidP="007A266C">
            <w:pPr>
              <w:rPr>
                <w:rFonts w:ascii="Arial" w:hAnsi="Arial" w:cs="Arial"/>
                <w:sz w:val="18"/>
                <w:szCs w:val="18"/>
              </w:rPr>
            </w:pPr>
            <w:r w:rsidRPr="00F60D2D">
              <w:rPr>
                <w:rFonts w:ascii="Arial" w:hAnsi="Arial" w:cs="Arial"/>
                <w:sz w:val="18"/>
                <w:szCs w:val="18"/>
              </w:rPr>
              <w:t>15</w:t>
            </w:r>
          </w:p>
        </w:tc>
        <w:tc>
          <w:tcPr>
            <w:tcW w:w="3240" w:type="dxa"/>
          </w:tcPr>
          <w:p w14:paraId="48BAC94D" w14:textId="77777777" w:rsidR="002629E4" w:rsidRPr="00F60D2D" w:rsidRDefault="002629E4" w:rsidP="007A266C">
            <w:pPr>
              <w:rPr>
                <w:rFonts w:ascii="Arial" w:hAnsi="Arial" w:cs="Arial"/>
                <w:sz w:val="18"/>
                <w:szCs w:val="18"/>
              </w:rPr>
            </w:pPr>
            <w:r w:rsidRPr="00F60D2D">
              <w:rPr>
                <w:rFonts w:ascii="Arial" w:hAnsi="Arial" w:cs="Arial"/>
                <w:sz w:val="18"/>
                <w:szCs w:val="18"/>
              </w:rPr>
              <w:t>Financed by the IPPC Trust Fund and the FAO Regional Office for the Near East (FAO-RNE) and organized by IPPC Secretariat, FAO - RNE and  NEPPO</w:t>
            </w:r>
          </w:p>
        </w:tc>
        <w:tc>
          <w:tcPr>
            <w:tcW w:w="2091" w:type="dxa"/>
          </w:tcPr>
          <w:p w14:paraId="40C96BA9" w14:textId="77777777" w:rsidR="002629E4" w:rsidRPr="00F60D2D" w:rsidRDefault="002629E4" w:rsidP="007A266C">
            <w:pPr>
              <w:rPr>
                <w:rFonts w:ascii="Arial" w:hAnsi="Arial" w:cs="Arial"/>
                <w:sz w:val="18"/>
                <w:szCs w:val="18"/>
              </w:rPr>
            </w:pPr>
            <w:r w:rsidRPr="00F60D2D">
              <w:rPr>
                <w:rFonts w:ascii="Arial" w:hAnsi="Arial" w:cs="Arial"/>
                <w:sz w:val="18"/>
                <w:szCs w:val="18"/>
              </w:rPr>
              <w:t>21-24</w:t>
            </w:r>
            <w:r w:rsidRPr="00F60D2D">
              <w:rPr>
                <w:rFonts w:ascii="Arial" w:hAnsi="Arial" w:cs="Arial"/>
                <w:sz w:val="18"/>
                <w:szCs w:val="18"/>
                <w:vertAlign w:val="superscript"/>
              </w:rPr>
              <w:t>th</w:t>
            </w:r>
            <w:r w:rsidRPr="00F60D2D">
              <w:rPr>
                <w:rFonts w:ascii="Arial" w:hAnsi="Arial" w:cs="Arial"/>
                <w:sz w:val="18"/>
                <w:szCs w:val="18"/>
              </w:rPr>
              <w:t xml:space="preserve"> of August in Cairo, unless a country proposes otherwise.</w:t>
            </w:r>
          </w:p>
        </w:tc>
      </w:tr>
      <w:tr w:rsidR="002629E4" w:rsidRPr="00F60D2D" w14:paraId="5ADBEE62" w14:textId="77777777" w:rsidTr="00D41F8D">
        <w:trPr>
          <w:trHeight w:val="563"/>
        </w:trPr>
        <w:tc>
          <w:tcPr>
            <w:tcW w:w="1276" w:type="dxa"/>
          </w:tcPr>
          <w:p w14:paraId="07FD2009" w14:textId="77777777" w:rsidR="002629E4" w:rsidRPr="00F60D2D" w:rsidRDefault="002629E4" w:rsidP="007A266C">
            <w:pPr>
              <w:rPr>
                <w:rFonts w:ascii="Arial" w:hAnsi="Arial" w:cs="Arial"/>
                <w:sz w:val="18"/>
                <w:szCs w:val="18"/>
              </w:rPr>
            </w:pPr>
            <w:r w:rsidRPr="00F60D2D">
              <w:rPr>
                <w:rFonts w:ascii="Arial" w:hAnsi="Arial" w:cs="Arial"/>
                <w:sz w:val="18"/>
                <w:szCs w:val="18"/>
              </w:rPr>
              <w:t>Central and Eastern Europe  and Central Asia</w:t>
            </w:r>
          </w:p>
          <w:p w14:paraId="14C2AF5F" w14:textId="77777777" w:rsidR="002629E4" w:rsidRPr="00F60D2D" w:rsidRDefault="002629E4" w:rsidP="007A266C">
            <w:pPr>
              <w:rPr>
                <w:rFonts w:ascii="Arial" w:hAnsi="Arial" w:cs="Arial"/>
                <w:sz w:val="18"/>
                <w:szCs w:val="18"/>
              </w:rPr>
            </w:pPr>
            <w:r w:rsidRPr="00F60D2D">
              <w:rPr>
                <w:rFonts w:ascii="Arial" w:hAnsi="Arial" w:cs="Arial"/>
                <w:sz w:val="18"/>
                <w:szCs w:val="18"/>
              </w:rPr>
              <w:t xml:space="preserve"> </w:t>
            </w:r>
          </w:p>
        </w:tc>
        <w:tc>
          <w:tcPr>
            <w:tcW w:w="1559" w:type="dxa"/>
          </w:tcPr>
          <w:p w14:paraId="0BCE8889" w14:textId="77777777" w:rsidR="002629E4" w:rsidRPr="00F60D2D" w:rsidRDefault="002629E4" w:rsidP="007A266C">
            <w:pPr>
              <w:rPr>
                <w:rFonts w:ascii="Arial" w:hAnsi="Arial" w:cs="Arial"/>
                <w:sz w:val="18"/>
                <w:szCs w:val="18"/>
              </w:rPr>
            </w:pPr>
            <w:r w:rsidRPr="00F60D2D">
              <w:rPr>
                <w:rFonts w:ascii="Arial" w:hAnsi="Arial" w:cs="Arial"/>
                <w:sz w:val="18"/>
                <w:szCs w:val="18"/>
              </w:rPr>
              <w:t>5-9 September</w:t>
            </w:r>
          </w:p>
          <w:p w14:paraId="0D58AC04" w14:textId="77777777" w:rsidR="002629E4" w:rsidRPr="00F60D2D" w:rsidRDefault="002629E4" w:rsidP="007A266C">
            <w:pPr>
              <w:rPr>
                <w:rFonts w:ascii="Arial" w:hAnsi="Arial" w:cs="Arial"/>
                <w:sz w:val="18"/>
                <w:szCs w:val="18"/>
              </w:rPr>
            </w:pPr>
            <w:r w:rsidRPr="00F60D2D">
              <w:rPr>
                <w:rFonts w:ascii="Arial" w:hAnsi="Arial" w:cs="Arial"/>
                <w:sz w:val="18"/>
                <w:szCs w:val="18"/>
              </w:rPr>
              <w:t>Minsk/Belarus</w:t>
            </w:r>
          </w:p>
        </w:tc>
        <w:tc>
          <w:tcPr>
            <w:tcW w:w="1276" w:type="dxa"/>
          </w:tcPr>
          <w:p w14:paraId="1DCBCA6E" w14:textId="40EE1ED8" w:rsidR="002629E4" w:rsidRPr="00F60D2D" w:rsidRDefault="00F71D8A" w:rsidP="007A266C">
            <w:pPr>
              <w:rPr>
                <w:rFonts w:ascii="Arial" w:hAnsi="Arial" w:cs="Arial"/>
                <w:sz w:val="18"/>
                <w:szCs w:val="18"/>
              </w:rPr>
            </w:pPr>
            <w:r w:rsidRPr="00F60D2D">
              <w:rPr>
                <w:rFonts w:ascii="Arial" w:hAnsi="Arial" w:cs="Arial"/>
                <w:sz w:val="18"/>
                <w:szCs w:val="18"/>
              </w:rPr>
              <w:t>32</w:t>
            </w:r>
          </w:p>
        </w:tc>
        <w:tc>
          <w:tcPr>
            <w:tcW w:w="1196" w:type="dxa"/>
          </w:tcPr>
          <w:p w14:paraId="2E21A18C" w14:textId="0A22207C" w:rsidR="002629E4" w:rsidRPr="00F60D2D" w:rsidRDefault="00F71D8A" w:rsidP="007A266C">
            <w:pPr>
              <w:rPr>
                <w:rFonts w:ascii="Arial" w:hAnsi="Arial" w:cs="Arial"/>
                <w:sz w:val="18"/>
                <w:szCs w:val="18"/>
              </w:rPr>
            </w:pPr>
            <w:r w:rsidRPr="00F60D2D">
              <w:rPr>
                <w:rFonts w:ascii="Arial" w:hAnsi="Arial" w:cs="Arial"/>
                <w:sz w:val="18"/>
                <w:szCs w:val="18"/>
              </w:rPr>
              <w:t>17</w:t>
            </w:r>
          </w:p>
        </w:tc>
        <w:tc>
          <w:tcPr>
            <w:tcW w:w="3240" w:type="dxa"/>
          </w:tcPr>
          <w:p w14:paraId="5B3F4B8E" w14:textId="03DBBF70" w:rsidR="002629E4" w:rsidRPr="00F60D2D" w:rsidRDefault="002629E4" w:rsidP="00EC0131">
            <w:pPr>
              <w:rPr>
                <w:rFonts w:ascii="Arial" w:hAnsi="Arial" w:cs="Arial"/>
                <w:sz w:val="18"/>
                <w:szCs w:val="18"/>
              </w:rPr>
            </w:pPr>
            <w:r w:rsidRPr="00F60D2D">
              <w:rPr>
                <w:rFonts w:ascii="Arial" w:hAnsi="Arial" w:cs="Arial"/>
                <w:sz w:val="18"/>
                <w:szCs w:val="18"/>
              </w:rPr>
              <w:t>Financed by the IPPC Trust Fund and FAO Regional Office for Europe and Central Asia (FAO REU)</w:t>
            </w:r>
            <w:r w:rsidR="00F204D4" w:rsidRPr="00F60D2D">
              <w:rPr>
                <w:rFonts w:ascii="Arial" w:hAnsi="Arial" w:cs="Arial"/>
                <w:sz w:val="18"/>
                <w:szCs w:val="18"/>
              </w:rPr>
              <w:t xml:space="preserve"> and</w:t>
            </w:r>
            <w:r w:rsidR="00EC0131" w:rsidRPr="00F60D2D">
              <w:rPr>
                <w:rFonts w:ascii="Arial" w:hAnsi="Arial" w:cs="Arial"/>
                <w:sz w:val="18"/>
                <w:szCs w:val="18"/>
              </w:rPr>
              <w:t xml:space="preserve"> FAO</w:t>
            </w:r>
            <w:r w:rsidR="00336373" w:rsidRPr="00F60D2D">
              <w:rPr>
                <w:rFonts w:ascii="Arial" w:hAnsi="Arial" w:cs="Arial"/>
                <w:sz w:val="18"/>
                <w:szCs w:val="18"/>
              </w:rPr>
              <w:t xml:space="preserve"> </w:t>
            </w:r>
            <w:r w:rsidR="00EC0131" w:rsidRPr="00F60D2D">
              <w:rPr>
                <w:rFonts w:ascii="Arial" w:hAnsi="Arial" w:cs="Arial"/>
                <w:sz w:val="18"/>
                <w:szCs w:val="18"/>
              </w:rPr>
              <w:t>Sub</w:t>
            </w:r>
            <w:r w:rsidR="00F204D4" w:rsidRPr="00F60D2D">
              <w:rPr>
                <w:rFonts w:ascii="Arial" w:hAnsi="Arial" w:cs="Arial"/>
                <w:sz w:val="18"/>
                <w:szCs w:val="18"/>
              </w:rPr>
              <w:t>regional office for the Central Asia (SEC</w:t>
            </w:r>
            <w:r w:rsidR="00336373" w:rsidRPr="00F60D2D">
              <w:rPr>
                <w:rFonts w:ascii="Arial" w:hAnsi="Arial" w:cs="Arial"/>
                <w:sz w:val="18"/>
                <w:szCs w:val="18"/>
              </w:rPr>
              <w:t>) and</w:t>
            </w:r>
            <w:r w:rsidR="00EC0131" w:rsidRPr="00F60D2D">
              <w:rPr>
                <w:rFonts w:ascii="Arial" w:hAnsi="Arial" w:cs="Arial"/>
                <w:sz w:val="18"/>
                <w:szCs w:val="18"/>
              </w:rPr>
              <w:t xml:space="preserve"> </w:t>
            </w:r>
            <w:r w:rsidRPr="00F60D2D">
              <w:rPr>
                <w:rFonts w:ascii="Arial" w:hAnsi="Arial" w:cs="Arial"/>
                <w:sz w:val="18"/>
                <w:szCs w:val="18"/>
              </w:rPr>
              <w:t>organized by the IPPC Secretariat, FAOREU</w:t>
            </w:r>
            <w:r w:rsidR="00EC0131" w:rsidRPr="00F60D2D">
              <w:rPr>
                <w:rFonts w:ascii="Arial" w:hAnsi="Arial" w:cs="Arial"/>
                <w:sz w:val="18"/>
                <w:szCs w:val="18"/>
              </w:rPr>
              <w:t xml:space="preserve"> and   the Main State Inspectorate for Seed Production, Quarantine and Plant Protection of the Republic of Belarus </w:t>
            </w:r>
            <w:r w:rsidRPr="00F60D2D">
              <w:rPr>
                <w:rFonts w:ascii="Arial" w:hAnsi="Arial" w:cs="Arial"/>
                <w:sz w:val="18"/>
                <w:szCs w:val="18"/>
              </w:rPr>
              <w:t xml:space="preserve"> </w:t>
            </w:r>
            <w:r w:rsidR="00EC0131" w:rsidRPr="00F60D2D">
              <w:rPr>
                <w:rFonts w:ascii="Arial" w:hAnsi="Arial" w:cs="Arial"/>
                <w:sz w:val="18"/>
                <w:szCs w:val="18"/>
              </w:rPr>
              <w:t xml:space="preserve">and </w:t>
            </w:r>
            <w:r w:rsidRPr="00F60D2D">
              <w:rPr>
                <w:rFonts w:ascii="Arial" w:hAnsi="Arial" w:cs="Arial"/>
                <w:sz w:val="18"/>
                <w:szCs w:val="18"/>
              </w:rPr>
              <w:t>EPPO</w:t>
            </w:r>
            <w:r w:rsidR="00EC0131" w:rsidRPr="00F60D2D">
              <w:rPr>
                <w:rFonts w:ascii="Arial" w:hAnsi="Arial" w:cs="Arial"/>
                <w:sz w:val="18"/>
                <w:szCs w:val="18"/>
              </w:rPr>
              <w:t xml:space="preserve">. </w:t>
            </w:r>
            <w:r w:rsidRPr="00F60D2D">
              <w:rPr>
                <w:rFonts w:ascii="Arial" w:hAnsi="Arial" w:cs="Arial"/>
                <w:sz w:val="18"/>
                <w:szCs w:val="18"/>
              </w:rPr>
              <w:t xml:space="preserve">   </w:t>
            </w:r>
            <w:r w:rsidR="00EC0131" w:rsidRPr="00F60D2D">
              <w:rPr>
                <w:rFonts w:ascii="Arial" w:hAnsi="Arial" w:cs="Arial"/>
                <w:sz w:val="18"/>
                <w:szCs w:val="18"/>
              </w:rPr>
              <w:t>T</w:t>
            </w:r>
            <w:r w:rsidRPr="00F60D2D">
              <w:rPr>
                <w:rFonts w:ascii="Arial" w:hAnsi="Arial" w:cs="Arial"/>
                <w:sz w:val="18"/>
                <w:szCs w:val="18"/>
              </w:rPr>
              <w:t xml:space="preserve">he All-Russian Plant Quarantine Centre </w:t>
            </w:r>
            <w:r w:rsidR="00EC0131" w:rsidRPr="00F60D2D">
              <w:rPr>
                <w:rFonts w:ascii="Arial" w:hAnsi="Arial" w:cs="Arial"/>
                <w:sz w:val="18"/>
                <w:szCs w:val="18"/>
              </w:rPr>
              <w:t xml:space="preserve">provided </w:t>
            </w:r>
            <w:r w:rsidRPr="00F60D2D">
              <w:rPr>
                <w:rFonts w:ascii="Arial" w:hAnsi="Arial" w:cs="Arial"/>
                <w:sz w:val="18"/>
                <w:szCs w:val="18"/>
              </w:rPr>
              <w:t xml:space="preserve"> translation</w:t>
            </w:r>
            <w:r w:rsidR="00EC0131" w:rsidRPr="00F60D2D">
              <w:rPr>
                <w:rFonts w:ascii="Arial" w:hAnsi="Arial" w:cs="Arial"/>
                <w:sz w:val="18"/>
                <w:szCs w:val="18"/>
              </w:rPr>
              <w:t xml:space="preserve"> of training materials</w:t>
            </w:r>
            <w:r w:rsidRPr="00F60D2D">
              <w:rPr>
                <w:rFonts w:ascii="Arial" w:hAnsi="Arial" w:cs="Arial"/>
                <w:sz w:val="18"/>
                <w:szCs w:val="18"/>
              </w:rPr>
              <w:t>.</w:t>
            </w:r>
          </w:p>
        </w:tc>
        <w:tc>
          <w:tcPr>
            <w:tcW w:w="2091" w:type="dxa"/>
          </w:tcPr>
          <w:p w14:paraId="26425C4E" w14:textId="076A72AE" w:rsidR="002629E4" w:rsidRPr="00F60D2D" w:rsidRDefault="002629E4" w:rsidP="00336373">
            <w:pPr>
              <w:rPr>
                <w:rFonts w:ascii="Arial" w:hAnsi="Arial" w:cs="Arial"/>
                <w:sz w:val="18"/>
                <w:szCs w:val="18"/>
              </w:rPr>
            </w:pPr>
            <w:r w:rsidRPr="00F60D2D">
              <w:rPr>
                <w:rFonts w:ascii="Arial" w:hAnsi="Arial" w:cs="Arial"/>
                <w:sz w:val="18"/>
                <w:szCs w:val="18"/>
              </w:rPr>
              <w:t>04-08 September, tentatively in Uzbekistan</w:t>
            </w:r>
            <w:r w:rsidR="00336373" w:rsidRPr="00F60D2D">
              <w:rPr>
                <w:rStyle w:val="FootnoteReference"/>
                <w:rFonts w:ascii="Arial" w:hAnsi="Arial" w:cs="Arial"/>
                <w:sz w:val="18"/>
                <w:szCs w:val="18"/>
              </w:rPr>
              <w:footnoteReference w:id="1"/>
            </w:r>
            <w:r w:rsidR="00336373" w:rsidRPr="00F60D2D">
              <w:rPr>
                <w:rFonts w:ascii="Arial" w:hAnsi="Arial" w:cs="Arial"/>
                <w:sz w:val="18"/>
                <w:szCs w:val="18"/>
              </w:rPr>
              <w:t>. P</w:t>
            </w:r>
            <w:r w:rsidRPr="00F60D2D">
              <w:rPr>
                <w:rFonts w:ascii="Arial" w:hAnsi="Arial" w:cs="Arial"/>
                <w:sz w:val="18"/>
                <w:szCs w:val="18"/>
              </w:rPr>
              <w:t xml:space="preserve">roposals </w:t>
            </w:r>
            <w:r w:rsidR="00336373" w:rsidRPr="00F60D2D">
              <w:rPr>
                <w:rFonts w:ascii="Arial" w:hAnsi="Arial" w:cs="Arial"/>
                <w:sz w:val="18"/>
                <w:szCs w:val="18"/>
              </w:rPr>
              <w:t xml:space="preserve">for hosting the meeting will </w:t>
            </w:r>
            <w:r w:rsidRPr="00F60D2D">
              <w:rPr>
                <w:rFonts w:ascii="Arial" w:hAnsi="Arial" w:cs="Arial"/>
                <w:sz w:val="18"/>
                <w:szCs w:val="18"/>
              </w:rPr>
              <w:t xml:space="preserve">officially </w:t>
            </w:r>
            <w:r w:rsidR="00336373" w:rsidRPr="00F60D2D">
              <w:rPr>
                <w:rFonts w:ascii="Arial" w:hAnsi="Arial" w:cs="Arial"/>
                <w:sz w:val="18"/>
                <w:szCs w:val="18"/>
              </w:rPr>
              <w:t xml:space="preserve">be </w:t>
            </w:r>
            <w:r w:rsidRPr="00F60D2D">
              <w:rPr>
                <w:rFonts w:ascii="Arial" w:hAnsi="Arial" w:cs="Arial"/>
                <w:sz w:val="18"/>
                <w:szCs w:val="18"/>
              </w:rPr>
              <w:t>submitted by April 2017.</w:t>
            </w:r>
          </w:p>
        </w:tc>
      </w:tr>
      <w:tr w:rsidR="002629E4" w:rsidRPr="00F60D2D" w14:paraId="5466B186" w14:textId="77777777" w:rsidTr="00D41F8D">
        <w:trPr>
          <w:trHeight w:val="631"/>
        </w:trPr>
        <w:tc>
          <w:tcPr>
            <w:tcW w:w="1276" w:type="dxa"/>
          </w:tcPr>
          <w:p w14:paraId="4254FB78" w14:textId="77777777" w:rsidR="002629E4" w:rsidRPr="00F60D2D" w:rsidRDefault="002629E4" w:rsidP="007A266C">
            <w:pPr>
              <w:rPr>
                <w:rFonts w:ascii="Arial" w:hAnsi="Arial" w:cs="Arial"/>
                <w:sz w:val="18"/>
                <w:szCs w:val="18"/>
              </w:rPr>
            </w:pPr>
            <w:r w:rsidRPr="00F60D2D">
              <w:rPr>
                <w:rFonts w:ascii="Arial" w:hAnsi="Arial" w:cs="Arial"/>
                <w:sz w:val="18"/>
                <w:szCs w:val="18"/>
              </w:rPr>
              <w:t>Southwest Pacific</w:t>
            </w:r>
          </w:p>
          <w:p w14:paraId="51400A93" w14:textId="77777777" w:rsidR="002629E4" w:rsidRPr="00F60D2D" w:rsidRDefault="002629E4" w:rsidP="007A266C">
            <w:pPr>
              <w:rPr>
                <w:rFonts w:ascii="Arial" w:hAnsi="Arial" w:cs="Arial"/>
                <w:sz w:val="18"/>
                <w:szCs w:val="18"/>
                <w:lang w:val="en-AU"/>
              </w:rPr>
            </w:pPr>
            <w:r w:rsidRPr="00F60D2D">
              <w:rPr>
                <w:rFonts w:ascii="Arial" w:hAnsi="Arial" w:cs="Arial"/>
                <w:sz w:val="18"/>
                <w:szCs w:val="18"/>
              </w:rPr>
              <w:t xml:space="preserve"> </w:t>
            </w:r>
          </w:p>
        </w:tc>
        <w:tc>
          <w:tcPr>
            <w:tcW w:w="1559" w:type="dxa"/>
          </w:tcPr>
          <w:p w14:paraId="20E29D65" w14:textId="77777777" w:rsidR="002629E4" w:rsidRPr="00F60D2D" w:rsidRDefault="002629E4" w:rsidP="007A266C">
            <w:pPr>
              <w:rPr>
                <w:rFonts w:ascii="Arial" w:hAnsi="Arial" w:cs="Arial"/>
                <w:sz w:val="18"/>
                <w:szCs w:val="18"/>
              </w:rPr>
            </w:pPr>
            <w:r w:rsidRPr="00F60D2D">
              <w:rPr>
                <w:rFonts w:ascii="Arial" w:hAnsi="Arial" w:cs="Arial"/>
                <w:sz w:val="18"/>
                <w:szCs w:val="18"/>
              </w:rPr>
              <w:t>12-16 September</w:t>
            </w:r>
          </w:p>
          <w:p w14:paraId="30BCE610" w14:textId="19BE3C3A" w:rsidR="002629E4" w:rsidRPr="00F60D2D" w:rsidRDefault="002629E4" w:rsidP="007A266C">
            <w:pPr>
              <w:rPr>
                <w:rFonts w:ascii="Arial" w:hAnsi="Arial" w:cs="Arial"/>
                <w:sz w:val="18"/>
                <w:szCs w:val="18"/>
              </w:rPr>
            </w:pPr>
            <w:r w:rsidRPr="00F60D2D">
              <w:rPr>
                <w:rFonts w:ascii="Arial" w:hAnsi="Arial" w:cs="Arial"/>
                <w:sz w:val="18"/>
                <w:szCs w:val="18"/>
              </w:rPr>
              <w:t>Nadi/Fiji</w:t>
            </w:r>
          </w:p>
          <w:p w14:paraId="59D2BA65" w14:textId="77777777" w:rsidR="002629E4" w:rsidRPr="00F60D2D" w:rsidRDefault="002629E4" w:rsidP="007A266C">
            <w:pPr>
              <w:rPr>
                <w:rFonts w:ascii="Arial" w:hAnsi="Arial" w:cs="Arial"/>
                <w:sz w:val="18"/>
                <w:szCs w:val="18"/>
              </w:rPr>
            </w:pPr>
          </w:p>
        </w:tc>
        <w:tc>
          <w:tcPr>
            <w:tcW w:w="1276" w:type="dxa"/>
          </w:tcPr>
          <w:p w14:paraId="04459295" w14:textId="77777777" w:rsidR="002629E4" w:rsidRPr="00F60D2D" w:rsidRDefault="002629E4" w:rsidP="007A266C">
            <w:pPr>
              <w:rPr>
                <w:rFonts w:ascii="Arial" w:hAnsi="Arial" w:cs="Arial"/>
                <w:sz w:val="18"/>
                <w:szCs w:val="18"/>
              </w:rPr>
            </w:pPr>
            <w:r w:rsidRPr="00F60D2D">
              <w:rPr>
                <w:rFonts w:ascii="Arial" w:hAnsi="Arial" w:cs="Arial"/>
                <w:sz w:val="18"/>
                <w:szCs w:val="18"/>
              </w:rPr>
              <w:t>32</w:t>
            </w:r>
          </w:p>
        </w:tc>
        <w:tc>
          <w:tcPr>
            <w:tcW w:w="1196" w:type="dxa"/>
          </w:tcPr>
          <w:p w14:paraId="7C150217" w14:textId="77777777" w:rsidR="002629E4" w:rsidRPr="00F60D2D" w:rsidRDefault="002629E4" w:rsidP="007A266C">
            <w:pPr>
              <w:rPr>
                <w:rFonts w:ascii="Arial" w:hAnsi="Arial" w:cs="Arial"/>
                <w:sz w:val="18"/>
                <w:szCs w:val="18"/>
              </w:rPr>
            </w:pPr>
            <w:r w:rsidRPr="00F60D2D">
              <w:rPr>
                <w:rFonts w:ascii="Arial" w:hAnsi="Arial" w:cs="Arial"/>
                <w:sz w:val="18"/>
                <w:szCs w:val="18"/>
              </w:rPr>
              <w:t>17</w:t>
            </w:r>
          </w:p>
        </w:tc>
        <w:tc>
          <w:tcPr>
            <w:tcW w:w="3240" w:type="dxa"/>
          </w:tcPr>
          <w:p w14:paraId="4CFE33C0" w14:textId="77777777" w:rsidR="002629E4" w:rsidRPr="00F60D2D" w:rsidRDefault="002629E4" w:rsidP="007A266C">
            <w:pPr>
              <w:rPr>
                <w:rFonts w:ascii="Arial" w:hAnsi="Arial" w:cs="Arial"/>
                <w:sz w:val="18"/>
                <w:szCs w:val="18"/>
              </w:rPr>
            </w:pPr>
            <w:r w:rsidRPr="00F60D2D">
              <w:rPr>
                <w:rFonts w:ascii="Arial" w:hAnsi="Arial" w:cs="Arial"/>
                <w:sz w:val="18"/>
                <w:szCs w:val="18"/>
              </w:rPr>
              <w:t xml:space="preserve">Financed by the Australian Government’s Department of Foreign Affairs and Trade with assistance from the Pacific Horticultural and Market Access project (PHAMA). Organized  by the Pacific Plant Protection Organization (PPPO) </w:t>
            </w:r>
          </w:p>
        </w:tc>
        <w:tc>
          <w:tcPr>
            <w:tcW w:w="2091" w:type="dxa"/>
          </w:tcPr>
          <w:p w14:paraId="4F142F48" w14:textId="77777777" w:rsidR="002629E4" w:rsidRPr="00F60D2D" w:rsidRDefault="002629E4" w:rsidP="007A266C">
            <w:pPr>
              <w:rPr>
                <w:rFonts w:ascii="Arial" w:hAnsi="Arial" w:cs="Arial"/>
                <w:sz w:val="18"/>
                <w:szCs w:val="18"/>
                <w:highlight w:val="yellow"/>
              </w:rPr>
            </w:pPr>
            <w:r w:rsidRPr="00F60D2D">
              <w:rPr>
                <w:rFonts w:ascii="Arial" w:hAnsi="Arial" w:cs="Arial"/>
                <w:sz w:val="18"/>
                <w:szCs w:val="18"/>
              </w:rPr>
              <w:t>/</w:t>
            </w:r>
          </w:p>
        </w:tc>
      </w:tr>
      <w:tr w:rsidR="002629E4" w:rsidRPr="00F60D2D" w14:paraId="3D2DB407" w14:textId="77777777" w:rsidTr="00D41F8D">
        <w:trPr>
          <w:trHeight w:val="565"/>
        </w:trPr>
        <w:tc>
          <w:tcPr>
            <w:tcW w:w="1276" w:type="dxa"/>
          </w:tcPr>
          <w:p w14:paraId="02B54FC1" w14:textId="77777777" w:rsidR="002629E4" w:rsidRPr="00F60D2D" w:rsidRDefault="002629E4" w:rsidP="007A266C">
            <w:pPr>
              <w:rPr>
                <w:rFonts w:ascii="Arial" w:hAnsi="Arial" w:cs="Arial"/>
                <w:sz w:val="18"/>
                <w:szCs w:val="18"/>
                <w:lang w:val="fr-FR"/>
              </w:rPr>
            </w:pPr>
            <w:r w:rsidRPr="00F60D2D">
              <w:rPr>
                <w:rFonts w:ascii="Arial" w:hAnsi="Arial" w:cs="Arial"/>
                <w:sz w:val="18"/>
                <w:szCs w:val="18"/>
                <w:lang w:val="fr-FR"/>
              </w:rPr>
              <w:t>Africa</w:t>
            </w:r>
          </w:p>
          <w:p w14:paraId="00C14C13" w14:textId="77777777" w:rsidR="002629E4" w:rsidRPr="00F60D2D" w:rsidRDefault="002629E4" w:rsidP="007A266C">
            <w:pPr>
              <w:rPr>
                <w:rFonts w:ascii="Arial" w:hAnsi="Arial" w:cs="Arial"/>
                <w:color w:val="000000"/>
                <w:sz w:val="18"/>
                <w:szCs w:val="18"/>
                <w:lang w:val="fr-FR"/>
              </w:rPr>
            </w:pPr>
            <w:r w:rsidRPr="00F60D2D">
              <w:rPr>
                <w:rFonts w:ascii="Arial" w:hAnsi="Arial" w:cs="Arial"/>
                <w:sz w:val="18"/>
                <w:szCs w:val="18"/>
                <w:lang w:val="fr-FR"/>
              </w:rPr>
              <w:t xml:space="preserve"> </w:t>
            </w:r>
          </w:p>
        </w:tc>
        <w:tc>
          <w:tcPr>
            <w:tcW w:w="1559" w:type="dxa"/>
          </w:tcPr>
          <w:p w14:paraId="129027C9" w14:textId="77777777" w:rsidR="002629E4" w:rsidRPr="00F60D2D" w:rsidRDefault="002629E4" w:rsidP="007A266C">
            <w:pPr>
              <w:rPr>
                <w:rFonts w:ascii="Arial" w:hAnsi="Arial" w:cs="Arial"/>
                <w:sz w:val="18"/>
                <w:szCs w:val="18"/>
              </w:rPr>
            </w:pPr>
            <w:r w:rsidRPr="00F60D2D">
              <w:rPr>
                <w:rFonts w:ascii="Arial" w:hAnsi="Arial" w:cs="Arial"/>
                <w:sz w:val="18"/>
                <w:szCs w:val="18"/>
              </w:rPr>
              <w:t>14-16 September</w:t>
            </w:r>
          </w:p>
          <w:p w14:paraId="3F52FAF1" w14:textId="77777777" w:rsidR="002629E4" w:rsidRPr="00F60D2D" w:rsidRDefault="002629E4" w:rsidP="007A266C">
            <w:pPr>
              <w:rPr>
                <w:rFonts w:ascii="Arial" w:hAnsi="Arial" w:cs="Arial"/>
                <w:sz w:val="18"/>
                <w:szCs w:val="18"/>
              </w:rPr>
            </w:pPr>
            <w:r w:rsidRPr="00F60D2D">
              <w:rPr>
                <w:rFonts w:ascii="Arial" w:hAnsi="Arial" w:cs="Arial"/>
                <w:sz w:val="18"/>
                <w:szCs w:val="18"/>
              </w:rPr>
              <w:t>Addis Ababa (Ethiopia)</w:t>
            </w:r>
          </w:p>
          <w:p w14:paraId="6D71CDB7" w14:textId="77777777" w:rsidR="002629E4" w:rsidRPr="00F60D2D" w:rsidRDefault="002629E4" w:rsidP="007A266C">
            <w:pPr>
              <w:rPr>
                <w:rFonts w:ascii="Arial" w:hAnsi="Arial" w:cs="Arial"/>
                <w:sz w:val="18"/>
                <w:szCs w:val="18"/>
              </w:rPr>
            </w:pPr>
          </w:p>
        </w:tc>
        <w:tc>
          <w:tcPr>
            <w:tcW w:w="1276" w:type="dxa"/>
          </w:tcPr>
          <w:p w14:paraId="41EDD38D" w14:textId="77777777" w:rsidR="002629E4" w:rsidRPr="00F60D2D" w:rsidRDefault="002629E4" w:rsidP="007A266C">
            <w:pPr>
              <w:rPr>
                <w:rFonts w:ascii="Arial" w:hAnsi="Arial" w:cs="Arial"/>
                <w:sz w:val="18"/>
                <w:szCs w:val="18"/>
              </w:rPr>
            </w:pPr>
            <w:r w:rsidRPr="00F60D2D">
              <w:rPr>
                <w:rFonts w:ascii="Arial" w:hAnsi="Arial" w:cs="Arial"/>
                <w:sz w:val="18"/>
                <w:szCs w:val="18"/>
              </w:rPr>
              <w:t>26</w:t>
            </w:r>
          </w:p>
        </w:tc>
        <w:tc>
          <w:tcPr>
            <w:tcW w:w="1196" w:type="dxa"/>
          </w:tcPr>
          <w:p w14:paraId="5BD99B9E" w14:textId="77777777" w:rsidR="002629E4" w:rsidRPr="00F60D2D" w:rsidRDefault="002629E4" w:rsidP="007A266C">
            <w:pPr>
              <w:rPr>
                <w:rFonts w:ascii="Arial" w:hAnsi="Arial" w:cs="Arial"/>
                <w:sz w:val="18"/>
                <w:szCs w:val="18"/>
              </w:rPr>
            </w:pPr>
            <w:r w:rsidRPr="00F60D2D">
              <w:rPr>
                <w:rFonts w:ascii="Arial" w:hAnsi="Arial" w:cs="Arial"/>
                <w:sz w:val="18"/>
                <w:szCs w:val="18"/>
              </w:rPr>
              <w:t>16</w:t>
            </w:r>
          </w:p>
        </w:tc>
        <w:tc>
          <w:tcPr>
            <w:tcW w:w="3240" w:type="dxa"/>
          </w:tcPr>
          <w:p w14:paraId="4633DC9B" w14:textId="77777777" w:rsidR="002629E4" w:rsidRPr="00F60D2D" w:rsidRDefault="002629E4" w:rsidP="007A266C">
            <w:pPr>
              <w:rPr>
                <w:rFonts w:ascii="Arial" w:hAnsi="Arial" w:cs="Arial"/>
                <w:sz w:val="18"/>
                <w:szCs w:val="18"/>
              </w:rPr>
            </w:pPr>
            <w:r w:rsidRPr="00F60D2D">
              <w:rPr>
                <w:rFonts w:ascii="Arial" w:hAnsi="Arial" w:cs="Arial"/>
                <w:sz w:val="18"/>
                <w:szCs w:val="18"/>
              </w:rPr>
              <w:t>Financed by the IPPC Trust Fund, the ASTF project, with the help of FAO-RAF and IAPSC</w:t>
            </w:r>
          </w:p>
          <w:p w14:paraId="4EA308D7" w14:textId="77777777" w:rsidR="002629E4" w:rsidRPr="00F60D2D" w:rsidRDefault="002629E4" w:rsidP="007A266C">
            <w:pPr>
              <w:rPr>
                <w:rFonts w:ascii="Arial" w:hAnsi="Arial" w:cs="Arial"/>
                <w:sz w:val="18"/>
                <w:szCs w:val="18"/>
              </w:rPr>
            </w:pPr>
          </w:p>
        </w:tc>
        <w:tc>
          <w:tcPr>
            <w:tcW w:w="2091" w:type="dxa"/>
          </w:tcPr>
          <w:p w14:paraId="5F96F479" w14:textId="77777777" w:rsidR="002629E4" w:rsidRPr="00F60D2D" w:rsidRDefault="002629E4" w:rsidP="007A266C">
            <w:pPr>
              <w:rPr>
                <w:rFonts w:ascii="Arial" w:hAnsi="Arial" w:cs="Arial"/>
                <w:sz w:val="18"/>
                <w:szCs w:val="18"/>
              </w:rPr>
            </w:pPr>
            <w:r w:rsidRPr="00F60D2D">
              <w:rPr>
                <w:rFonts w:ascii="Arial" w:hAnsi="Arial" w:cs="Arial"/>
                <w:sz w:val="18"/>
                <w:szCs w:val="18"/>
              </w:rPr>
              <w:t>/</w:t>
            </w:r>
          </w:p>
        </w:tc>
      </w:tr>
      <w:tr w:rsidR="002629E4" w:rsidRPr="00F60D2D" w14:paraId="1F577372" w14:textId="77777777" w:rsidTr="00D41F8D">
        <w:trPr>
          <w:trHeight w:val="625"/>
        </w:trPr>
        <w:tc>
          <w:tcPr>
            <w:tcW w:w="1276" w:type="dxa"/>
          </w:tcPr>
          <w:p w14:paraId="1D6043DE" w14:textId="77777777" w:rsidR="002629E4" w:rsidRPr="00F60D2D" w:rsidRDefault="002629E4" w:rsidP="007A266C">
            <w:pPr>
              <w:rPr>
                <w:rFonts w:ascii="Arial" w:hAnsi="Arial" w:cs="Arial"/>
                <w:sz w:val="18"/>
                <w:szCs w:val="18"/>
                <w:lang w:val="fr-FR"/>
              </w:rPr>
            </w:pPr>
            <w:r w:rsidRPr="00F60D2D">
              <w:rPr>
                <w:rFonts w:ascii="Arial" w:hAnsi="Arial" w:cs="Arial"/>
                <w:sz w:val="18"/>
                <w:szCs w:val="18"/>
                <w:lang w:val="fr-FR"/>
              </w:rPr>
              <w:t>Caribbean</w:t>
            </w:r>
          </w:p>
          <w:p w14:paraId="11184E87" w14:textId="77777777" w:rsidR="002629E4" w:rsidRPr="00F60D2D" w:rsidRDefault="002629E4" w:rsidP="007A266C">
            <w:pPr>
              <w:rPr>
                <w:rFonts w:ascii="Arial" w:hAnsi="Arial" w:cs="Arial"/>
                <w:sz w:val="18"/>
                <w:szCs w:val="18"/>
                <w:lang w:val="fr-FR"/>
              </w:rPr>
            </w:pPr>
          </w:p>
        </w:tc>
        <w:tc>
          <w:tcPr>
            <w:tcW w:w="1559" w:type="dxa"/>
          </w:tcPr>
          <w:p w14:paraId="6C895154" w14:textId="77777777" w:rsidR="002629E4" w:rsidRPr="00F60D2D" w:rsidRDefault="002629E4" w:rsidP="007A266C">
            <w:pPr>
              <w:rPr>
                <w:rFonts w:ascii="Arial" w:hAnsi="Arial" w:cs="Arial"/>
                <w:sz w:val="18"/>
                <w:szCs w:val="18"/>
              </w:rPr>
            </w:pPr>
            <w:r w:rsidRPr="00F60D2D">
              <w:rPr>
                <w:rFonts w:ascii="Arial" w:hAnsi="Arial" w:cs="Arial"/>
                <w:sz w:val="18"/>
                <w:szCs w:val="18"/>
              </w:rPr>
              <w:t>13-16 September</w:t>
            </w:r>
          </w:p>
          <w:p w14:paraId="6B01FDDF" w14:textId="77777777" w:rsidR="002629E4" w:rsidRPr="00F60D2D" w:rsidRDefault="002629E4" w:rsidP="007A266C">
            <w:pPr>
              <w:rPr>
                <w:rFonts w:ascii="Arial" w:hAnsi="Arial" w:cs="Arial"/>
                <w:sz w:val="18"/>
                <w:szCs w:val="18"/>
              </w:rPr>
            </w:pPr>
            <w:r w:rsidRPr="00F60D2D">
              <w:rPr>
                <w:rFonts w:ascii="Arial" w:hAnsi="Arial" w:cs="Arial"/>
                <w:sz w:val="18"/>
                <w:szCs w:val="18"/>
              </w:rPr>
              <w:t>Trinidad and Tobacco</w:t>
            </w:r>
          </w:p>
        </w:tc>
        <w:tc>
          <w:tcPr>
            <w:tcW w:w="1276" w:type="dxa"/>
          </w:tcPr>
          <w:p w14:paraId="467545AE" w14:textId="0E2D7176" w:rsidR="002629E4" w:rsidRPr="00F60D2D" w:rsidRDefault="00B3608F" w:rsidP="007A266C">
            <w:pPr>
              <w:rPr>
                <w:rFonts w:ascii="Arial" w:hAnsi="Arial" w:cs="Arial"/>
                <w:sz w:val="18"/>
                <w:szCs w:val="18"/>
              </w:rPr>
            </w:pPr>
            <w:r w:rsidRPr="00F60D2D">
              <w:rPr>
                <w:rFonts w:ascii="Arial" w:hAnsi="Arial" w:cs="Arial"/>
                <w:sz w:val="18"/>
                <w:szCs w:val="18"/>
              </w:rPr>
              <w:t>13</w:t>
            </w:r>
          </w:p>
        </w:tc>
        <w:tc>
          <w:tcPr>
            <w:tcW w:w="1196" w:type="dxa"/>
          </w:tcPr>
          <w:p w14:paraId="1BFEECD2" w14:textId="00666CF3" w:rsidR="002629E4" w:rsidRPr="00F60D2D" w:rsidRDefault="00B3608F" w:rsidP="007A266C">
            <w:pPr>
              <w:rPr>
                <w:rFonts w:ascii="Arial" w:hAnsi="Arial" w:cs="Arial"/>
                <w:sz w:val="18"/>
                <w:szCs w:val="18"/>
              </w:rPr>
            </w:pPr>
            <w:r w:rsidRPr="00F60D2D">
              <w:rPr>
                <w:rFonts w:ascii="Arial" w:hAnsi="Arial" w:cs="Arial"/>
                <w:sz w:val="18"/>
                <w:szCs w:val="18"/>
              </w:rPr>
              <w:t>12</w:t>
            </w:r>
          </w:p>
        </w:tc>
        <w:tc>
          <w:tcPr>
            <w:tcW w:w="3240" w:type="dxa"/>
          </w:tcPr>
          <w:p w14:paraId="1DCFE824" w14:textId="1C216D88" w:rsidR="002629E4" w:rsidRPr="00F60D2D" w:rsidRDefault="002629E4" w:rsidP="007A266C">
            <w:pPr>
              <w:rPr>
                <w:rFonts w:ascii="Arial" w:hAnsi="Arial" w:cs="Arial"/>
                <w:sz w:val="18"/>
                <w:szCs w:val="18"/>
              </w:rPr>
            </w:pPr>
            <w:r w:rsidRPr="00F60D2D">
              <w:rPr>
                <w:rFonts w:ascii="Arial" w:hAnsi="Arial" w:cs="Arial"/>
                <w:sz w:val="18"/>
                <w:szCs w:val="18"/>
              </w:rPr>
              <w:t>Financed by the European Union 10</w:t>
            </w:r>
            <w:r w:rsidRPr="00F60D2D">
              <w:rPr>
                <w:rFonts w:ascii="Arial" w:hAnsi="Arial" w:cs="Arial"/>
                <w:sz w:val="18"/>
                <w:szCs w:val="18"/>
                <w:vertAlign w:val="superscript"/>
              </w:rPr>
              <w:t>th</w:t>
            </w:r>
            <w:r w:rsidRPr="00F60D2D">
              <w:rPr>
                <w:rFonts w:ascii="Arial" w:hAnsi="Arial" w:cs="Arial"/>
                <w:sz w:val="18"/>
                <w:szCs w:val="18"/>
              </w:rPr>
              <w:t xml:space="preserve"> European Development Fund (EDF) SPS project, the IPPC Trust Fund and the IPPC Secretariat. </w:t>
            </w:r>
            <w:r w:rsidR="00336373" w:rsidRPr="00F60D2D">
              <w:rPr>
                <w:rFonts w:ascii="Arial" w:hAnsi="Arial" w:cs="Arial"/>
                <w:sz w:val="18"/>
                <w:szCs w:val="18"/>
              </w:rPr>
              <w:t xml:space="preserve">The meeting was </w:t>
            </w:r>
          </w:p>
          <w:p w14:paraId="4C097B3A" w14:textId="32194DB2" w:rsidR="002629E4" w:rsidRPr="00F60D2D" w:rsidRDefault="00336373" w:rsidP="00336373">
            <w:pPr>
              <w:rPr>
                <w:rFonts w:ascii="Arial" w:hAnsi="Arial" w:cs="Arial"/>
                <w:sz w:val="18"/>
                <w:szCs w:val="18"/>
              </w:rPr>
            </w:pPr>
            <w:r w:rsidRPr="00F60D2D">
              <w:rPr>
                <w:rFonts w:ascii="Arial" w:hAnsi="Arial" w:cs="Arial"/>
                <w:sz w:val="18"/>
                <w:szCs w:val="18"/>
              </w:rPr>
              <w:t>o</w:t>
            </w:r>
            <w:r w:rsidR="002629E4" w:rsidRPr="00F60D2D">
              <w:rPr>
                <w:rFonts w:ascii="Arial" w:hAnsi="Arial" w:cs="Arial"/>
                <w:sz w:val="18"/>
                <w:szCs w:val="18"/>
              </w:rPr>
              <w:t xml:space="preserve">rganized by IICA under a letter of agreement </w:t>
            </w:r>
          </w:p>
        </w:tc>
        <w:tc>
          <w:tcPr>
            <w:tcW w:w="2091" w:type="dxa"/>
          </w:tcPr>
          <w:p w14:paraId="22C94B38" w14:textId="69E2E40B" w:rsidR="002629E4" w:rsidRPr="00F60D2D" w:rsidRDefault="00730F6F" w:rsidP="007A266C">
            <w:pPr>
              <w:rPr>
                <w:rFonts w:ascii="Arial" w:hAnsi="Arial" w:cs="Arial"/>
                <w:sz w:val="18"/>
                <w:szCs w:val="18"/>
              </w:rPr>
            </w:pPr>
            <w:r w:rsidRPr="00F60D2D">
              <w:rPr>
                <w:rFonts w:ascii="Arial" w:hAnsi="Arial" w:cs="Arial"/>
                <w:sz w:val="18"/>
                <w:szCs w:val="18"/>
              </w:rPr>
              <w:t>06-08 September, place to be determined at a later stage.</w:t>
            </w:r>
          </w:p>
        </w:tc>
      </w:tr>
    </w:tbl>
    <w:p w14:paraId="64D8AC93" w14:textId="77777777" w:rsidR="002629E4" w:rsidRPr="00D41F8D" w:rsidRDefault="002629E4" w:rsidP="009F7DF4">
      <w:pPr>
        <w:rPr>
          <w:rFonts w:asciiTheme="majorBidi" w:hAnsiTheme="majorBidi" w:cstheme="majorBidi"/>
        </w:rPr>
      </w:pPr>
    </w:p>
    <w:sectPr w:rsidR="002629E4" w:rsidRPr="00D41F8D" w:rsidSect="00AB4D4E">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5DB91" w14:textId="77777777" w:rsidR="00616D86" w:rsidRDefault="00616D86" w:rsidP="00726D1D">
      <w:r>
        <w:separator/>
      </w:r>
    </w:p>
  </w:endnote>
  <w:endnote w:type="continuationSeparator" w:id="0">
    <w:p w14:paraId="54DFFFC1" w14:textId="77777777" w:rsidR="00616D86" w:rsidRDefault="00616D86" w:rsidP="0072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96293" w14:textId="77777777" w:rsidR="00103EF4" w:rsidRPr="00F60D2D" w:rsidRDefault="00103EF4" w:rsidP="00F60D2D">
    <w:pPr>
      <w:pStyle w:val="IPPFooter"/>
    </w:pPr>
    <w:r w:rsidRPr="00F60D2D">
      <w:t xml:space="preserve">Page </w:t>
    </w:r>
    <w:r w:rsidRPr="00F60D2D">
      <w:fldChar w:fldCharType="begin"/>
    </w:r>
    <w:r w:rsidRPr="00F60D2D">
      <w:instrText>PAGE</w:instrText>
    </w:r>
    <w:r w:rsidRPr="00F60D2D">
      <w:fldChar w:fldCharType="separate"/>
    </w:r>
    <w:r w:rsidR="00DF2775">
      <w:rPr>
        <w:noProof/>
      </w:rPr>
      <w:t>4</w:t>
    </w:r>
    <w:r w:rsidRPr="00F60D2D">
      <w:fldChar w:fldCharType="end"/>
    </w:r>
    <w:r w:rsidRPr="00F60D2D">
      <w:t xml:space="preserve"> of </w:t>
    </w:r>
    <w:r w:rsidRPr="00F60D2D">
      <w:fldChar w:fldCharType="begin"/>
    </w:r>
    <w:r w:rsidRPr="00F60D2D">
      <w:instrText>NUMPAGES</w:instrText>
    </w:r>
    <w:r w:rsidRPr="00F60D2D">
      <w:fldChar w:fldCharType="separate"/>
    </w:r>
    <w:r w:rsidR="00DF2775">
      <w:rPr>
        <w:noProof/>
      </w:rPr>
      <w:t>5</w:t>
    </w:r>
    <w:r w:rsidRPr="00F60D2D">
      <w:fldChar w:fldCharType="end"/>
    </w:r>
    <w:r w:rsidRPr="00F60D2D">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6391" w14:textId="54788071" w:rsidR="002B73E5" w:rsidRPr="00F60D2D" w:rsidRDefault="002B73E5" w:rsidP="00F60D2D">
    <w:pPr>
      <w:pStyle w:val="IPPFooter"/>
    </w:pPr>
    <w:r w:rsidRPr="00F60D2D">
      <w:t>Internationa</w:t>
    </w:r>
    <w:r w:rsidR="00F60D2D">
      <w:t xml:space="preserve">l Plant Protection Convention </w:t>
    </w:r>
    <w:r w:rsidR="00F60D2D">
      <w:tab/>
    </w:r>
    <w:r w:rsidRPr="00F60D2D">
      <w:t xml:space="preserve">Page </w:t>
    </w:r>
    <w:r w:rsidR="00E943F2" w:rsidRPr="00F60D2D">
      <w:fldChar w:fldCharType="begin"/>
    </w:r>
    <w:r w:rsidRPr="00F60D2D">
      <w:instrText>PAGE</w:instrText>
    </w:r>
    <w:r w:rsidR="00E943F2" w:rsidRPr="00F60D2D">
      <w:fldChar w:fldCharType="separate"/>
    </w:r>
    <w:r w:rsidR="00DF2775">
      <w:rPr>
        <w:noProof/>
      </w:rPr>
      <w:t>5</w:t>
    </w:r>
    <w:r w:rsidR="00E943F2" w:rsidRPr="00F60D2D">
      <w:fldChar w:fldCharType="end"/>
    </w:r>
    <w:r w:rsidRPr="00F60D2D">
      <w:t xml:space="preserve"> of </w:t>
    </w:r>
    <w:r w:rsidR="00E943F2" w:rsidRPr="00F60D2D">
      <w:fldChar w:fldCharType="begin"/>
    </w:r>
    <w:r w:rsidRPr="00F60D2D">
      <w:instrText>NUMPAGES</w:instrText>
    </w:r>
    <w:r w:rsidR="00E943F2" w:rsidRPr="00F60D2D">
      <w:fldChar w:fldCharType="separate"/>
    </w:r>
    <w:r w:rsidR="00DF2775">
      <w:rPr>
        <w:noProof/>
      </w:rPr>
      <w:t>5</w:t>
    </w:r>
    <w:r w:rsidR="00E943F2" w:rsidRPr="00F60D2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91C9" w14:textId="6EA37F48" w:rsidR="00103EF4" w:rsidRPr="00146004" w:rsidRDefault="00103EF4" w:rsidP="007B5B14">
    <w:pPr>
      <w:pStyle w:val="IPPFooter"/>
    </w:pPr>
    <w:r>
      <w:t>International Plant Protection Conven</w:t>
    </w:r>
    <w:r w:rsidR="007B5B14">
      <w:t xml:space="preserve">tion </w:t>
    </w:r>
    <w:r w:rsidR="007B5B14">
      <w:tab/>
    </w:r>
    <w:r>
      <w:t xml:space="preserve">Page </w:t>
    </w:r>
    <w:r>
      <w:fldChar w:fldCharType="begin"/>
    </w:r>
    <w:r>
      <w:instrText>PAGE</w:instrText>
    </w:r>
    <w:r>
      <w:fldChar w:fldCharType="separate"/>
    </w:r>
    <w:r w:rsidR="00DF2775">
      <w:rPr>
        <w:noProof/>
      </w:rPr>
      <w:t>1</w:t>
    </w:r>
    <w:r>
      <w:fldChar w:fldCharType="end"/>
    </w:r>
    <w:r>
      <w:t xml:space="preserve"> of </w:t>
    </w:r>
    <w:r>
      <w:fldChar w:fldCharType="begin"/>
    </w:r>
    <w:r>
      <w:instrText>NUMPAGES</w:instrText>
    </w:r>
    <w:r>
      <w:fldChar w:fldCharType="separate"/>
    </w:r>
    <w:r w:rsidR="00DF277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C8465" w14:textId="77777777" w:rsidR="00616D86" w:rsidRDefault="00616D86" w:rsidP="00726D1D">
      <w:r>
        <w:separator/>
      </w:r>
    </w:p>
  </w:footnote>
  <w:footnote w:type="continuationSeparator" w:id="0">
    <w:p w14:paraId="73B06C46" w14:textId="77777777" w:rsidR="00616D86" w:rsidRDefault="00616D86" w:rsidP="00726D1D">
      <w:r>
        <w:continuationSeparator/>
      </w:r>
    </w:p>
  </w:footnote>
  <w:footnote w:id="1">
    <w:p w14:paraId="3CC62E65" w14:textId="5CC9B9B5" w:rsidR="00336373" w:rsidRPr="00336373" w:rsidRDefault="00336373" w:rsidP="009F7DF4">
      <w:pPr>
        <w:pStyle w:val="IPPFootnote"/>
        <w:rPr>
          <w:lang w:val="en-US"/>
        </w:rPr>
      </w:pPr>
      <w:r>
        <w:rPr>
          <w:rStyle w:val="FootnoteReference"/>
        </w:rPr>
        <w:footnoteRef/>
      </w:r>
      <w:r>
        <w:t xml:space="preserve"> </w:t>
      </w:r>
      <w:r>
        <w:rPr>
          <w:lang w:val="en-US"/>
        </w:rPr>
        <w:t>Uzbekistan is not a contracting party to the IPPC and would therefore not be eligible to host an IPPC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4291" w14:textId="59B86B56" w:rsidR="00103EF4" w:rsidRPr="007B5B14" w:rsidRDefault="007B5B14" w:rsidP="00C17400">
    <w:pPr>
      <w:pBdr>
        <w:bottom w:val="single" w:sz="4" w:space="4" w:color="auto"/>
      </w:pBdr>
      <w:tabs>
        <w:tab w:val="left" w:pos="1134"/>
        <w:tab w:val="right" w:pos="9072"/>
      </w:tabs>
      <w:rPr>
        <w:rFonts w:ascii="Arial" w:hAnsi="Arial"/>
        <w:sz w:val="18"/>
        <w:lang w:val="en-US"/>
      </w:rPr>
    </w:pPr>
    <w:r>
      <w:rPr>
        <w:rFonts w:ascii="Arial" w:hAnsi="Arial" w:cs="Arial"/>
        <w:sz w:val="18"/>
        <w:lang w:val="en-US"/>
      </w:rPr>
      <w:t>09_TC_RPPO_2016</w:t>
    </w:r>
    <w:r w:rsidR="00B110E0">
      <w:rPr>
        <w:rFonts w:ascii="Arial" w:hAnsi="Arial" w:cs="Arial"/>
        <w:sz w:val="18"/>
        <w:lang w:val="en-US"/>
      </w:rPr>
      <w:t>_Nov</w:t>
    </w:r>
    <w:r w:rsidR="009F7DF4">
      <w:rPr>
        <w:rFonts w:ascii="Arial" w:hAnsi="Arial" w:cs="Arial"/>
        <w:sz w:val="18"/>
        <w:lang w:val="en-US"/>
      </w:rPr>
      <w:t xml:space="preserve"> (06.6)</w:t>
    </w:r>
    <w:r>
      <w:rPr>
        <w:rFonts w:ascii="Arial" w:hAnsi="Arial"/>
        <w:sz w:val="18"/>
        <w:lang w:val="en-US"/>
      </w:rPr>
      <w:tab/>
      <w:t xml:space="preserve">2016 </w:t>
    </w:r>
    <w:r w:rsidR="004F431E" w:rsidRPr="004F431E">
      <w:rPr>
        <w:rFonts w:ascii="Arial" w:hAnsi="Arial"/>
        <w:sz w:val="18"/>
        <w:lang w:val="en-US"/>
      </w:rPr>
      <w:t xml:space="preserve">IPPC Regional Workshops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04671" w14:textId="35D4E5B0" w:rsidR="00726D1D" w:rsidRPr="00C17400" w:rsidRDefault="00F60D2D" w:rsidP="000F57D3">
    <w:pPr>
      <w:pBdr>
        <w:bottom w:val="single" w:sz="4" w:space="4" w:color="auto"/>
      </w:pBdr>
      <w:tabs>
        <w:tab w:val="left" w:pos="1134"/>
        <w:tab w:val="right" w:pos="9072"/>
      </w:tabs>
      <w:rPr>
        <w:rFonts w:ascii="Arial" w:hAnsi="Arial"/>
        <w:sz w:val="18"/>
        <w:lang w:val="en-US"/>
      </w:rPr>
    </w:pPr>
    <w:r>
      <w:rPr>
        <w:rFonts w:ascii="Arial" w:hAnsi="Arial"/>
        <w:sz w:val="18"/>
        <w:lang w:val="en-US"/>
      </w:rPr>
      <w:t xml:space="preserve">2016 </w:t>
    </w:r>
    <w:r w:rsidR="004F431E" w:rsidRPr="004F431E">
      <w:rPr>
        <w:rFonts w:ascii="Arial" w:hAnsi="Arial"/>
        <w:sz w:val="18"/>
        <w:lang w:val="en-US"/>
      </w:rPr>
      <w:t>IPPC Regional Workshops</w:t>
    </w:r>
    <w:r w:rsidR="00C17400" w:rsidRPr="00360FE8">
      <w:rPr>
        <w:rFonts w:ascii="Arial" w:hAnsi="Arial"/>
        <w:sz w:val="18"/>
        <w:lang w:val="en-US"/>
      </w:rPr>
      <w:tab/>
    </w:r>
    <w:r>
      <w:rPr>
        <w:rFonts w:ascii="Arial" w:hAnsi="Arial" w:cs="Arial"/>
        <w:sz w:val="18"/>
        <w:lang w:val="en-US"/>
      </w:rPr>
      <w:t>09_TC_RPPO_2016</w:t>
    </w:r>
    <w:r w:rsidR="00B110E0">
      <w:rPr>
        <w:rFonts w:ascii="Arial" w:hAnsi="Arial" w:cs="Arial"/>
        <w:sz w:val="18"/>
        <w:lang w:val="en-US"/>
      </w:rPr>
      <w:t>_Nov</w:t>
    </w:r>
    <w:r w:rsidR="009F7DF4">
      <w:rPr>
        <w:rFonts w:ascii="Arial" w:hAnsi="Arial" w:cs="Arial"/>
        <w:sz w:val="18"/>
        <w:lang w:val="en-US"/>
      </w:rPr>
      <w:t xml:space="preserve"> (06.6)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6FA5" w14:textId="12FAAD3E" w:rsidR="00AF5452" w:rsidRPr="007A266C" w:rsidRDefault="007B5B14" w:rsidP="007B5B14">
    <w:pPr>
      <w:pBdr>
        <w:bottom w:val="single" w:sz="4" w:space="4" w:color="auto"/>
      </w:pBdr>
      <w:tabs>
        <w:tab w:val="left" w:pos="1134"/>
        <w:tab w:val="right" w:pos="9072"/>
      </w:tabs>
      <w:ind w:firstLine="1138"/>
      <w:rPr>
        <w:rFonts w:ascii="Arial" w:hAnsi="Arial"/>
        <w:sz w:val="18"/>
        <w:lang w:val="en-US"/>
      </w:rPr>
    </w:pPr>
    <w:r>
      <w:rPr>
        <w:rFonts w:ascii="Arial" w:hAnsi="Arial"/>
        <w:noProof/>
        <w:sz w:val="18"/>
        <w:lang w:val="en-US"/>
      </w:rPr>
      <w:drawing>
        <wp:anchor distT="0" distB="0" distL="114300" distR="114300" simplePos="0" relativeHeight="251657216" behindDoc="0" locked="0" layoutInCell="1" allowOverlap="1" wp14:anchorId="2559A782" wp14:editId="5D586BD0">
          <wp:simplePos x="0" y="0"/>
          <wp:positionH relativeFrom="column">
            <wp:posOffset>-929691</wp:posOffset>
          </wp:positionH>
          <wp:positionV relativeFrom="paragraph">
            <wp:posOffset>-486791</wp:posOffset>
          </wp:positionV>
          <wp:extent cx="7610475" cy="343814"/>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43417" cy="345302"/>
                  </a:xfrm>
                  <a:prstGeom prst="rect">
                    <a:avLst/>
                  </a:prstGeom>
                  <a:noFill/>
                  <a:ln w="9525">
                    <a:noFill/>
                    <a:miter lim="800000"/>
                    <a:headEnd/>
                    <a:tailEnd/>
                  </a:ln>
                </pic:spPr>
              </pic:pic>
            </a:graphicData>
          </a:graphic>
          <wp14:sizeRelV relativeFrom="margin">
            <wp14:pctHeight>0</wp14:pctHeight>
          </wp14:sizeRelV>
        </wp:anchor>
      </w:drawing>
    </w:r>
    <w:r w:rsidR="00E93A4D">
      <w:rPr>
        <w:rFonts w:ascii="Arial" w:hAnsi="Arial"/>
        <w:noProof/>
        <w:sz w:val="18"/>
        <w:lang w:val="en-US"/>
      </w:rPr>
      <w:drawing>
        <wp:anchor distT="0" distB="0" distL="114300" distR="114300" simplePos="0" relativeHeight="251663360" behindDoc="1" locked="0" layoutInCell="1" allowOverlap="1" wp14:anchorId="4DA41EEC" wp14:editId="299A84FE">
          <wp:simplePos x="0" y="0"/>
          <wp:positionH relativeFrom="margin">
            <wp:align>left</wp:align>
          </wp:positionH>
          <wp:positionV relativeFrom="paragraph">
            <wp:posOffset>-40640</wp:posOffset>
          </wp:positionV>
          <wp:extent cx="643890" cy="333375"/>
          <wp:effectExtent l="0" t="0" r="3810" b="9525"/>
          <wp:wrapNone/>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3890" cy="333375"/>
                  </a:xfrm>
                  <a:prstGeom prst="rect">
                    <a:avLst/>
                  </a:prstGeom>
                  <a:noFill/>
                  <a:ln w="9525">
                    <a:noFill/>
                    <a:miter lim="800000"/>
                    <a:headEnd/>
                    <a:tailEnd/>
                  </a:ln>
                </pic:spPr>
              </pic:pic>
            </a:graphicData>
          </a:graphic>
        </wp:anchor>
      </w:drawing>
    </w:r>
    <w:r w:rsidR="00AF5452" w:rsidRPr="00184E8F">
      <w:rPr>
        <w:rFonts w:ascii="Arial" w:hAnsi="Arial"/>
        <w:sz w:val="18"/>
        <w:lang w:val="en-US"/>
      </w:rPr>
      <w:t>International</w:t>
    </w:r>
    <w:r w:rsidR="00AF5452">
      <w:rPr>
        <w:rFonts w:ascii="Arial" w:hAnsi="Arial"/>
        <w:sz w:val="18"/>
        <w:lang w:val="en-US"/>
      </w:rPr>
      <w:t xml:space="preserve"> Plant Protection Convention </w:t>
    </w:r>
    <w:r w:rsidR="00AF5452">
      <w:rPr>
        <w:rFonts w:ascii="Arial" w:hAnsi="Arial"/>
        <w:sz w:val="18"/>
        <w:lang w:val="en-US"/>
      </w:rPr>
      <w:tab/>
    </w:r>
    <w:r w:rsidR="007A266C">
      <w:rPr>
        <w:rFonts w:ascii="Arial" w:hAnsi="Arial" w:cs="Arial"/>
        <w:sz w:val="18"/>
        <w:lang w:val="en-US"/>
      </w:rPr>
      <w:t>0</w:t>
    </w:r>
    <w:r>
      <w:rPr>
        <w:rFonts w:ascii="Arial" w:hAnsi="Arial" w:cs="Arial"/>
        <w:sz w:val="18"/>
        <w:lang w:val="en-US"/>
      </w:rPr>
      <w:t>9</w:t>
    </w:r>
    <w:r w:rsidR="007A266C">
      <w:rPr>
        <w:rFonts w:ascii="Arial" w:hAnsi="Arial" w:cs="Arial"/>
        <w:sz w:val="18"/>
        <w:lang w:val="en-US"/>
      </w:rPr>
      <w:t>_TC_RPPO_2016</w:t>
    </w:r>
    <w:r w:rsidR="00B110E0">
      <w:rPr>
        <w:rFonts w:ascii="Arial" w:hAnsi="Arial" w:cs="Arial"/>
        <w:sz w:val="18"/>
        <w:lang w:val="en-US"/>
      </w:rPr>
      <w:t>_Nov</w:t>
    </w:r>
  </w:p>
  <w:p w14:paraId="2E2DEAFA" w14:textId="499068B8" w:rsidR="00AF5452" w:rsidRPr="00AF5452" w:rsidRDefault="007B5B14" w:rsidP="007B5B14">
    <w:pPr>
      <w:pBdr>
        <w:bottom w:val="single" w:sz="4" w:space="4" w:color="auto"/>
      </w:pBdr>
      <w:tabs>
        <w:tab w:val="left" w:pos="1134"/>
        <w:tab w:val="right" w:pos="9072"/>
      </w:tabs>
      <w:ind w:firstLine="1138"/>
      <w:rPr>
        <w:rFonts w:ascii="Arial" w:hAnsi="Arial" w:cs="Arial"/>
        <w:i/>
        <w:sz w:val="18"/>
        <w:lang w:val="ka-GE" w:eastAsia="ja-JP"/>
      </w:rPr>
    </w:pPr>
    <w:r>
      <w:rPr>
        <w:rFonts w:ascii="Arial" w:hAnsi="Arial"/>
        <w:i/>
        <w:sz w:val="18"/>
        <w:lang w:val="en-US"/>
      </w:rPr>
      <w:t xml:space="preserve">2016 </w:t>
    </w:r>
    <w:r w:rsidR="004F431E">
      <w:rPr>
        <w:rFonts w:ascii="Arial" w:hAnsi="Arial"/>
        <w:i/>
        <w:sz w:val="18"/>
        <w:lang w:val="en-US"/>
      </w:rPr>
      <w:t>IPPC Regional Workshops</w:t>
    </w:r>
    <w:r w:rsidR="00AF5452">
      <w:rPr>
        <w:rFonts w:ascii="Arial" w:hAnsi="Arial"/>
        <w:i/>
        <w:sz w:val="18"/>
        <w:lang w:val="en-US"/>
      </w:rPr>
      <w:tab/>
      <w:t>Agenda item:</w:t>
    </w:r>
    <w:r w:rsidR="005E6059">
      <w:rPr>
        <w:rFonts w:ascii="Arial" w:hAnsi="Arial"/>
        <w:i/>
        <w:sz w:val="18"/>
        <w:lang w:val="en-US"/>
      </w:rPr>
      <w:t xml:space="preserve"> </w:t>
    </w:r>
    <w:r>
      <w:rPr>
        <w:rFonts w:ascii="Arial" w:hAnsi="Arial"/>
        <w:i/>
        <w:sz w:val="18"/>
        <w:lang w:val="en-US"/>
      </w:rPr>
      <w:t>06.6</w:t>
    </w:r>
    <w:r w:rsidR="00AF5452">
      <w:rPr>
        <w:rFonts w:ascii="Arial" w:hAnsi="Arial"/>
        <w:i/>
        <w:sz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210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CC0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469F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CE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0E25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2C4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06CF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0E5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E874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E0F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C992785"/>
    <w:multiLevelType w:val="multilevel"/>
    <w:tmpl w:val="1DAA5988"/>
    <w:styleLink w:val="WesternSequentialList"/>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6B2964"/>
    <w:multiLevelType w:val="hybridMultilevel"/>
    <w:tmpl w:val="281868AC"/>
    <w:lvl w:ilvl="0" w:tplc="F6E09544">
      <w:start w:val="1"/>
      <w:numFmt w:val="bullet"/>
      <w:lvlText w:val="•"/>
      <w:lvlJc w:val="left"/>
      <w:pPr>
        <w:tabs>
          <w:tab w:val="num" w:pos="720"/>
        </w:tabs>
        <w:ind w:left="720" w:hanging="360"/>
      </w:pPr>
      <w:rPr>
        <w:rFonts w:ascii="Arial" w:hAnsi="Arial" w:hint="default"/>
      </w:rPr>
    </w:lvl>
    <w:lvl w:ilvl="1" w:tplc="CA40A0A2" w:tentative="1">
      <w:start w:val="1"/>
      <w:numFmt w:val="bullet"/>
      <w:lvlText w:val="•"/>
      <w:lvlJc w:val="left"/>
      <w:pPr>
        <w:tabs>
          <w:tab w:val="num" w:pos="1440"/>
        </w:tabs>
        <w:ind w:left="1440" w:hanging="360"/>
      </w:pPr>
      <w:rPr>
        <w:rFonts w:ascii="Arial" w:hAnsi="Arial" w:hint="default"/>
      </w:rPr>
    </w:lvl>
    <w:lvl w:ilvl="2" w:tplc="E7B22406" w:tentative="1">
      <w:start w:val="1"/>
      <w:numFmt w:val="bullet"/>
      <w:lvlText w:val="•"/>
      <w:lvlJc w:val="left"/>
      <w:pPr>
        <w:tabs>
          <w:tab w:val="num" w:pos="2160"/>
        </w:tabs>
        <w:ind w:left="2160" w:hanging="360"/>
      </w:pPr>
      <w:rPr>
        <w:rFonts w:ascii="Arial" w:hAnsi="Arial" w:hint="default"/>
      </w:rPr>
    </w:lvl>
    <w:lvl w:ilvl="3" w:tplc="493AC92C" w:tentative="1">
      <w:start w:val="1"/>
      <w:numFmt w:val="bullet"/>
      <w:lvlText w:val="•"/>
      <w:lvlJc w:val="left"/>
      <w:pPr>
        <w:tabs>
          <w:tab w:val="num" w:pos="2880"/>
        </w:tabs>
        <w:ind w:left="2880" w:hanging="360"/>
      </w:pPr>
      <w:rPr>
        <w:rFonts w:ascii="Arial" w:hAnsi="Arial" w:hint="default"/>
      </w:rPr>
    </w:lvl>
    <w:lvl w:ilvl="4" w:tplc="3FD8A13A" w:tentative="1">
      <w:start w:val="1"/>
      <w:numFmt w:val="bullet"/>
      <w:lvlText w:val="•"/>
      <w:lvlJc w:val="left"/>
      <w:pPr>
        <w:tabs>
          <w:tab w:val="num" w:pos="3600"/>
        </w:tabs>
        <w:ind w:left="3600" w:hanging="360"/>
      </w:pPr>
      <w:rPr>
        <w:rFonts w:ascii="Arial" w:hAnsi="Arial" w:hint="default"/>
      </w:rPr>
    </w:lvl>
    <w:lvl w:ilvl="5" w:tplc="A4FC0278" w:tentative="1">
      <w:start w:val="1"/>
      <w:numFmt w:val="bullet"/>
      <w:lvlText w:val="•"/>
      <w:lvlJc w:val="left"/>
      <w:pPr>
        <w:tabs>
          <w:tab w:val="num" w:pos="4320"/>
        </w:tabs>
        <w:ind w:left="4320" w:hanging="360"/>
      </w:pPr>
      <w:rPr>
        <w:rFonts w:ascii="Arial" w:hAnsi="Arial" w:hint="default"/>
      </w:rPr>
    </w:lvl>
    <w:lvl w:ilvl="6" w:tplc="1BDAF13C" w:tentative="1">
      <w:start w:val="1"/>
      <w:numFmt w:val="bullet"/>
      <w:lvlText w:val="•"/>
      <w:lvlJc w:val="left"/>
      <w:pPr>
        <w:tabs>
          <w:tab w:val="num" w:pos="5040"/>
        </w:tabs>
        <w:ind w:left="5040" w:hanging="360"/>
      </w:pPr>
      <w:rPr>
        <w:rFonts w:ascii="Arial" w:hAnsi="Arial" w:hint="default"/>
      </w:rPr>
    </w:lvl>
    <w:lvl w:ilvl="7" w:tplc="29C26358" w:tentative="1">
      <w:start w:val="1"/>
      <w:numFmt w:val="bullet"/>
      <w:lvlText w:val="•"/>
      <w:lvlJc w:val="left"/>
      <w:pPr>
        <w:tabs>
          <w:tab w:val="num" w:pos="5760"/>
        </w:tabs>
        <w:ind w:left="5760" w:hanging="360"/>
      </w:pPr>
      <w:rPr>
        <w:rFonts w:ascii="Arial" w:hAnsi="Arial" w:hint="default"/>
      </w:rPr>
    </w:lvl>
    <w:lvl w:ilvl="8" w:tplc="7C4E21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A2B8D"/>
    <w:multiLevelType w:val="multilevel"/>
    <w:tmpl w:val="06E871E4"/>
    <w:numStyleLink w:val="IPPParagraphnumberedlist"/>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8A57E3D"/>
    <w:multiLevelType w:val="hybridMultilevel"/>
    <w:tmpl w:val="73A056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5B6E66E6"/>
    <w:multiLevelType w:val="hybridMultilevel"/>
    <w:tmpl w:val="91BE98F6"/>
    <w:lvl w:ilvl="0" w:tplc="8992339E">
      <w:start w:val="1"/>
      <w:numFmt w:val="bullet"/>
      <w:lvlText w:val="•"/>
      <w:lvlJc w:val="left"/>
      <w:pPr>
        <w:tabs>
          <w:tab w:val="num" w:pos="720"/>
        </w:tabs>
        <w:ind w:left="720" w:hanging="360"/>
      </w:pPr>
      <w:rPr>
        <w:rFonts w:ascii="Arial" w:hAnsi="Arial" w:cs="Times New Roman" w:hint="default"/>
      </w:rPr>
    </w:lvl>
    <w:lvl w:ilvl="1" w:tplc="973E8C78">
      <w:start w:val="1"/>
      <w:numFmt w:val="bullet"/>
      <w:lvlText w:val="•"/>
      <w:lvlJc w:val="left"/>
      <w:pPr>
        <w:tabs>
          <w:tab w:val="num" w:pos="1440"/>
        </w:tabs>
        <w:ind w:left="1440" w:hanging="360"/>
      </w:pPr>
      <w:rPr>
        <w:rFonts w:ascii="Arial" w:hAnsi="Arial" w:cs="Times New Roman" w:hint="default"/>
      </w:rPr>
    </w:lvl>
    <w:lvl w:ilvl="2" w:tplc="7652B13C">
      <w:start w:val="1"/>
      <w:numFmt w:val="bullet"/>
      <w:lvlText w:val="•"/>
      <w:lvlJc w:val="left"/>
      <w:pPr>
        <w:tabs>
          <w:tab w:val="num" w:pos="2160"/>
        </w:tabs>
        <w:ind w:left="2160" w:hanging="360"/>
      </w:pPr>
      <w:rPr>
        <w:rFonts w:ascii="Arial" w:hAnsi="Arial" w:cs="Times New Roman" w:hint="default"/>
      </w:rPr>
    </w:lvl>
    <w:lvl w:ilvl="3" w:tplc="FA6227DA">
      <w:start w:val="1"/>
      <w:numFmt w:val="bullet"/>
      <w:lvlText w:val="•"/>
      <w:lvlJc w:val="left"/>
      <w:pPr>
        <w:tabs>
          <w:tab w:val="num" w:pos="2880"/>
        </w:tabs>
        <w:ind w:left="2880" w:hanging="360"/>
      </w:pPr>
      <w:rPr>
        <w:rFonts w:ascii="Arial" w:hAnsi="Arial" w:cs="Times New Roman" w:hint="default"/>
      </w:rPr>
    </w:lvl>
    <w:lvl w:ilvl="4" w:tplc="58145364">
      <w:start w:val="1"/>
      <w:numFmt w:val="bullet"/>
      <w:lvlText w:val="•"/>
      <w:lvlJc w:val="left"/>
      <w:pPr>
        <w:tabs>
          <w:tab w:val="num" w:pos="3600"/>
        </w:tabs>
        <w:ind w:left="3600" w:hanging="360"/>
      </w:pPr>
      <w:rPr>
        <w:rFonts w:ascii="Arial" w:hAnsi="Arial" w:cs="Times New Roman" w:hint="default"/>
      </w:rPr>
    </w:lvl>
    <w:lvl w:ilvl="5" w:tplc="7480D238">
      <w:start w:val="1"/>
      <w:numFmt w:val="bullet"/>
      <w:lvlText w:val="•"/>
      <w:lvlJc w:val="left"/>
      <w:pPr>
        <w:tabs>
          <w:tab w:val="num" w:pos="4320"/>
        </w:tabs>
        <w:ind w:left="4320" w:hanging="360"/>
      </w:pPr>
      <w:rPr>
        <w:rFonts w:ascii="Arial" w:hAnsi="Arial" w:cs="Times New Roman" w:hint="default"/>
      </w:rPr>
    </w:lvl>
    <w:lvl w:ilvl="6" w:tplc="2830FBD0">
      <w:start w:val="1"/>
      <w:numFmt w:val="bullet"/>
      <w:lvlText w:val="•"/>
      <w:lvlJc w:val="left"/>
      <w:pPr>
        <w:tabs>
          <w:tab w:val="num" w:pos="5040"/>
        </w:tabs>
        <w:ind w:left="5040" w:hanging="360"/>
      </w:pPr>
      <w:rPr>
        <w:rFonts w:ascii="Arial" w:hAnsi="Arial" w:cs="Times New Roman" w:hint="default"/>
      </w:rPr>
    </w:lvl>
    <w:lvl w:ilvl="7" w:tplc="024EBE90">
      <w:start w:val="1"/>
      <w:numFmt w:val="bullet"/>
      <w:lvlText w:val="•"/>
      <w:lvlJc w:val="left"/>
      <w:pPr>
        <w:tabs>
          <w:tab w:val="num" w:pos="5760"/>
        </w:tabs>
        <w:ind w:left="5760" w:hanging="360"/>
      </w:pPr>
      <w:rPr>
        <w:rFonts w:ascii="Arial" w:hAnsi="Arial" w:cs="Times New Roman" w:hint="default"/>
      </w:rPr>
    </w:lvl>
    <w:lvl w:ilvl="8" w:tplc="4BBCE67E">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FFA4880"/>
    <w:multiLevelType w:val="multilevel"/>
    <w:tmpl w:val="AAE80EC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E4207"/>
    <w:multiLevelType w:val="multilevel"/>
    <w:tmpl w:val="E938B568"/>
    <w:lvl w:ilvl="0">
      <w:start w:val="1"/>
      <w:numFmt w:val="decimal"/>
      <w:lvlText w:val="%1."/>
      <w:lvlJc w:val="left"/>
      <w:pPr>
        <w:ind w:left="0" w:firstLine="0"/>
      </w:pPr>
      <w:rPr>
        <w:rFonts w:ascii="Times New Roman" w:hAnsi="Times New Roman" w:cs="Akhbar MT" w:hint="default"/>
        <w:b w:val="0"/>
        <w:bCs w:val="0"/>
        <w:i w:val="0"/>
        <w:iCs w:val="0"/>
        <w:sz w:val="22"/>
        <w:szCs w:val="22"/>
      </w:rPr>
    </w:lvl>
    <w:lvl w:ilvl="1">
      <w:start w:val="1"/>
      <w:numFmt w:val="bullet"/>
      <w:lvlText w:val=""/>
      <w:lvlJc w:val="left"/>
      <w:pPr>
        <w:ind w:left="720" w:firstLine="0"/>
      </w:pPr>
      <w:rPr>
        <w:rFonts w:ascii="Symbol" w:hAnsi="Symbol" w:hint="default"/>
        <w:color w:val="000000" w:themeColor="text1"/>
      </w:r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7" w15:restartNumberingAfterBreak="0">
    <w:nsid w:val="73BD7757"/>
    <w:multiLevelType w:val="hybridMultilevel"/>
    <w:tmpl w:val="5EC04EF8"/>
    <w:lvl w:ilvl="0" w:tplc="1ABE74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14"/>
    <w:lvlOverride w:ilvl="0">
      <w:lvl w:ilvl="0">
        <w:start w:val="1"/>
        <w:numFmt w:val="decimal"/>
        <w:lvlText w:val="%1)"/>
        <w:lvlJc w:val="left"/>
        <w:pPr>
          <w:ind w:left="720" w:hanging="363"/>
        </w:pPr>
        <w:rPr>
          <w:rFonts w:hint="default"/>
        </w:rPr>
      </w:lvl>
    </w:lvlOverride>
    <w:lvlOverride w:ilvl="1">
      <w:lvl w:ilvl="1">
        <w:start w:val="1"/>
        <w:numFmt w:val="lowerLetter"/>
        <w:lvlText w:val="%2)"/>
        <w:lvlJc w:val="left"/>
        <w:pPr>
          <w:ind w:left="1077" w:hanging="357"/>
        </w:pPr>
        <w:rPr>
          <w:rFonts w:hint="default"/>
        </w:rPr>
      </w:lvl>
    </w:lvlOverride>
    <w:lvlOverride w:ilvl="2">
      <w:lvl w:ilvl="2">
        <w:start w:val="1"/>
        <w:numFmt w:val="lowerRoman"/>
        <w:lvlText w:val="%3)"/>
        <w:lvlJc w:val="left"/>
        <w:pPr>
          <w:ind w:left="1440" w:hanging="363"/>
        </w:pPr>
        <w:rPr>
          <w:rFonts w:hint="default"/>
        </w:rPr>
      </w:lvl>
    </w:lvlOverride>
    <w:lvlOverride w:ilvl="3">
      <w:lvl w:ilvl="3">
        <w:start w:val="1"/>
        <w:numFmt w:val="lowerLetter"/>
        <w:lvlText w:val="%4)"/>
        <w:lvlJc w:val="left"/>
        <w:pPr>
          <w:ind w:left="1797" w:hanging="357"/>
        </w:pPr>
        <w:rPr>
          <w:rFonts w:hint="default"/>
        </w:rPr>
      </w:lvl>
    </w:lvlOverride>
    <w:lvlOverride w:ilvl="4">
      <w:lvl w:ilvl="4">
        <w:start w:val="1"/>
        <w:numFmt w:val="decimal"/>
        <w:lvlText w:val="%5)"/>
        <w:lvlJc w:val="left"/>
        <w:pPr>
          <w:ind w:left="2160" w:hanging="363"/>
        </w:pPr>
        <w:rPr>
          <w:rFonts w:hint="default"/>
        </w:rPr>
      </w:lvl>
    </w:lvlOverride>
    <w:lvlOverride w:ilvl="5">
      <w:lvl w:ilvl="5">
        <w:start w:val="1"/>
        <w:numFmt w:val="lowerLetter"/>
        <w:lvlText w:val="%6)"/>
        <w:lvlJc w:val="left"/>
        <w:pPr>
          <w:ind w:left="2517" w:hanging="357"/>
        </w:pPr>
        <w:rPr>
          <w:rFonts w:hint="default"/>
        </w:rPr>
      </w:lvl>
    </w:lvlOverride>
    <w:lvlOverride w:ilvl="6">
      <w:lvl w:ilvl="6">
        <w:start w:val="1"/>
        <w:numFmt w:val="lowerRoman"/>
        <w:lvlText w:val="%7)"/>
        <w:lvlJc w:val="left"/>
        <w:pPr>
          <w:ind w:left="2880" w:hanging="363"/>
        </w:pPr>
        <w:rPr>
          <w:rFonts w:hint="default"/>
        </w:rPr>
      </w:lvl>
    </w:lvlOverride>
    <w:lvlOverride w:ilvl="7">
      <w:lvl w:ilvl="7">
        <w:start w:val="1"/>
        <w:numFmt w:val="lowerLetter"/>
        <w:lvlText w:val="%8)"/>
        <w:lvlJc w:val="left"/>
        <w:pPr>
          <w:tabs>
            <w:tab w:val="num" w:pos="3238"/>
          </w:tabs>
          <w:ind w:left="3595" w:hanging="357"/>
        </w:pPr>
        <w:rPr>
          <w:rFonts w:hint="default"/>
        </w:rPr>
      </w:lvl>
    </w:lvlOverride>
    <w:lvlOverride w:ilvl="8">
      <w:lvl w:ilvl="8">
        <w:start w:val="1"/>
        <w:numFmt w:val="decimal"/>
        <w:lvlText w:val="%9)"/>
        <w:lvlJc w:val="left"/>
        <w:pPr>
          <w:ind w:left="3952" w:hanging="357"/>
        </w:pPr>
        <w:rPr>
          <w:rFonts w:hint="default"/>
        </w:rPr>
      </w:lvl>
    </w:lvlOverride>
  </w:num>
  <w:num w:numId="4">
    <w:abstractNumId w:val="14"/>
  </w:num>
  <w:num w:numId="5">
    <w:abstractNumId w:val="23"/>
  </w:num>
  <w:num w:numId="6">
    <w:abstractNumId w:val="21"/>
  </w:num>
  <w:num w:numId="7">
    <w:abstractNumId w:val="26"/>
  </w:num>
  <w:num w:numId="8">
    <w:abstractNumId w:val="23"/>
  </w:num>
  <w:num w:numId="9">
    <w:abstractNumId w:val="23"/>
  </w:num>
  <w:num w:numId="10">
    <w:abstractNumId w:val="27"/>
  </w:num>
  <w:num w:numId="11">
    <w:abstractNumId w:val="22"/>
  </w:num>
  <w:num w:numId="12">
    <w:abstractNumId w:val="17"/>
  </w:num>
  <w:num w:numId="1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2"/>
  </w:num>
  <w:num w:numId="26">
    <w:abstractNumId w:val="11"/>
  </w:num>
  <w:num w:numId="27">
    <w:abstractNumId w:val="28"/>
  </w:num>
  <w:num w:numId="28">
    <w:abstractNumId w:val="20"/>
  </w:num>
  <w:num w:numId="29">
    <w:abstractNumId w:val="16"/>
  </w:num>
  <w:num w:numId="30">
    <w:abstractNumId w:val="29"/>
  </w:num>
  <w:num w:numId="31">
    <w:abstractNumId w:val="13"/>
  </w:num>
  <w:num w:numId="32">
    <w:abstractNumId w:val="10"/>
  </w:num>
  <w:num w:numId="33">
    <w:abstractNumId w:val="1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36"/>
    <w:rsid w:val="00011231"/>
    <w:rsid w:val="000C63DE"/>
    <w:rsid w:val="000E3191"/>
    <w:rsid w:val="000F18F6"/>
    <w:rsid w:val="000F57D3"/>
    <w:rsid w:val="000F729C"/>
    <w:rsid w:val="00103EF4"/>
    <w:rsid w:val="001373B6"/>
    <w:rsid w:val="00146004"/>
    <w:rsid w:val="0015068C"/>
    <w:rsid w:val="0019710F"/>
    <w:rsid w:val="001C4223"/>
    <w:rsid w:val="0022317E"/>
    <w:rsid w:val="002259BD"/>
    <w:rsid w:val="00260E4E"/>
    <w:rsid w:val="00260E8D"/>
    <w:rsid w:val="002629E4"/>
    <w:rsid w:val="002775E2"/>
    <w:rsid w:val="0028404F"/>
    <w:rsid w:val="002954FC"/>
    <w:rsid w:val="002A35D5"/>
    <w:rsid w:val="002B73E5"/>
    <w:rsid w:val="00310388"/>
    <w:rsid w:val="00317F69"/>
    <w:rsid w:val="00331ADA"/>
    <w:rsid w:val="00336373"/>
    <w:rsid w:val="00362136"/>
    <w:rsid w:val="00385D93"/>
    <w:rsid w:val="00386A98"/>
    <w:rsid w:val="003D7FDB"/>
    <w:rsid w:val="003F1DF9"/>
    <w:rsid w:val="00434673"/>
    <w:rsid w:val="00440D8D"/>
    <w:rsid w:val="00465D9F"/>
    <w:rsid w:val="004710A6"/>
    <w:rsid w:val="004F4034"/>
    <w:rsid w:val="004F431E"/>
    <w:rsid w:val="00504DC0"/>
    <w:rsid w:val="00515E22"/>
    <w:rsid w:val="00534A1C"/>
    <w:rsid w:val="00536906"/>
    <w:rsid w:val="00592287"/>
    <w:rsid w:val="005A4885"/>
    <w:rsid w:val="005B2768"/>
    <w:rsid w:val="005B583E"/>
    <w:rsid w:val="005C6C53"/>
    <w:rsid w:val="005D71C1"/>
    <w:rsid w:val="005E0F11"/>
    <w:rsid w:val="005E15C5"/>
    <w:rsid w:val="005E6059"/>
    <w:rsid w:val="005E6EB8"/>
    <w:rsid w:val="005F0361"/>
    <w:rsid w:val="006060CB"/>
    <w:rsid w:val="00616D86"/>
    <w:rsid w:val="00641C7B"/>
    <w:rsid w:val="00662655"/>
    <w:rsid w:val="006850F4"/>
    <w:rsid w:val="006D0C79"/>
    <w:rsid w:val="006D5C50"/>
    <w:rsid w:val="006E5966"/>
    <w:rsid w:val="006F4BBF"/>
    <w:rsid w:val="007106DD"/>
    <w:rsid w:val="007247BB"/>
    <w:rsid w:val="00726D1D"/>
    <w:rsid w:val="00730F6F"/>
    <w:rsid w:val="00754249"/>
    <w:rsid w:val="007A266C"/>
    <w:rsid w:val="007A57F1"/>
    <w:rsid w:val="007B357E"/>
    <w:rsid w:val="007B5002"/>
    <w:rsid w:val="007B5B14"/>
    <w:rsid w:val="007C0AAC"/>
    <w:rsid w:val="007C1F81"/>
    <w:rsid w:val="007C37AA"/>
    <w:rsid w:val="007C5C72"/>
    <w:rsid w:val="00831110"/>
    <w:rsid w:val="00831178"/>
    <w:rsid w:val="00842145"/>
    <w:rsid w:val="008573FB"/>
    <w:rsid w:val="0089224F"/>
    <w:rsid w:val="008A14E2"/>
    <w:rsid w:val="008A3F9C"/>
    <w:rsid w:val="008C57DD"/>
    <w:rsid w:val="008D3927"/>
    <w:rsid w:val="008D4A8E"/>
    <w:rsid w:val="008E1D82"/>
    <w:rsid w:val="00931B1D"/>
    <w:rsid w:val="00945EDA"/>
    <w:rsid w:val="009A233A"/>
    <w:rsid w:val="009A4ECB"/>
    <w:rsid w:val="009C087B"/>
    <w:rsid w:val="009C2626"/>
    <w:rsid w:val="009C748C"/>
    <w:rsid w:val="009F7DF4"/>
    <w:rsid w:val="00A405BA"/>
    <w:rsid w:val="00AA4908"/>
    <w:rsid w:val="00AB4D4E"/>
    <w:rsid w:val="00AD310F"/>
    <w:rsid w:val="00AE7046"/>
    <w:rsid w:val="00AF5452"/>
    <w:rsid w:val="00B110E0"/>
    <w:rsid w:val="00B3608F"/>
    <w:rsid w:val="00B633D2"/>
    <w:rsid w:val="00B814EC"/>
    <w:rsid w:val="00B81CDB"/>
    <w:rsid w:val="00B841B3"/>
    <w:rsid w:val="00BC7284"/>
    <w:rsid w:val="00BD0884"/>
    <w:rsid w:val="00C0715D"/>
    <w:rsid w:val="00C17400"/>
    <w:rsid w:val="00C436C6"/>
    <w:rsid w:val="00C5768C"/>
    <w:rsid w:val="00C633DC"/>
    <w:rsid w:val="00C71ECA"/>
    <w:rsid w:val="00CB594D"/>
    <w:rsid w:val="00CF77BF"/>
    <w:rsid w:val="00D00D3C"/>
    <w:rsid w:val="00D20FFE"/>
    <w:rsid w:val="00D41F8D"/>
    <w:rsid w:val="00D81A4C"/>
    <w:rsid w:val="00DC2FD5"/>
    <w:rsid w:val="00DC522E"/>
    <w:rsid w:val="00DD16DA"/>
    <w:rsid w:val="00DD3028"/>
    <w:rsid w:val="00DE7920"/>
    <w:rsid w:val="00DF2775"/>
    <w:rsid w:val="00DF56FD"/>
    <w:rsid w:val="00E01791"/>
    <w:rsid w:val="00E03228"/>
    <w:rsid w:val="00E400F4"/>
    <w:rsid w:val="00E82720"/>
    <w:rsid w:val="00E93A4D"/>
    <w:rsid w:val="00E943F2"/>
    <w:rsid w:val="00EA46AC"/>
    <w:rsid w:val="00EB0ECC"/>
    <w:rsid w:val="00EC0131"/>
    <w:rsid w:val="00ED1CB4"/>
    <w:rsid w:val="00EE57D6"/>
    <w:rsid w:val="00F204D4"/>
    <w:rsid w:val="00F312A0"/>
    <w:rsid w:val="00F345CC"/>
    <w:rsid w:val="00F60D2D"/>
    <w:rsid w:val="00F719C3"/>
    <w:rsid w:val="00F71D8A"/>
    <w:rsid w:val="00FC5D09"/>
    <w:rsid w:val="00FE420E"/>
    <w:rsid w:val="00FF40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CA90C"/>
  <w15:docId w15:val="{0ABAD9AF-7D42-4F67-917C-EAF84E8E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75"/>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DF277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F277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F277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F27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2775"/>
  </w:style>
  <w:style w:type="paragraph" w:styleId="Header">
    <w:name w:val="header"/>
    <w:basedOn w:val="Normal"/>
    <w:link w:val="HeaderChar"/>
    <w:rsid w:val="00DF2775"/>
    <w:pPr>
      <w:tabs>
        <w:tab w:val="center" w:pos="4680"/>
        <w:tab w:val="right" w:pos="9360"/>
      </w:tabs>
    </w:pPr>
  </w:style>
  <w:style w:type="character" w:customStyle="1" w:styleId="HeaderChar">
    <w:name w:val="Header Char"/>
    <w:basedOn w:val="DefaultParagraphFont"/>
    <w:link w:val="Header"/>
    <w:rsid w:val="00DF2775"/>
    <w:rPr>
      <w:rFonts w:ascii="Times New Roman" w:eastAsia="MS Mincho" w:hAnsi="Times New Roman" w:cs="Times New Roman"/>
      <w:szCs w:val="24"/>
      <w:lang w:val="en-GB"/>
    </w:rPr>
  </w:style>
  <w:style w:type="paragraph" w:styleId="Footer">
    <w:name w:val="footer"/>
    <w:basedOn w:val="Normal"/>
    <w:link w:val="FooterChar"/>
    <w:rsid w:val="00DF2775"/>
    <w:pPr>
      <w:tabs>
        <w:tab w:val="center" w:pos="4680"/>
        <w:tab w:val="right" w:pos="9360"/>
      </w:tabs>
    </w:pPr>
  </w:style>
  <w:style w:type="character" w:customStyle="1" w:styleId="FooterChar">
    <w:name w:val="Footer Char"/>
    <w:basedOn w:val="DefaultParagraphFont"/>
    <w:link w:val="Footer"/>
    <w:rsid w:val="00DF2775"/>
    <w:rPr>
      <w:rFonts w:ascii="Times New Roman" w:eastAsia="MS Mincho" w:hAnsi="Times New Roman" w:cs="Times New Roman"/>
      <w:szCs w:val="24"/>
      <w:lang w:val="en-GB"/>
    </w:rPr>
  </w:style>
  <w:style w:type="paragraph" w:styleId="ListParagraph">
    <w:name w:val="List Paragraph"/>
    <w:basedOn w:val="Normal"/>
    <w:uiPriority w:val="34"/>
    <w:qFormat/>
    <w:rsid w:val="00DF2775"/>
    <w:pPr>
      <w:spacing w:line="240" w:lineRule="atLeast"/>
      <w:ind w:leftChars="400" w:left="800"/>
    </w:pPr>
    <w:rPr>
      <w:rFonts w:ascii="Verdana" w:eastAsia="Times New Roman" w:hAnsi="Verdana"/>
      <w:sz w:val="20"/>
      <w:lang w:val="nl-NL" w:eastAsia="nl-NL"/>
    </w:rPr>
  </w:style>
  <w:style w:type="paragraph" w:customStyle="1" w:styleId="IPPHeading1">
    <w:name w:val="IPP Heading1"/>
    <w:basedOn w:val="IPPNormal"/>
    <w:next w:val="IPPNormal"/>
    <w:qFormat/>
    <w:rsid w:val="00DF2775"/>
    <w:pPr>
      <w:keepNext/>
      <w:tabs>
        <w:tab w:val="left" w:pos="567"/>
      </w:tabs>
      <w:spacing w:before="240" w:after="120"/>
      <w:ind w:left="567" w:hanging="567"/>
      <w:jc w:val="left"/>
      <w:outlineLvl w:val="1"/>
    </w:pPr>
    <w:rPr>
      <w:b/>
      <w:sz w:val="24"/>
      <w:szCs w:val="22"/>
    </w:rPr>
  </w:style>
  <w:style w:type="numbering" w:customStyle="1" w:styleId="IPPParagraphnumberedlist">
    <w:name w:val="IPP Paragraph numbered list"/>
    <w:rsid w:val="00DF2775"/>
    <w:pPr>
      <w:numPr>
        <w:numId w:val="1"/>
      </w:numPr>
    </w:pPr>
  </w:style>
  <w:style w:type="paragraph" w:customStyle="1" w:styleId="IPPPargraphnumbering">
    <w:name w:val="IPP Pargraph numbering"/>
    <w:basedOn w:val="IPPNormal"/>
    <w:qFormat/>
    <w:rsid w:val="007B5B14"/>
    <w:pPr>
      <w:tabs>
        <w:tab w:val="num" w:pos="360"/>
      </w:tabs>
    </w:pPr>
    <w:rPr>
      <w:lang w:val="en-US"/>
    </w:rPr>
  </w:style>
  <w:style w:type="paragraph" w:styleId="FootnoteText">
    <w:name w:val="footnote text"/>
    <w:aliases w:val="FOOTNOTES,fn,single space"/>
    <w:basedOn w:val="Normal"/>
    <w:link w:val="FootnoteTextChar"/>
    <w:rsid w:val="00DF2775"/>
    <w:pPr>
      <w:spacing w:before="60"/>
    </w:pPr>
    <w:rPr>
      <w:sz w:val="20"/>
    </w:rPr>
  </w:style>
  <w:style w:type="character" w:customStyle="1" w:styleId="FootnoteTextChar">
    <w:name w:val="Footnote Text Char"/>
    <w:aliases w:val="FOOTNOTES Char,fn Char,single space Char"/>
    <w:basedOn w:val="DefaultParagraphFont"/>
    <w:link w:val="FootnoteText"/>
    <w:rsid w:val="00DF2775"/>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DF2775"/>
    <w:rPr>
      <w:vertAlign w:val="superscript"/>
    </w:rPr>
  </w:style>
  <w:style w:type="paragraph" w:customStyle="1" w:styleId="SequentialList">
    <w:name w:val="Sequential List"/>
    <w:basedOn w:val="ListParagraph"/>
    <w:link w:val="SequentialListChar"/>
    <w:qFormat/>
    <w:rsid w:val="007247BB"/>
    <w:pPr>
      <w:spacing w:before="120" w:line="240" w:lineRule="auto"/>
      <w:ind w:left="720" w:hanging="363"/>
    </w:pPr>
    <w:rPr>
      <w:rFonts w:cs="Akhbar MT"/>
      <w:sz w:val="22"/>
      <w:szCs w:val="30"/>
    </w:rPr>
  </w:style>
  <w:style w:type="character" w:customStyle="1" w:styleId="SequentialListChar">
    <w:name w:val="Sequential List Char"/>
    <w:basedOn w:val="DefaultParagraphFont"/>
    <w:link w:val="SequentialList"/>
    <w:rsid w:val="007247BB"/>
    <w:rPr>
      <w:rFonts w:ascii="Verdana" w:eastAsia="Times New Roman" w:hAnsi="Verdana" w:cs="Akhbar MT"/>
      <w:szCs w:val="30"/>
      <w:lang w:val="nl-NL" w:eastAsia="nl-NL"/>
    </w:rPr>
  </w:style>
  <w:style w:type="numbering" w:customStyle="1" w:styleId="WesternSequentialList">
    <w:name w:val="Western Sequential List"/>
    <w:uiPriority w:val="99"/>
    <w:rsid w:val="007247BB"/>
    <w:pPr>
      <w:numPr>
        <w:numId w:val="4"/>
      </w:numPr>
    </w:pPr>
  </w:style>
  <w:style w:type="paragraph" w:customStyle="1" w:styleId="IPPHeading2">
    <w:name w:val="IPP Heading2"/>
    <w:basedOn w:val="IPPNormal"/>
    <w:next w:val="IPPNormal"/>
    <w:qFormat/>
    <w:rsid w:val="00DF2775"/>
    <w:pPr>
      <w:keepNext/>
      <w:tabs>
        <w:tab w:val="left" w:pos="567"/>
      </w:tabs>
      <w:spacing w:before="120" w:after="120"/>
      <w:ind w:left="567" w:hanging="567"/>
      <w:jc w:val="left"/>
      <w:outlineLvl w:val="2"/>
    </w:pPr>
    <w:rPr>
      <w:b/>
      <w:sz w:val="24"/>
    </w:rPr>
  </w:style>
  <w:style w:type="character" w:styleId="Hyperlink">
    <w:name w:val="Hyperlink"/>
    <w:basedOn w:val="DefaultParagraphFont"/>
    <w:uiPriority w:val="99"/>
    <w:unhideWhenUsed/>
    <w:rsid w:val="00AF5452"/>
    <w:rPr>
      <w:color w:val="0000FF" w:themeColor="hyperlink"/>
      <w:u w:val="single"/>
    </w:rPr>
  </w:style>
  <w:style w:type="paragraph" w:customStyle="1" w:styleId="NewPara">
    <w:name w:val="NewPara"/>
    <w:basedOn w:val="ListParagraph"/>
    <w:link w:val="NewParaChar"/>
    <w:qFormat/>
    <w:rsid w:val="005E6059"/>
    <w:pPr>
      <w:numPr>
        <w:numId w:val="5"/>
      </w:numPr>
      <w:spacing w:line="240" w:lineRule="auto"/>
    </w:pPr>
    <w:rPr>
      <w:rFonts w:cs="Akhbar MT"/>
      <w:sz w:val="22"/>
      <w:szCs w:val="30"/>
    </w:rPr>
  </w:style>
  <w:style w:type="character" w:customStyle="1" w:styleId="NewParaChar">
    <w:name w:val="NewPara Char"/>
    <w:basedOn w:val="DefaultParagraphFont"/>
    <w:link w:val="NewPara"/>
    <w:rsid w:val="005E6059"/>
    <w:rPr>
      <w:rFonts w:ascii="Times New Roman" w:hAnsi="Times New Roman" w:cs="Akhbar MT"/>
      <w:szCs w:val="30"/>
      <w:lang w:val="en-GB"/>
    </w:rPr>
  </w:style>
  <w:style w:type="character" w:styleId="CommentReference">
    <w:name w:val="annotation reference"/>
    <w:basedOn w:val="DefaultParagraphFont"/>
    <w:uiPriority w:val="99"/>
    <w:semiHidden/>
    <w:unhideWhenUsed/>
    <w:rsid w:val="005E6059"/>
    <w:rPr>
      <w:sz w:val="16"/>
      <w:szCs w:val="16"/>
    </w:rPr>
  </w:style>
  <w:style w:type="paragraph" w:styleId="CommentText">
    <w:name w:val="annotation text"/>
    <w:basedOn w:val="Normal"/>
    <w:link w:val="CommentTextChar"/>
    <w:uiPriority w:val="99"/>
    <w:semiHidden/>
    <w:unhideWhenUsed/>
    <w:rsid w:val="005E6059"/>
    <w:rPr>
      <w:rFonts w:cs="Akhbar MT"/>
      <w:sz w:val="20"/>
      <w:szCs w:val="20"/>
    </w:rPr>
  </w:style>
  <w:style w:type="character" w:customStyle="1" w:styleId="CommentTextChar">
    <w:name w:val="Comment Text Char"/>
    <w:basedOn w:val="DefaultParagraphFont"/>
    <w:link w:val="CommentText"/>
    <w:uiPriority w:val="99"/>
    <w:semiHidden/>
    <w:rsid w:val="005E6059"/>
    <w:rPr>
      <w:rFonts w:ascii="Times New Roman" w:hAnsi="Times New Roman" w:cs="Akhbar MT"/>
      <w:sz w:val="20"/>
      <w:szCs w:val="20"/>
      <w:lang w:val="en-GB"/>
    </w:rPr>
  </w:style>
  <w:style w:type="paragraph" w:styleId="BalloonText">
    <w:name w:val="Balloon Text"/>
    <w:basedOn w:val="Normal"/>
    <w:link w:val="BalloonTextChar"/>
    <w:rsid w:val="00DF2775"/>
    <w:rPr>
      <w:rFonts w:ascii="Tahoma" w:hAnsi="Tahoma" w:cs="Tahoma"/>
      <w:sz w:val="16"/>
      <w:szCs w:val="16"/>
    </w:rPr>
  </w:style>
  <w:style w:type="character" w:customStyle="1" w:styleId="BalloonTextChar">
    <w:name w:val="Balloon Text Char"/>
    <w:basedOn w:val="DefaultParagraphFont"/>
    <w:link w:val="BalloonText"/>
    <w:rsid w:val="00DF2775"/>
    <w:rPr>
      <w:rFonts w:ascii="Tahoma" w:eastAsia="MS Mincho" w:hAnsi="Tahoma" w:cs="Tahoma"/>
      <w:sz w:val="16"/>
      <w:szCs w:val="16"/>
      <w:lang w:val="en-GB"/>
    </w:rPr>
  </w:style>
  <w:style w:type="table" w:styleId="TableGrid">
    <w:name w:val="Table Grid"/>
    <w:basedOn w:val="TableNormal"/>
    <w:rsid w:val="00DF2775"/>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DD"/>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1C4223"/>
    <w:pPr>
      <w:spacing w:before="100" w:beforeAutospacing="1" w:after="100" w:afterAutospacing="1"/>
    </w:pPr>
    <w:rPr>
      <w:rFonts w:eastAsia="Times New Roman"/>
      <w:lang w:val="en-US"/>
    </w:rPr>
  </w:style>
  <w:style w:type="paragraph" w:styleId="PlainText">
    <w:name w:val="Plain Text"/>
    <w:basedOn w:val="Normal"/>
    <w:link w:val="PlainTextChar"/>
    <w:uiPriority w:val="99"/>
    <w:unhideWhenUsed/>
    <w:rsid w:val="00DF277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F2775"/>
    <w:rPr>
      <w:rFonts w:ascii="Courier" w:eastAsia="Times" w:hAnsi="Courier" w:cs="Times New Roman"/>
      <w:sz w:val="21"/>
      <w:szCs w:val="21"/>
      <w:lang w:val="en-AU"/>
    </w:rPr>
  </w:style>
  <w:style w:type="character" w:customStyle="1" w:styleId="apple-converted-space">
    <w:name w:val="apple-converted-space"/>
    <w:basedOn w:val="DefaultParagraphFont"/>
    <w:rsid w:val="002629E4"/>
  </w:style>
  <w:style w:type="character" w:styleId="FollowedHyperlink">
    <w:name w:val="FollowedHyperlink"/>
    <w:basedOn w:val="DefaultParagraphFont"/>
    <w:uiPriority w:val="99"/>
    <w:semiHidden/>
    <w:unhideWhenUsed/>
    <w:rsid w:val="00386A98"/>
    <w:rPr>
      <w:color w:val="800080" w:themeColor="followedHyperlink"/>
      <w:u w:val="single"/>
    </w:rPr>
  </w:style>
  <w:style w:type="paragraph" w:customStyle="1" w:styleId="IPPParagraphnumbering">
    <w:name w:val="IPP Paragraph numbering"/>
    <w:basedOn w:val="IPPNormal"/>
    <w:qFormat/>
    <w:rsid w:val="00DF2775"/>
    <w:pPr>
      <w:numPr>
        <w:numId w:val="13"/>
      </w:numPr>
    </w:pPr>
    <w:rPr>
      <w:lang w:val="en-US"/>
    </w:rPr>
  </w:style>
  <w:style w:type="paragraph" w:styleId="CommentSubject">
    <w:name w:val="annotation subject"/>
    <w:basedOn w:val="CommentText"/>
    <w:next w:val="CommentText"/>
    <w:link w:val="CommentSubjectChar"/>
    <w:uiPriority w:val="99"/>
    <w:semiHidden/>
    <w:unhideWhenUsed/>
    <w:rsid w:val="00EC0131"/>
    <w:rPr>
      <w:rFonts w:cstheme="minorBidi"/>
      <w:b/>
      <w:bCs/>
    </w:rPr>
  </w:style>
  <w:style w:type="character" w:customStyle="1" w:styleId="CommentSubjectChar">
    <w:name w:val="Comment Subject Char"/>
    <w:basedOn w:val="CommentTextChar"/>
    <w:link w:val="CommentSubject"/>
    <w:uiPriority w:val="99"/>
    <w:semiHidden/>
    <w:rsid w:val="00EC0131"/>
    <w:rPr>
      <w:rFonts w:ascii="Times New Roman" w:hAnsi="Times New Roman" w:cs="Akhbar MT"/>
      <w:b/>
      <w:bCs/>
      <w:sz w:val="20"/>
      <w:szCs w:val="20"/>
      <w:lang w:val="en-GB"/>
    </w:rPr>
  </w:style>
  <w:style w:type="character" w:customStyle="1" w:styleId="Heading1Char">
    <w:name w:val="Heading 1 Char"/>
    <w:basedOn w:val="DefaultParagraphFont"/>
    <w:link w:val="Heading1"/>
    <w:rsid w:val="00DF2775"/>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DF2775"/>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DF2775"/>
    <w:rPr>
      <w:rFonts w:ascii="Calibri" w:eastAsia="MS Mincho" w:hAnsi="Calibri" w:cs="Times New Roman"/>
      <w:b/>
      <w:bCs/>
      <w:sz w:val="26"/>
      <w:szCs w:val="26"/>
      <w:lang w:val="en-GB"/>
    </w:rPr>
  </w:style>
  <w:style w:type="paragraph" w:customStyle="1" w:styleId="Style">
    <w:name w:val="Style"/>
    <w:basedOn w:val="Footer"/>
    <w:autoRedefine/>
    <w:qFormat/>
    <w:rsid w:val="00DF277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DF2775"/>
    <w:rPr>
      <w:rFonts w:ascii="Arial" w:hAnsi="Arial"/>
      <w:b/>
      <w:sz w:val="18"/>
    </w:rPr>
  </w:style>
  <w:style w:type="paragraph" w:customStyle="1" w:styleId="IPPArialFootnote">
    <w:name w:val="IPP Arial Footnote"/>
    <w:basedOn w:val="IPPArialTable"/>
    <w:qFormat/>
    <w:rsid w:val="00DF2775"/>
    <w:pPr>
      <w:tabs>
        <w:tab w:val="left" w:pos="28"/>
      </w:tabs>
      <w:ind w:left="284" w:hanging="284"/>
    </w:pPr>
    <w:rPr>
      <w:sz w:val="16"/>
    </w:rPr>
  </w:style>
  <w:style w:type="paragraph" w:customStyle="1" w:styleId="IPPContentsHead">
    <w:name w:val="IPP ContentsHead"/>
    <w:basedOn w:val="IPPSubhead"/>
    <w:next w:val="IPPNormal"/>
    <w:qFormat/>
    <w:rsid w:val="00DF2775"/>
    <w:pPr>
      <w:spacing w:after="240"/>
    </w:pPr>
    <w:rPr>
      <w:sz w:val="24"/>
    </w:rPr>
  </w:style>
  <w:style w:type="paragraph" w:customStyle="1" w:styleId="IPPBullet2">
    <w:name w:val="IPP Bullet2"/>
    <w:basedOn w:val="IPPNormal"/>
    <w:next w:val="IPPBullet1"/>
    <w:qFormat/>
    <w:rsid w:val="00DF2775"/>
    <w:pPr>
      <w:numPr>
        <w:numId w:val="27"/>
      </w:numPr>
      <w:tabs>
        <w:tab w:val="left" w:pos="1134"/>
      </w:tabs>
      <w:spacing w:after="60"/>
      <w:ind w:left="1134" w:hanging="567"/>
    </w:pPr>
  </w:style>
  <w:style w:type="paragraph" w:customStyle="1" w:styleId="IPPQuote">
    <w:name w:val="IPP Quote"/>
    <w:basedOn w:val="IPPNormal"/>
    <w:qFormat/>
    <w:rsid w:val="00DF2775"/>
    <w:pPr>
      <w:ind w:left="851" w:right="851"/>
    </w:pPr>
    <w:rPr>
      <w:sz w:val="18"/>
    </w:rPr>
  </w:style>
  <w:style w:type="paragraph" w:customStyle="1" w:styleId="IPPNormal">
    <w:name w:val="IPP Normal"/>
    <w:basedOn w:val="Normal"/>
    <w:link w:val="IPPNormalChar"/>
    <w:qFormat/>
    <w:rsid w:val="00DF2775"/>
    <w:pPr>
      <w:spacing w:after="180"/>
    </w:pPr>
    <w:rPr>
      <w:rFonts w:eastAsia="Times"/>
    </w:rPr>
  </w:style>
  <w:style w:type="paragraph" w:customStyle="1" w:styleId="IPPIndentClose">
    <w:name w:val="IPP Indent Close"/>
    <w:basedOn w:val="IPPNormal"/>
    <w:qFormat/>
    <w:rsid w:val="00DF2775"/>
    <w:pPr>
      <w:tabs>
        <w:tab w:val="left" w:pos="2835"/>
      </w:tabs>
      <w:spacing w:after="60"/>
      <w:ind w:left="567"/>
    </w:pPr>
  </w:style>
  <w:style w:type="paragraph" w:customStyle="1" w:styleId="IPPIndent">
    <w:name w:val="IPP Indent"/>
    <w:basedOn w:val="IPPIndentClose"/>
    <w:qFormat/>
    <w:rsid w:val="00DF2775"/>
    <w:pPr>
      <w:spacing w:after="180"/>
    </w:pPr>
  </w:style>
  <w:style w:type="paragraph" w:customStyle="1" w:styleId="IPPFootnote">
    <w:name w:val="IPP Footnote"/>
    <w:basedOn w:val="IPPArialFootnote"/>
    <w:qFormat/>
    <w:rsid w:val="00DF277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F2775"/>
    <w:pPr>
      <w:keepNext/>
      <w:tabs>
        <w:tab w:val="left" w:pos="567"/>
      </w:tabs>
      <w:spacing w:before="120" w:after="120"/>
      <w:ind w:left="567" w:hanging="567"/>
    </w:pPr>
    <w:rPr>
      <w:b/>
      <w:i/>
    </w:rPr>
  </w:style>
  <w:style w:type="character" w:customStyle="1" w:styleId="IPPnormalitalics">
    <w:name w:val="IPP normal italics"/>
    <w:basedOn w:val="DefaultParagraphFont"/>
    <w:rsid w:val="00DF2775"/>
    <w:rPr>
      <w:rFonts w:ascii="Times New Roman" w:hAnsi="Times New Roman"/>
      <w:i/>
      <w:sz w:val="22"/>
      <w:lang w:val="en-US"/>
    </w:rPr>
  </w:style>
  <w:style w:type="character" w:customStyle="1" w:styleId="IPPNormalbold">
    <w:name w:val="IPP Normal bold"/>
    <w:basedOn w:val="PlainTextChar"/>
    <w:rsid w:val="00DF2775"/>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DF2775"/>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DF2775"/>
    <w:pPr>
      <w:keepNext/>
      <w:ind w:left="567" w:hanging="567"/>
      <w:jc w:val="left"/>
    </w:pPr>
    <w:rPr>
      <w:b/>
      <w:bCs/>
      <w:iCs/>
      <w:szCs w:val="22"/>
    </w:rPr>
  </w:style>
  <w:style w:type="character" w:customStyle="1" w:styleId="IPPNormalunderlined">
    <w:name w:val="IPP Normal underlined"/>
    <w:basedOn w:val="DefaultParagraphFont"/>
    <w:rsid w:val="00DF2775"/>
    <w:rPr>
      <w:rFonts w:ascii="Times New Roman" w:hAnsi="Times New Roman"/>
      <w:sz w:val="22"/>
      <w:u w:val="single"/>
      <w:lang w:val="en-US"/>
    </w:rPr>
  </w:style>
  <w:style w:type="paragraph" w:customStyle="1" w:styleId="IPPBullet1">
    <w:name w:val="IPP Bullet1"/>
    <w:basedOn w:val="IPPBullet1Last"/>
    <w:qFormat/>
    <w:rsid w:val="00DF2775"/>
    <w:pPr>
      <w:numPr>
        <w:numId w:val="34"/>
      </w:numPr>
      <w:spacing w:after="60"/>
      <w:ind w:left="567" w:hanging="567"/>
    </w:pPr>
    <w:rPr>
      <w:lang w:val="en-US"/>
    </w:rPr>
  </w:style>
  <w:style w:type="paragraph" w:customStyle="1" w:styleId="IPPBullet1Last">
    <w:name w:val="IPP Bullet1Last"/>
    <w:basedOn w:val="IPPNormal"/>
    <w:next w:val="IPPNormal"/>
    <w:autoRedefine/>
    <w:qFormat/>
    <w:rsid w:val="00DF2775"/>
    <w:pPr>
      <w:numPr>
        <w:numId w:val="28"/>
      </w:numPr>
    </w:pPr>
  </w:style>
  <w:style w:type="character" w:customStyle="1" w:styleId="IPPNormalstrikethrough">
    <w:name w:val="IPP Normal strikethrough"/>
    <w:rsid w:val="00DF2775"/>
    <w:rPr>
      <w:rFonts w:ascii="Times New Roman" w:hAnsi="Times New Roman"/>
      <w:strike/>
      <w:dstrike w:val="0"/>
      <w:sz w:val="22"/>
    </w:rPr>
  </w:style>
  <w:style w:type="paragraph" w:customStyle="1" w:styleId="IPPTitle16pt">
    <w:name w:val="IPP Title16pt"/>
    <w:basedOn w:val="Normal"/>
    <w:qFormat/>
    <w:rsid w:val="00DF277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F2775"/>
    <w:pPr>
      <w:spacing w:after="360"/>
      <w:jc w:val="center"/>
    </w:pPr>
    <w:rPr>
      <w:rFonts w:ascii="Arial" w:hAnsi="Arial" w:cs="Arial"/>
      <w:b/>
      <w:bCs/>
      <w:sz w:val="36"/>
      <w:szCs w:val="36"/>
    </w:rPr>
  </w:style>
  <w:style w:type="paragraph" w:customStyle="1" w:styleId="IPPHeader">
    <w:name w:val="IPP Header"/>
    <w:basedOn w:val="Normal"/>
    <w:qFormat/>
    <w:rsid w:val="00DF277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F2775"/>
    <w:pPr>
      <w:keepNext/>
      <w:tabs>
        <w:tab w:val="left" w:pos="567"/>
      </w:tabs>
      <w:spacing w:before="120"/>
      <w:jc w:val="left"/>
      <w:outlineLvl w:val="1"/>
    </w:pPr>
    <w:rPr>
      <w:b/>
      <w:sz w:val="24"/>
    </w:rPr>
  </w:style>
  <w:style w:type="paragraph" w:customStyle="1" w:styleId="IPPNormalCloseSpace">
    <w:name w:val="IPP NormalCloseSpace"/>
    <w:basedOn w:val="Normal"/>
    <w:qFormat/>
    <w:rsid w:val="00DF2775"/>
    <w:pPr>
      <w:keepNext/>
      <w:spacing w:after="60"/>
    </w:pPr>
  </w:style>
  <w:style w:type="paragraph" w:customStyle="1" w:styleId="IPPFooter">
    <w:name w:val="IPP Footer"/>
    <w:basedOn w:val="IPPHeader"/>
    <w:next w:val="PlainText"/>
    <w:qFormat/>
    <w:rsid w:val="00DF277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F2775"/>
    <w:pPr>
      <w:tabs>
        <w:tab w:val="right" w:leader="dot" w:pos="9072"/>
      </w:tabs>
      <w:spacing w:before="240"/>
      <w:ind w:left="567" w:hanging="567"/>
    </w:pPr>
  </w:style>
  <w:style w:type="paragraph" w:styleId="TOC2">
    <w:name w:val="toc 2"/>
    <w:basedOn w:val="TOC1"/>
    <w:next w:val="Normal"/>
    <w:autoRedefine/>
    <w:uiPriority w:val="39"/>
    <w:rsid w:val="00DF2775"/>
    <w:pPr>
      <w:keepNext w:val="0"/>
      <w:tabs>
        <w:tab w:val="left" w:pos="425"/>
      </w:tabs>
      <w:spacing w:before="120" w:after="0"/>
      <w:ind w:left="425" w:right="284" w:hanging="425"/>
    </w:pPr>
  </w:style>
  <w:style w:type="paragraph" w:styleId="TOC3">
    <w:name w:val="toc 3"/>
    <w:basedOn w:val="TOC2"/>
    <w:next w:val="Normal"/>
    <w:autoRedefine/>
    <w:uiPriority w:val="39"/>
    <w:rsid w:val="00DF2775"/>
    <w:pPr>
      <w:tabs>
        <w:tab w:val="left" w:pos="1276"/>
      </w:tabs>
      <w:spacing w:before="60"/>
      <w:ind w:left="1276" w:hanging="851"/>
    </w:pPr>
    <w:rPr>
      <w:rFonts w:eastAsia="Times"/>
    </w:rPr>
  </w:style>
  <w:style w:type="paragraph" w:styleId="TOC4">
    <w:name w:val="toc 4"/>
    <w:basedOn w:val="Normal"/>
    <w:next w:val="Normal"/>
    <w:autoRedefine/>
    <w:uiPriority w:val="39"/>
    <w:rsid w:val="00DF2775"/>
    <w:pPr>
      <w:spacing w:after="120"/>
      <w:ind w:left="660"/>
    </w:pPr>
    <w:rPr>
      <w:rFonts w:eastAsia="Times"/>
      <w:lang w:val="en-AU"/>
    </w:rPr>
  </w:style>
  <w:style w:type="paragraph" w:styleId="TOC5">
    <w:name w:val="toc 5"/>
    <w:basedOn w:val="Normal"/>
    <w:next w:val="Normal"/>
    <w:autoRedefine/>
    <w:uiPriority w:val="39"/>
    <w:rsid w:val="00DF2775"/>
    <w:pPr>
      <w:spacing w:after="120"/>
      <w:ind w:left="880"/>
    </w:pPr>
    <w:rPr>
      <w:rFonts w:eastAsia="Times"/>
      <w:lang w:val="en-AU"/>
    </w:rPr>
  </w:style>
  <w:style w:type="paragraph" w:styleId="TOC6">
    <w:name w:val="toc 6"/>
    <w:basedOn w:val="Normal"/>
    <w:next w:val="Normal"/>
    <w:autoRedefine/>
    <w:uiPriority w:val="39"/>
    <w:rsid w:val="00DF2775"/>
    <w:pPr>
      <w:spacing w:after="120"/>
      <w:ind w:left="1100"/>
    </w:pPr>
    <w:rPr>
      <w:rFonts w:eastAsia="Times"/>
      <w:lang w:val="en-AU"/>
    </w:rPr>
  </w:style>
  <w:style w:type="paragraph" w:styleId="TOC7">
    <w:name w:val="toc 7"/>
    <w:basedOn w:val="Normal"/>
    <w:next w:val="Normal"/>
    <w:autoRedefine/>
    <w:uiPriority w:val="39"/>
    <w:rsid w:val="00DF2775"/>
    <w:pPr>
      <w:spacing w:after="120"/>
      <w:ind w:left="1320"/>
    </w:pPr>
    <w:rPr>
      <w:rFonts w:eastAsia="Times"/>
      <w:lang w:val="en-AU"/>
    </w:rPr>
  </w:style>
  <w:style w:type="paragraph" w:styleId="TOC8">
    <w:name w:val="toc 8"/>
    <w:basedOn w:val="Normal"/>
    <w:next w:val="Normal"/>
    <w:autoRedefine/>
    <w:uiPriority w:val="39"/>
    <w:rsid w:val="00DF2775"/>
    <w:pPr>
      <w:spacing w:after="120"/>
      <w:ind w:left="1540"/>
    </w:pPr>
    <w:rPr>
      <w:rFonts w:eastAsia="Times"/>
      <w:lang w:val="en-AU"/>
    </w:rPr>
  </w:style>
  <w:style w:type="paragraph" w:styleId="TOC9">
    <w:name w:val="toc 9"/>
    <w:basedOn w:val="Normal"/>
    <w:next w:val="Normal"/>
    <w:autoRedefine/>
    <w:uiPriority w:val="39"/>
    <w:rsid w:val="00DF2775"/>
    <w:pPr>
      <w:spacing w:after="120"/>
      <w:ind w:left="1760"/>
    </w:pPr>
    <w:rPr>
      <w:rFonts w:eastAsia="Times"/>
      <w:lang w:val="en-AU"/>
    </w:rPr>
  </w:style>
  <w:style w:type="paragraph" w:customStyle="1" w:styleId="IPPReferences">
    <w:name w:val="IPP References"/>
    <w:basedOn w:val="IPPNormal"/>
    <w:qFormat/>
    <w:rsid w:val="00DF2775"/>
    <w:pPr>
      <w:spacing w:after="60"/>
      <w:ind w:left="567" w:hanging="567"/>
    </w:pPr>
  </w:style>
  <w:style w:type="paragraph" w:customStyle="1" w:styleId="IPPArial">
    <w:name w:val="IPP Arial"/>
    <w:basedOn w:val="IPPNormal"/>
    <w:qFormat/>
    <w:rsid w:val="00DF2775"/>
    <w:pPr>
      <w:spacing w:after="0"/>
    </w:pPr>
    <w:rPr>
      <w:rFonts w:ascii="Arial" w:hAnsi="Arial"/>
      <w:sz w:val="18"/>
    </w:rPr>
  </w:style>
  <w:style w:type="paragraph" w:customStyle="1" w:styleId="IPPArialTable">
    <w:name w:val="IPP Arial Table"/>
    <w:basedOn w:val="IPPArial"/>
    <w:qFormat/>
    <w:rsid w:val="00DF2775"/>
    <w:pPr>
      <w:spacing w:before="60" w:after="60"/>
      <w:jc w:val="left"/>
    </w:pPr>
  </w:style>
  <w:style w:type="paragraph" w:customStyle="1" w:styleId="IPPHeaderlandscape">
    <w:name w:val="IPP Header landscape"/>
    <w:basedOn w:val="IPPHeader"/>
    <w:qFormat/>
    <w:rsid w:val="00DF277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DF2775"/>
    <w:pPr>
      <w:numPr>
        <w:numId w:val="24"/>
      </w:numPr>
      <w:jc w:val="left"/>
    </w:pPr>
  </w:style>
  <w:style w:type="paragraph" w:customStyle="1" w:styleId="IPPLetterListIndent">
    <w:name w:val="IPP LetterList Indent"/>
    <w:basedOn w:val="IPPLetterList"/>
    <w:qFormat/>
    <w:rsid w:val="00DF2775"/>
    <w:pPr>
      <w:numPr>
        <w:numId w:val="25"/>
      </w:numPr>
    </w:pPr>
  </w:style>
  <w:style w:type="paragraph" w:customStyle="1" w:styleId="IPPFooterLandscape">
    <w:name w:val="IPP Footer Landscape"/>
    <w:basedOn w:val="IPPHeaderlandscape"/>
    <w:qFormat/>
    <w:rsid w:val="00DF2775"/>
    <w:pPr>
      <w:pBdr>
        <w:top w:val="single" w:sz="4" w:space="1" w:color="auto"/>
        <w:bottom w:val="none" w:sz="0" w:space="0" w:color="auto"/>
      </w:pBdr>
      <w:jc w:val="right"/>
    </w:pPr>
    <w:rPr>
      <w:b/>
    </w:rPr>
  </w:style>
  <w:style w:type="paragraph" w:customStyle="1" w:styleId="IPPSubheadSpace">
    <w:name w:val="IPP Subhead Space"/>
    <w:basedOn w:val="IPPSubhead"/>
    <w:qFormat/>
    <w:rsid w:val="00DF2775"/>
    <w:pPr>
      <w:tabs>
        <w:tab w:val="left" w:pos="567"/>
      </w:tabs>
      <w:spacing w:before="60" w:after="60"/>
    </w:pPr>
  </w:style>
  <w:style w:type="paragraph" w:customStyle="1" w:styleId="IPPSubheadSpaceAfter">
    <w:name w:val="IPP Subhead SpaceAfter"/>
    <w:basedOn w:val="IPPSubhead"/>
    <w:qFormat/>
    <w:rsid w:val="00DF2775"/>
    <w:pPr>
      <w:spacing w:after="60"/>
    </w:pPr>
  </w:style>
  <w:style w:type="paragraph" w:customStyle="1" w:styleId="IPPHdg1Num">
    <w:name w:val="IPP Hdg1Num"/>
    <w:basedOn w:val="IPPHeading1"/>
    <w:next w:val="IPPNormal"/>
    <w:qFormat/>
    <w:rsid w:val="00DF2775"/>
    <w:pPr>
      <w:numPr>
        <w:numId w:val="29"/>
      </w:numPr>
    </w:pPr>
  </w:style>
  <w:style w:type="paragraph" w:customStyle="1" w:styleId="IPPHdg2Num">
    <w:name w:val="IPP Hdg2Num"/>
    <w:basedOn w:val="IPPHeading2"/>
    <w:next w:val="IPPNormal"/>
    <w:qFormat/>
    <w:rsid w:val="00DF2775"/>
    <w:pPr>
      <w:numPr>
        <w:ilvl w:val="1"/>
        <w:numId w:val="30"/>
      </w:numPr>
    </w:pPr>
  </w:style>
  <w:style w:type="paragraph" w:customStyle="1" w:styleId="IPPNumberedList">
    <w:name w:val="IPP NumberedList"/>
    <w:basedOn w:val="IPPBullet1"/>
    <w:qFormat/>
    <w:rsid w:val="00DF2775"/>
    <w:pPr>
      <w:numPr>
        <w:numId w:val="32"/>
      </w:numPr>
    </w:pPr>
  </w:style>
  <w:style w:type="character" w:styleId="Strong">
    <w:name w:val="Strong"/>
    <w:basedOn w:val="DefaultParagraphFont"/>
    <w:qFormat/>
    <w:rsid w:val="00DF2775"/>
    <w:rPr>
      <w:b/>
      <w:bCs/>
    </w:rPr>
  </w:style>
  <w:style w:type="paragraph" w:customStyle="1" w:styleId="IPPParagraphnumberingclose">
    <w:name w:val="IPP Paragraph numbering close"/>
    <w:basedOn w:val="IPPParagraphnumbering"/>
    <w:qFormat/>
    <w:rsid w:val="00DF2775"/>
    <w:pPr>
      <w:keepNext/>
      <w:spacing w:after="60"/>
    </w:pPr>
  </w:style>
  <w:style w:type="paragraph" w:customStyle="1" w:styleId="IPPNumberedListLast">
    <w:name w:val="IPP NumberedListLast"/>
    <w:basedOn w:val="IPPNumberedList"/>
    <w:qFormat/>
    <w:rsid w:val="00DF2775"/>
    <w:pPr>
      <w:spacing w:after="180"/>
    </w:pPr>
  </w:style>
  <w:style w:type="character" w:customStyle="1" w:styleId="IPPNormalChar">
    <w:name w:val="IPP Normal Char"/>
    <w:link w:val="IPPNormal"/>
    <w:rsid w:val="007B5B14"/>
    <w:rPr>
      <w:rFonts w:ascii="Times New Roman" w:eastAsia="Times"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2430">
      <w:bodyDiv w:val="1"/>
      <w:marLeft w:val="0"/>
      <w:marRight w:val="0"/>
      <w:marTop w:val="0"/>
      <w:marBottom w:val="0"/>
      <w:divBdr>
        <w:top w:val="none" w:sz="0" w:space="0" w:color="auto"/>
        <w:left w:val="none" w:sz="0" w:space="0" w:color="auto"/>
        <w:bottom w:val="none" w:sz="0" w:space="0" w:color="auto"/>
        <w:right w:val="none" w:sz="0" w:space="0" w:color="auto"/>
      </w:divBdr>
    </w:div>
    <w:div w:id="334692644">
      <w:bodyDiv w:val="1"/>
      <w:marLeft w:val="0"/>
      <w:marRight w:val="0"/>
      <w:marTop w:val="0"/>
      <w:marBottom w:val="0"/>
      <w:divBdr>
        <w:top w:val="none" w:sz="0" w:space="0" w:color="auto"/>
        <w:left w:val="none" w:sz="0" w:space="0" w:color="auto"/>
        <w:bottom w:val="none" w:sz="0" w:space="0" w:color="auto"/>
        <w:right w:val="none" w:sz="0" w:space="0" w:color="auto"/>
      </w:divBdr>
    </w:div>
    <w:div w:id="380596088">
      <w:bodyDiv w:val="1"/>
      <w:marLeft w:val="0"/>
      <w:marRight w:val="0"/>
      <w:marTop w:val="0"/>
      <w:marBottom w:val="0"/>
      <w:divBdr>
        <w:top w:val="none" w:sz="0" w:space="0" w:color="auto"/>
        <w:left w:val="none" w:sz="0" w:space="0" w:color="auto"/>
        <w:bottom w:val="none" w:sz="0" w:space="0" w:color="auto"/>
        <w:right w:val="none" w:sz="0" w:space="0" w:color="auto"/>
      </w:divBdr>
    </w:div>
    <w:div w:id="558636949">
      <w:bodyDiv w:val="1"/>
      <w:marLeft w:val="0"/>
      <w:marRight w:val="0"/>
      <w:marTop w:val="0"/>
      <w:marBottom w:val="0"/>
      <w:divBdr>
        <w:top w:val="none" w:sz="0" w:space="0" w:color="auto"/>
        <w:left w:val="none" w:sz="0" w:space="0" w:color="auto"/>
        <w:bottom w:val="none" w:sz="0" w:space="0" w:color="auto"/>
        <w:right w:val="none" w:sz="0" w:space="0" w:color="auto"/>
      </w:divBdr>
      <w:divsChild>
        <w:div w:id="592129460">
          <w:marLeft w:val="720"/>
          <w:marRight w:val="0"/>
          <w:marTop w:val="0"/>
          <w:marBottom w:val="0"/>
          <w:divBdr>
            <w:top w:val="none" w:sz="0" w:space="0" w:color="auto"/>
            <w:left w:val="none" w:sz="0" w:space="0" w:color="auto"/>
            <w:bottom w:val="none" w:sz="0" w:space="0" w:color="auto"/>
            <w:right w:val="none" w:sz="0" w:space="0" w:color="auto"/>
          </w:divBdr>
        </w:div>
        <w:div w:id="1134102120">
          <w:marLeft w:val="0"/>
          <w:marRight w:val="0"/>
          <w:marTop w:val="0"/>
          <w:marBottom w:val="0"/>
          <w:divBdr>
            <w:top w:val="none" w:sz="0" w:space="0" w:color="auto"/>
            <w:left w:val="none" w:sz="0" w:space="0" w:color="auto"/>
            <w:bottom w:val="none" w:sz="0" w:space="0" w:color="auto"/>
            <w:right w:val="none" w:sz="0" w:space="0" w:color="auto"/>
          </w:divBdr>
        </w:div>
        <w:div w:id="1336956628">
          <w:marLeft w:val="0"/>
          <w:marRight w:val="0"/>
          <w:marTop w:val="0"/>
          <w:marBottom w:val="0"/>
          <w:divBdr>
            <w:top w:val="none" w:sz="0" w:space="0" w:color="auto"/>
            <w:left w:val="none" w:sz="0" w:space="0" w:color="auto"/>
            <w:bottom w:val="none" w:sz="0" w:space="0" w:color="auto"/>
            <w:right w:val="none" w:sz="0" w:space="0" w:color="auto"/>
          </w:divBdr>
        </w:div>
        <w:div w:id="1790391108">
          <w:marLeft w:val="720"/>
          <w:marRight w:val="0"/>
          <w:marTop w:val="0"/>
          <w:marBottom w:val="0"/>
          <w:divBdr>
            <w:top w:val="none" w:sz="0" w:space="0" w:color="auto"/>
            <w:left w:val="none" w:sz="0" w:space="0" w:color="auto"/>
            <w:bottom w:val="none" w:sz="0" w:space="0" w:color="auto"/>
            <w:right w:val="none" w:sz="0" w:space="0" w:color="auto"/>
          </w:divBdr>
        </w:div>
      </w:divsChild>
    </w:div>
    <w:div w:id="598173217">
      <w:bodyDiv w:val="1"/>
      <w:marLeft w:val="0"/>
      <w:marRight w:val="0"/>
      <w:marTop w:val="0"/>
      <w:marBottom w:val="0"/>
      <w:divBdr>
        <w:top w:val="none" w:sz="0" w:space="0" w:color="auto"/>
        <w:left w:val="none" w:sz="0" w:space="0" w:color="auto"/>
        <w:bottom w:val="none" w:sz="0" w:space="0" w:color="auto"/>
        <w:right w:val="none" w:sz="0" w:space="0" w:color="auto"/>
      </w:divBdr>
    </w:div>
    <w:div w:id="714700118">
      <w:bodyDiv w:val="1"/>
      <w:marLeft w:val="0"/>
      <w:marRight w:val="0"/>
      <w:marTop w:val="0"/>
      <w:marBottom w:val="0"/>
      <w:divBdr>
        <w:top w:val="none" w:sz="0" w:space="0" w:color="auto"/>
        <w:left w:val="none" w:sz="0" w:space="0" w:color="auto"/>
        <w:bottom w:val="none" w:sz="0" w:space="0" w:color="auto"/>
        <w:right w:val="none" w:sz="0" w:space="0" w:color="auto"/>
      </w:divBdr>
    </w:div>
    <w:div w:id="852768548">
      <w:bodyDiv w:val="1"/>
      <w:marLeft w:val="0"/>
      <w:marRight w:val="0"/>
      <w:marTop w:val="0"/>
      <w:marBottom w:val="0"/>
      <w:divBdr>
        <w:top w:val="none" w:sz="0" w:space="0" w:color="auto"/>
        <w:left w:val="none" w:sz="0" w:space="0" w:color="auto"/>
        <w:bottom w:val="none" w:sz="0" w:space="0" w:color="auto"/>
        <w:right w:val="none" w:sz="0" w:space="0" w:color="auto"/>
      </w:divBdr>
    </w:div>
    <w:div w:id="1522008686">
      <w:bodyDiv w:val="1"/>
      <w:marLeft w:val="0"/>
      <w:marRight w:val="0"/>
      <w:marTop w:val="0"/>
      <w:marBottom w:val="0"/>
      <w:divBdr>
        <w:top w:val="none" w:sz="0" w:space="0" w:color="auto"/>
        <w:left w:val="none" w:sz="0" w:space="0" w:color="auto"/>
        <w:bottom w:val="none" w:sz="0" w:space="0" w:color="auto"/>
        <w:right w:val="none" w:sz="0" w:space="0" w:color="auto"/>
      </w:divBdr>
    </w:div>
    <w:div w:id="16237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capacity-development/regional-ippc-workshops/" TargetMode="External"/><Relationship Id="rId13" Type="http://schemas.openxmlformats.org/officeDocument/2006/relationships/hyperlink" Target="https://www.ippc.int/en/news/the-2016-ippc-regional-workshop-for-the-central-and-eastern-europe-and-central-asia-held-in-republic-of-belarus/" TargetMode="External"/><Relationship Id="rId18" Type="http://schemas.openxmlformats.org/officeDocument/2006/relationships/hyperlink" Target="https://www.ippc.int/en/news/the-ippc-continues-to-strengthen-stakeholders-engagement-in-setting-international-standards-for-phytosanitary-measur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ppc.int/en/news/the-2016-ippc-regional-workshop-for-the-near-east-and-north-africa-held-in-algeria/" TargetMode="External"/><Relationship Id="rId17" Type="http://schemas.openxmlformats.org/officeDocument/2006/relationships/hyperlink" Target="https://www.ippc.int/en/news/enhancing-global-food-security-through-strengthening-plant-heal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c.int/en/news/the-2016-ippc-regional-workshop-for-the-caribbean-held-in-barbado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news/the-2016-ippc-regional-workshop-for-latin-america-held-in-panam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ppc.int/en/news/the-2016-ippc-regional-workshop-for-africa-held-in-ethiopia/" TargetMode="External"/><Relationship Id="rId23" Type="http://schemas.openxmlformats.org/officeDocument/2006/relationships/header" Target="header3.xml"/><Relationship Id="rId10" Type="http://schemas.openxmlformats.org/officeDocument/2006/relationships/hyperlink" Target="https://www.ippc.int/en/news/the-ippcapppc-regional-workshop-for-asia-held-in-republic-of-kor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pc.int/en/core-activities/capacity-development/regional-ippc-workshops/2016-ippc-regional-workshops/" TargetMode="External"/><Relationship Id="rId14" Type="http://schemas.openxmlformats.org/officeDocument/2006/relationships/hyperlink" Target="https://www.ippc.int/en/news/the-2016-ippc-regional-workshop-for-the-south-west-pacific-held-in-fiji/"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99CD-C5DF-49A4-BDF9-A94FF781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Lomsadze (AGDD)</dc:creator>
  <cp:keywords/>
  <dc:description/>
  <cp:lastModifiedBy>Howard, Paul (AGDI)</cp:lastModifiedBy>
  <cp:revision>4</cp:revision>
  <dcterms:created xsi:type="dcterms:W3CDTF">2016-11-07T13:25:00Z</dcterms:created>
  <dcterms:modified xsi:type="dcterms:W3CDTF">2016-11-07T15:26:00Z</dcterms:modified>
</cp:coreProperties>
</file>