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C9" w:rsidRPr="007D591B" w:rsidRDefault="00071DC9" w:rsidP="00071DC9">
      <w:pPr>
        <w:jc w:val="center"/>
        <w:rPr>
          <w:rFonts w:ascii="Times New Roman" w:hAnsi="Times New Roman" w:cs="Times New Roman"/>
          <w:b/>
        </w:rPr>
      </w:pPr>
      <w:r w:rsidRPr="007D591B">
        <w:rPr>
          <w:rFonts w:ascii="Times New Roman" w:hAnsi="Times New Roman" w:cs="Times New Roman"/>
          <w:b/>
        </w:rPr>
        <w:t>Discussion paper from Australia</w:t>
      </w:r>
    </w:p>
    <w:p w:rsidR="00121925" w:rsidRPr="007D591B" w:rsidRDefault="00121925" w:rsidP="00121925">
      <w:pPr>
        <w:jc w:val="center"/>
        <w:rPr>
          <w:rFonts w:ascii="Times New Roman" w:hAnsi="Times New Roman" w:cs="Times New Roman"/>
          <w:b/>
        </w:rPr>
      </w:pPr>
      <w:r w:rsidRPr="007D591B">
        <w:rPr>
          <w:rFonts w:ascii="Times New Roman" w:hAnsi="Times New Roman" w:cs="Times New Roman"/>
          <w:b/>
        </w:rPr>
        <w:t>Subsidiary Body on Dispute Settlement (SBDS)</w:t>
      </w:r>
    </w:p>
    <w:p w:rsidR="0068534D" w:rsidRPr="007D591B" w:rsidRDefault="0068534D" w:rsidP="0068534D">
      <w:pPr>
        <w:spacing w:before="120" w:after="120" w:line="240" w:lineRule="auto"/>
        <w:rPr>
          <w:rFonts w:ascii="Times New Roman" w:hAnsi="Times New Roman" w:cs="Times New Roman"/>
          <w:b/>
          <w:u w:val="single"/>
        </w:rPr>
      </w:pPr>
      <w:r w:rsidRPr="007D591B">
        <w:rPr>
          <w:rFonts w:ascii="Times New Roman" w:hAnsi="Times New Roman" w:cs="Times New Roman"/>
          <w:b/>
          <w:u w:val="single"/>
        </w:rPr>
        <w:t>Issue</w:t>
      </w:r>
    </w:p>
    <w:p w:rsidR="0068534D" w:rsidRPr="007D591B" w:rsidRDefault="0068534D" w:rsidP="0068534D">
      <w:pPr>
        <w:spacing w:after="120" w:line="240" w:lineRule="auto"/>
        <w:rPr>
          <w:rFonts w:ascii="Times New Roman" w:hAnsi="Times New Roman" w:cs="Times New Roman"/>
        </w:rPr>
      </w:pPr>
      <w:r w:rsidRPr="007D591B">
        <w:rPr>
          <w:rFonts w:ascii="Times New Roman" w:hAnsi="Times New Roman" w:cs="Times New Roman"/>
        </w:rPr>
        <w:t xml:space="preserve">The role and function of the Subsidiary Body on Dispute Settlement </w:t>
      </w:r>
      <w:r w:rsidR="009E0036" w:rsidRPr="007D591B">
        <w:rPr>
          <w:rFonts w:ascii="Times New Roman" w:hAnsi="Times New Roman" w:cs="Times New Roman"/>
        </w:rPr>
        <w:t xml:space="preserve">(SBDS) </w:t>
      </w:r>
      <w:r w:rsidRPr="007D591B">
        <w:rPr>
          <w:rFonts w:ascii="Times New Roman" w:hAnsi="Times New Roman" w:cs="Times New Roman"/>
        </w:rPr>
        <w:t>be reviewed taking into account obligations conferred by the International Plant Protection Convention (IPPC) in relation to dispute settlement.</w:t>
      </w:r>
      <w:r w:rsidR="00CD5316" w:rsidRPr="007D591B">
        <w:rPr>
          <w:rFonts w:ascii="Times New Roman" w:hAnsi="Times New Roman" w:cs="Times New Roman"/>
        </w:rPr>
        <w:t xml:space="preserve">  More broadly, </w:t>
      </w:r>
      <w:r w:rsidR="00B42F30" w:rsidRPr="007D591B">
        <w:rPr>
          <w:rFonts w:ascii="Times New Roman" w:hAnsi="Times New Roman" w:cs="Times New Roman"/>
        </w:rPr>
        <w:t>the</w:t>
      </w:r>
      <w:r w:rsidR="00CD5316" w:rsidRPr="007D591B">
        <w:rPr>
          <w:rFonts w:ascii="Times New Roman" w:hAnsi="Times New Roman" w:cs="Times New Roman"/>
        </w:rPr>
        <w:t xml:space="preserve"> review </w:t>
      </w:r>
      <w:r w:rsidR="009E0036" w:rsidRPr="007D591B">
        <w:rPr>
          <w:rFonts w:ascii="Times New Roman" w:hAnsi="Times New Roman" w:cs="Times New Roman"/>
        </w:rPr>
        <w:t>should</w:t>
      </w:r>
      <w:r w:rsidR="00CD5316" w:rsidRPr="007D591B">
        <w:rPr>
          <w:rFonts w:ascii="Times New Roman" w:hAnsi="Times New Roman" w:cs="Times New Roman"/>
        </w:rPr>
        <w:t xml:space="preserve"> consider why contracting parties are not using the IPPC dispute settlement process and what they are using instead to resolve technical phytosanitary disputes.</w:t>
      </w:r>
    </w:p>
    <w:p w:rsidR="0068534D" w:rsidRPr="007D591B" w:rsidRDefault="0068534D" w:rsidP="0068534D">
      <w:pPr>
        <w:spacing w:before="120" w:after="120" w:line="240" w:lineRule="auto"/>
        <w:rPr>
          <w:rFonts w:ascii="Times New Roman" w:hAnsi="Times New Roman" w:cs="Times New Roman"/>
        </w:rPr>
      </w:pPr>
      <w:r w:rsidRPr="007D591B">
        <w:rPr>
          <w:rFonts w:ascii="Times New Roman" w:hAnsi="Times New Roman" w:cs="Times New Roman"/>
          <w:b/>
          <w:u w:val="single"/>
        </w:rPr>
        <w:t>Considerations</w:t>
      </w:r>
    </w:p>
    <w:p w:rsidR="0068534D" w:rsidRPr="007D591B" w:rsidRDefault="0068534D" w:rsidP="0068534D">
      <w:pPr>
        <w:spacing w:after="120" w:line="240" w:lineRule="auto"/>
        <w:rPr>
          <w:rFonts w:ascii="Times New Roman" w:hAnsi="Times New Roman" w:cs="Times New Roman"/>
        </w:rPr>
      </w:pPr>
      <w:r w:rsidRPr="007D591B">
        <w:rPr>
          <w:rFonts w:ascii="Times New Roman" w:hAnsi="Times New Roman" w:cs="Times New Roman"/>
        </w:rPr>
        <w:t xml:space="preserve">The SBDS was established by the Commission on Phytosanitary Measures (CPM) in 2006. </w:t>
      </w:r>
      <w:r w:rsidR="00CD5316" w:rsidRPr="007D591B">
        <w:rPr>
          <w:rFonts w:ascii="Times New Roman" w:hAnsi="Times New Roman" w:cs="Times New Roman"/>
        </w:rPr>
        <w:t xml:space="preserve"> </w:t>
      </w:r>
      <w:r w:rsidRPr="007D591B">
        <w:rPr>
          <w:rFonts w:ascii="Times New Roman" w:hAnsi="Times New Roman" w:cs="Times New Roman"/>
        </w:rPr>
        <w:t xml:space="preserve">Its role is to manage the dispute settlement </w:t>
      </w:r>
      <w:r w:rsidR="00CD5316" w:rsidRPr="007D591B">
        <w:rPr>
          <w:rFonts w:ascii="Times New Roman" w:hAnsi="Times New Roman" w:cs="Times New Roman"/>
        </w:rPr>
        <w:t>provisions of the Convention</w:t>
      </w:r>
      <w:r w:rsidRPr="007D591B">
        <w:rPr>
          <w:rFonts w:ascii="Times New Roman" w:hAnsi="Times New Roman" w:cs="Times New Roman"/>
        </w:rPr>
        <w:t xml:space="preserve"> and provide assistance to the CPM with regard to dispute settlement in the WTO and other organisations. </w:t>
      </w:r>
      <w:r w:rsidR="00CD5316" w:rsidRPr="007D591B">
        <w:rPr>
          <w:rFonts w:ascii="Times New Roman" w:hAnsi="Times New Roman" w:cs="Times New Roman"/>
        </w:rPr>
        <w:t xml:space="preserve"> </w:t>
      </w:r>
      <w:r w:rsidRPr="007D591B">
        <w:rPr>
          <w:rFonts w:ascii="Times New Roman" w:hAnsi="Times New Roman" w:cs="Times New Roman"/>
        </w:rPr>
        <w:t xml:space="preserve">It does this by providing guidance in selecting appropriate methods and experts to undertake dispute resolution activities and to approve any reports. </w:t>
      </w:r>
    </w:p>
    <w:p w:rsidR="0068534D" w:rsidRPr="007D591B" w:rsidRDefault="0068534D" w:rsidP="0068534D">
      <w:pPr>
        <w:spacing w:after="120" w:line="240" w:lineRule="auto"/>
        <w:rPr>
          <w:rFonts w:ascii="Times New Roman" w:hAnsi="Times New Roman" w:cs="Times New Roman"/>
        </w:rPr>
      </w:pPr>
      <w:r w:rsidRPr="007D591B">
        <w:rPr>
          <w:rFonts w:ascii="Times New Roman" w:hAnsi="Times New Roman" w:cs="Times New Roman"/>
        </w:rPr>
        <w:t xml:space="preserve">Contracting parties raise unresolved conflicts with the IPPC Secretariat and may seek to start the dispute settlement process. </w:t>
      </w:r>
      <w:r w:rsidR="00CD5316" w:rsidRPr="007D591B">
        <w:rPr>
          <w:rFonts w:ascii="Times New Roman" w:hAnsi="Times New Roman" w:cs="Times New Roman"/>
        </w:rPr>
        <w:t xml:space="preserve"> </w:t>
      </w:r>
      <w:r w:rsidRPr="007D591B">
        <w:rPr>
          <w:rFonts w:ascii="Times New Roman" w:hAnsi="Times New Roman" w:cs="Times New Roman"/>
        </w:rPr>
        <w:t>Under the current Terms</w:t>
      </w:r>
      <w:r w:rsidR="00CD5316" w:rsidRPr="007D591B">
        <w:rPr>
          <w:rFonts w:ascii="Times New Roman" w:hAnsi="Times New Roman" w:cs="Times New Roman"/>
        </w:rPr>
        <w:t xml:space="preserve"> of Reference for the SBDS, it does</w:t>
      </w:r>
      <w:r w:rsidRPr="007D591B">
        <w:rPr>
          <w:rFonts w:ascii="Times New Roman" w:hAnsi="Times New Roman" w:cs="Times New Roman"/>
        </w:rPr>
        <w:t xml:space="preserve"> not get involved in any of the preliminary discussions. The IPPC Secretariat deals with the conflicts and provides advice to the party/</w:t>
      </w:r>
      <w:proofErr w:type="spellStart"/>
      <w:r w:rsidRPr="007D591B">
        <w:rPr>
          <w:rFonts w:ascii="Times New Roman" w:hAnsi="Times New Roman" w:cs="Times New Roman"/>
        </w:rPr>
        <w:t>ies</w:t>
      </w:r>
      <w:proofErr w:type="spellEnd"/>
      <w:r w:rsidRPr="007D591B">
        <w:rPr>
          <w:rFonts w:ascii="Times New Roman" w:hAnsi="Times New Roman" w:cs="Times New Roman"/>
        </w:rPr>
        <w:t>. These conflicts and the IPPC Secretariat advice are not communicated to other parties.</w:t>
      </w:r>
    </w:p>
    <w:p w:rsidR="00C939D1" w:rsidRPr="007D591B" w:rsidRDefault="00C939D1" w:rsidP="00C939D1">
      <w:pPr>
        <w:spacing w:after="120" w:line="240" w:lineRule="auto"/>
        <w:rPr>
          <w:rFonts w:ascii="Times New Roman" w:hAnsi="Times New Roman" w:cs="Times New Roman"/>
        </w:rPr>
      </w:pPr>
      <w:r w:rsidRPr="007D591B">
        <w:rPr>
          <w:rFonts w:ascii="Times New Roman" w:hAnsi="Times New Roman" w:cs="Times New Roman"/>
        </w:rPr>
        <w:t>The IPPC Secretariat reported to CPM 6 (2011) that it was attempting to service the first dispute under the IPPC but that its resources were limited and there had been some communication issues. The SBDS has played no role in any dispute settlement activity since its establishment.</w:t>
      </w:r>
    </w:p>
    <w:p w:rsidR="00C939D1" w:rsidRPr="007D591B" w:rsidRDefault="009E0036" w:rsidP="00C939D1">
      <w:pPr>
        <w:spacing w:after="120" w:line="240" w:lineRule="auto"/>
        <w:rPr>
          <w:rFonts w:ascii="Times New Roman" w:hAnsi="Times New Roman" w:cs="Times New Roman"/>
        </w:rPr>
      </w:pPr>
      <w:r w:rsidRPr="007D591B">
        <w:rPr>
          <w:rFonts w:ascii="Times New Roman" w:hAnsi="Times New Roman" w:cs="Times New Roman"/>
        </w:rPr>
        <w:t>The</w:t>
      </w:r>
      <w:r w:rsidR="00C939D1" w:rsidRPr="007D591B">
        <w:rPr>
          <w:rFonts w:ascii="Times New Roman" w:hAnsi="Times New Roman" w:cs="Times New Roman"/>
        </w:rPr>
        <w:t xml:space="preserve"> existence of the SBDS was queried </w:t>
      </w:r>
      <w:r w:rsidRPr="007D591B">
        <w:rPr>
          <w:rFonts w:ascii="Times New Roman" w:hAnsi="Times New Roman" w:cs="Times New Roman"/>
        </w:rPr>
        <w:t xml:space="preserve">at CPM 6 </w:t>
      </w:r>
      <w:r w:rsidR="00C939D1" w:rsidRPr="007D591B">
        <w:rPr>
          <w:rFonts w:ascii="Times New Roman" w:hAnsi="Times New Roman" w:cs="Times New Roman"/>
        </w:rPr>
        <w:t xml:space="preserve">and the suggestion made that it was time to review the workings of the SBDS given the lack of resources for this body. </w:t>
      </w:r>
      <w:r w:rsidR="00CD5316" w:rsidRPr="007D591B">
        <w:rPr>
          <w:rFonts w:ascii="Times New Roman" w:hAnsi="Times New Roman" w:cs="Times New Roman"/>
        </w:rPr>
        <w:t xml:space="preserve"> </w:t>
      </w:r>
      <w:r w:rsidRPr="007D591B">
        <w:rPr>
          <w:rFonts w:ascii="Times New Roman" w:hAnsi="Times New Roman" w:cs="Times New Roman"/>
        </w:rPr>
        <w:t>The</w:t>
      </w:r>
      <w:r w:rsidR="00C939D1" w:rsidRPr="007D591B">
        <w:rPr>
          <w:rFonts w:ascii="Times New Roman" w:hAnsi="Times New Roman" w:cs="Times New Roman"/>
        </w:rPr>
        <w:t xml:space="preserve"> Secretariat reported </w:t>
      </w:r>
      <w:r w:rsidRPr="007D591B">
        <w:rPr>
          <w:rFonts w:ascii="Times New Roman" w:hAnsi="Times New Roman" w:cs="Times New Roman"/>
        </w:rPr>
        <w:t xml:space="preserve">that </w:t>
      </w:r>
      <w:r w:rsidR="00C939D1" w:rsidRPr="007D591B">
        <w:rPr>
          <w:rFonts w:ascii="Times New Roman" w:hAnsi="Times New Roman" w:cs="Times New Roman"/>
        </w:rPr>
        <w:t xml:space="preserve">steps had already been taken to address this, including that the SBDS would only meet as necessary. </w:t>
      </w:r>
      <w:r w:rsidR="00CD5316" w:rsidRPr="007D591B">
        <w:rPr>
          <w:rFonts w:ascii="Times New Roman" w:hAnsi="Times New Roman" w:cs="Times New Roman"/>
        </w:rPr>
        <w:t xml:space="preserve"> </w:t>
      </w:r>
      <w:r w:rsidR="00C939D1" w:rsidRPr="007D591B">
        <w:rPr>
          <w:rFonts w:ascii="Times New Roman" w:hAnsi="Times New Roman" w:cs="Times New Roman"/>
        </w:rPr>
        <w:t>In addition, following completion of the first dispute, the IPPC would be in a better position to evaluate the SBDS and the dispute settlement process.</w:t>
      </w:r>
    </w:p>
    <w:p w:rsidR="00B42F30" w:rsidRPr="007D591B" w:rsidRDefault="00CD5316" w:rsidP="00C939D1">
      <w:pPr>
        <w:spacing w:after="120" w:line="240" w:lineRule="auto"/>
        <w:rPr>
          <w:rFonts w:ascii="Times New Roman" w:hAnsi="Times New Roman" w:cs="Times New Roman"/>
        </w:rPr>
      </w:pPr>
      <w:r w:rsidRPr="007D591B">
        <w:rPr>
          <w:rFonts w:ascii="Times New Roman" w:hAnsi="Times New Roman" w:cs="Times New Roman"/>
        </w:rPr>
        <w:t xml:space="preserve">Of more fundamental concern and relevant to consideration of the role and function of the SBDS is the lack of use of the IPPC dispute resolution provisions by contracting parties.  </w:t>
      </w:r>
      <w:r w:rsidR="00B42F30" w:rsidRPr="007D591B">
        <w:rPr>
          <w:rFonts w:ascii="Times New Roman" w:hAnsi="Times New Roman" w:cs="Times New Roman"/>
        </w:rPr>
        <w:t xml:space="preserve">In Australia’s experience, technical disagreements on SPS measures do occur between trading partners.  An analysis of the nature of these disagreements and the processes used for their resolution without resorting to the IPPC could inform CPM on the relevance and role of its own processes. </w:t>
      </w:r>
    </w:p>
    <w:p w:rsidR="00C939D1" w:rsidRPr="007D591B" w:rsidRDefault="00C939D1" w:rsidP="00C939D1">
      <w:pPr>
        <w:spacing w:after="120" w:line="240" w:lineRule="auto"/>
        <w:rPr>
          <w:rFonts w:ascii="Times New Roman" w:hAnsi="Times New Roman" w:cs="Times New Roman"/>
        </w:rPr>
      </w:pPr>
      <w:r w:rsidRPr="007D591B">
        <w:rPr>
          <w:rFonts w:ascii="Times New Roman" w:hAnsi="Times New Roman" w:cs="Times New Roman"/>
        </w:rPr>
        <w:t>A more active role for the SBDS could be achieved by revising its responsibilities.  This might including earlier involvement in dispute negotiations to reduce the role of the IPPC Secretariat in the early stages of dispute settlement, freeing up resources for other core functions.</w:t>
      </w:r>
    </w:p>
    <w:p w:rsidR="00C939D1" w:rsidRPr="007D591B" w:rsidRDefault="00C939D1" w:rsidP="00C939D1">
      <w:pPr>
        <w:spacing w:after="120" w:line="240" w:lineRule="auto"/>
        <w:rPr>
          <w:rFonts w:ascii="Times New Roman" w:hAnsi="Times New Roman" w:cs="Times New Roman"/>
        </w:rPr>
      </w:pPr>
      <w:r w:rsidRPr="007D591B">
        <w:rPr>
          <w:rFonts w:ascii="Times New Roman" w:hAnsi="Times New Roman" w:cs="Times New Roman"/>
        </w:rPr>
        <w:t xml:space="preserve">The scope of activities of the SBDS could be expanded to see it take on a more active role in the implementation of the IRSS as a vehicle to assist contracting parties implement the Convention. The SBDS could play a role in exploring and identifying issues impacting on parties’ ability to implement the standards adopted by the CPM; issues that are of a more multilateral concern rather than </w:t>
      </w:r>
      <w:r w:rsidR="006D1C96" w:rsidRPr="007D591B">
        <w:rPr>
          <w:rFonts w:ascii="Times New Roman" w:hAnsi="Times New Roman" w:cs="Times New Roman"/>
        </w:rPr>
        <w:t xml:space="preserve">bilateral </w:t>
      </w:r>
      <w:r w:rsidRPr="007D591B">
        <w:rPr>
          <w:rFonts w:ascii="Times New Roman" w:hAnsi="Times New Roman" w:cs="Times New Roman"/>
        </w:rPr>
        <w:t xml:space="preserve">disputes; </w:t>
      </w:r>
      <w:r w:rsidR="006D1C96" w:rsidRPr="007D591B">
        <w:rPr>
          <w:rFonts w:ascii="Times New Roman" w:hAnsi="Times New Roman" w:cs="Times New Roman"/>
        </w:rPr>
        <w:t>and</w:t>
      </w:r>
      <w:r w:rsidRPr="007D591B">
        <w:rPr>
          <w:rFonts w:ascii="Times New Roman" w:hAnsi="Times New Roman" w:cs="Times New Roman"/>
        </w:rPr>
        <w:t xml:space="preserve"> consider the issues raised as topics for proposed standards to determine if the issue is suitable for a standard or would be better resolved by other mechanisms.</w:t>
      </w:r>
    </w:p>
    <w:p w:rsidR="0068534D" w:rsidRPr="007D591B" w:rsidRDefault="0068534D" w:rsidP="0068534D">
      <w:pPr>
        <w:spacing w:before="120" w:after="120" w:line="240" w:lineRule="auto"/>
        <w:rPr>
          <w:rFonts w:ascii="Times New Roman" w:hAnsi="Times New Roman" w:cs="Times New Roman"/>
        </w:rPr>
      </w:pPr>
      <w:r w:rsidRPr="007D591B">
        <w:rPr>
          <w:rFonts w:ascii="Times New Roman" w:hAnsi="Times New Roman" w:cs="Times New Roman"/>
          <w:b/>
          <w:u w:val="single"/>
        </w:rPr>
        <w:t>Recommendations</w:t>
      </w:r>
    </w:p>
    <w:p w:rsidR="00C939D1" w:rsidRPr="007D591B" w:rsidRDefault="00C939D1" w:rsidP="00C939D1">
      <w:pPr>
        <w:spacing w:after="120" w:line="240" w:lineRule="auto"/>
        <w:rPr>
          <w:rFonts w:ascii="Times New Roman" w:hAnsi="Times New Roman" w:cs="Times New Roman"/>
        </w:rPr>
      </w:pPr>
      <w:r w:rsidRPr="007D591B">
        <w:rPr>
          <w:rFonts w:ascii="Times New Roman" w:hAnsi="Times New Roman" w:cs="Times New Roman"/>
        </w:rPr>
        <w:t>Australia requests SPTA discussion on the future of the body with recommendation that CPM 7 in 2012 consider:</w:t>
      </w:r>
    </w:p>
    <w:p w:rsidR="00B42F30" w:rsidRPr="007D591B" w:rsidRDefault="00C939D1" w:rsidP="006D1C96">
      <w:pPr>
        <w:spacing w:after="120" w:line="240" w:lineRule="auto"/>
        <w:ind w:left="567" w:hanging="567"/>
        <w:rPr>
          <w:rFonts w:ascii="Times New Roman" w:hAnsi="Times New Roman" w:cs="Times New Roman"/>
        </w:rPr>
      </w:pPr>
      <w:r w:rsidRPr="007D591B">
        <w:rPr>
          <w:rFonts w:ascii="Times New Roman" w:hAnsi="Times New Roman" w:cs="Times New Roman"/>
        </w:rPr>
        <w:lastRenderedPageBreak/>
        <w:t>1.</w:t>
      </w:r>
      <w:r w:rsidRPr="007D591B">
        <w:rPr>
          <w:rFonts w:ascii="Times New Roman" w:hAnsi="Times New Roman" w:cs="Times New Roman"/>
        </w:rPr>
        <w:tab/>
      </w:r>
      <w:r w:rsidR="00B42F30" w:rsidRPr="007D591B">
        <w:rPr>
          <w:rFonts w:ascii="Times New Roman" w:hAnsi="Times New Roman" w:cs="Times New Roman"/>
        </w:rPr>
        <w:t xml:space="preserve">Undertaking a review of the nature and frequency of disputes between contracting parties relating to compliance </w:t>
      </w:r>
      <w:r w:rsidR="00A5440B" w:rsidRPr="007D591B">
        <w:rPr>
          <w:rFonts w:ascii="Times New Roman" w:hAnsi="Times New Roman" w:cs="Times New Roman"/>
        </w:rPr>
        <w:t>with their obligations to</w:t>
      </w:r>
      <w:r w:rsidR="00B42F30" w:rsidRPr="007D591B">
        <w:rPr>
          <w:rFonts w:ascii="Times New Roman" w:hAnsi="Times New Roman" w:cs="Times New Roman"/>
        </w:rPr>
        <w:t xml:space="preserve"> the IPPC and the application of SPS measures, </w:t>
      </w:r>
      <w:r w:rsidR="00A5440B" w:rsidRPr="007D591B">
        <w:rPr>
          <w:rFonts w:ascii="Times New Roman" w:hAnsi="Times New Roman" w:cs="Times New Roman"/>
        </w:rPr>
        <w:t xml:space="preserve">and identifying the </w:t>
      </w:r>
      <w:r w:rsidR="00B42F30" w:rsidRPr="007D591B">
        <w:rPr>
          <w:rFonts w:ascii="Times New Roman" w:hAnsi="Times New Roman" w:cs="Times New Roman"/>
        </w:rPr>
        <w:t>processes applied to resolve them</w:t>
      </w:r>
      <w:r w:rsidR="009E0036" w:rsidRPr="007D591B">
        <w:rPr>
          <w:rFonts w:ascii="Times New Roman" w:hAnsi="Times New Roman" w:cs="Times New Roman"/>
        </w:rPr>
        <w:t>; and,</w:t>
      </w:r>
    </w:p>
    <w:p w:rsidR="00B42F30" w:rsidRPr="007D591B" w:rsidRDefault="00B42F30" w:rsidP="006D1C96">
      <w:pPr>
        <w:spacing w:after="120" w:line="240" w:lineRule="auto"/>
        <w:ind w:left="567" w:hanging="567"/>
        <w:rPr>
          <w:rFonts w:ascii="Times New Roman" w:hAnsi="Times New Roman" w:cs="Times New Roman"/>
        </w:rPr>
      </w:pPr>
      <w:r w:rsidRPr="007D591B">
        <w:rPr>
          <w:rFonts w:ascii="Times New Roman" w:hAnsi="Times New Roman" w:cs="Times New Roman"/>
        </w:rPr>
        <w:t>2.</w:t>
      </w:r>
      <w:r w:rsidRPr="007D591B">
        <w:rPr>
          <w:rFonts w:ascii="Times New Roman" w:hAnsi="Times New Roman" w:cs="Times New Roman"/>
        </w:rPr>
        <w:tab/>
      </w:r>
      <w:r w:rsidR="00A5440B" w:rsidRPr="007D591B">
        <w:rPr>
          <w:rFonts w:ascii="Times New Roman" w:hAnsi="Times New Roman" w:cs="Times New Roman"/>
        </w:rPr>
        <w:t>Through the review also determine</w:t>
      </w:r>
      <w:r w:rsidRPr="007D591B">
        <w:rPr>
          <w:rFonts w:ascii="Times New Roman" w:hAnsi="Times New Roman" w:cs="Times New Roman"/>
        </w:rPr>
        <w:t xml:space="preserve"> why IPPC dispute resolution processes are not being used</w:t>
      </w:r>
      <w:r w:rsidR="009E0036" w:rsidRPr="007D591B">
        <w:rPr>
          <w:rFonts w:ascii="Times New Roman" w:hAnsi="Times New Roman" w:cs="Times New Roman"/>
        </w:rPr>
        <w:t>.</w:t>
      </w:r>
    </w:p>
    <w:p w:rsidR="00C939D1" w:rsidRPr="007D591B" w:rsidRDefault="00A92782" w:rsidP="006D1C96">
      <w:pPr>
        <w:spacing w:after="120" w:line="240" w:lineRule="auto"/>
        <w:ind w:left="567" w:hanging="567"/>
        <w:rPr>
          <w:rFonts w:ascii="Times New Roman" w:hAnsi="Times New Roman" w:cs="Times New Roman"/>
        </w:rPr>
      </w:pPr>
      <w:r w:rsidRPr="007D591B">
        <w:rPr>
          <w:rFonts w:ascii="Times New Roman" w:hAnsi="Times New Roman" w:cs="Times New Roman"/>
        </w:rPr>
        <w:t>3</w:t>
      </w:r>
      <w:r w:rsidR="00B42F30" w:rsidRPr="007D591B">
        <w:rPr>
          <w:rFonts w:ascii="Times New Roman" w:hAnsi="Times New Roman" w:cs="Times New Roman"/>
        </w:rPr>
        <w:t>.</w:t>
      </w:r>
      <w:r w:rsidR="00B42F30" w:rsidRPr="007D591B">
        <w:rPr>
          <w:rFonts w:ascii="Times New Roman" w:hAnsi="Times New Roman" w:cs="Times New Roman"/>
        </w:rPr>
        <w:tab/>
      </w:r>
      <w:r w:rsidR="009E0036" w:rsidRPr="007D591B">
        <w:rPr>
          <w:rFonts w:ascii="Times New Roman" w:hAnsi="Times New Roman" w:cs="Times New Roman"/>
        </w:rPr>
        <w:t xml:space="preserve">Within the context provided by the review and </w:t>
      </w:r>
      <w:r w:rsidR="005C45DB" w:rsidRPr="007D591B">
        <w:rPr>
          <w:rFonts w:ascii="Times New Roman" w:hAnsi="Times New Roman" w:cs="Times New Roman"/>
        </w:rPr>
        <w:t>taking into account obligations conferred by the International Plant Protection Convention (IPPC) in relation to dispute settlement</w:t>
      </w:r>
      <w:r w:rsidR="009E0036" w:rsidRPr="007D591B">
        <w:rPr>
          <w:rFonts w:ascii="Times New Roman" w:hAnsi="Times New Roman" w:cs="Times New Roman"/>
        </w:rPr>
        <w:t>, review the role and function of the SBDS</w:t>
      </w:r>
      <w:r w:rsidR="00C939D1" w:rsidRPr="007D591B">
        <w:rPr>
          <w:rFonts w:ascii="Times New Roman" w:hAnsi="Times New Roman" w:cs="Times New Roman"/>
        </w:rPr>
        <w:t>.</w:t>
      </w:r>
    </w:p>
    <w:p w:rsidR="005C45DB" w:rsidRPr="007D591B" w:rsidRDefault="00A92782" w:rsidP="006D1C96">
      <w:pPr>
        <w:spacing w:after="120" w:line="240" w:lineRule="auto"/>
        <w:ind w:left="567" w:hanging="567"/>
        <w:rPr>
          <w:rFonts w:ascii="Times New Roman" w:hAnsi="Times New Roman" w:cs="Times New Roman"/>
        </w:rPr>
      </w:pPr>
      <w:r w:rsidRPr="007D591B">
        <w:rPr>
          <w:rFonts w:ascii="Times New Roman" w:hAnsi="Times New Roman" w:cs="Times New Roman"/>
        </w:rPr>
        <w:t>4</w:t>
      </w:r>
      <w:r w:rsidR="00C939D1" w:rsidRPr="007D591B">
        <w:rPr>
          <w:rFonts w:ascii="Times New Roman" w:hAnsi="Times New Roman" w:cs="Times New Roman"/>
        </w:rPr>
        <w:t>.</w:t>
      </w:r>
      <w:r w:rsidR="00C939D1" w:rsidRPr="007D591B">
        <w:rPr>
          <w:rFonts w:ascii="Times New Roman" w:hAnsi="Times New Roman" w:cs="Times New Roman"/>
        </w:rPr>
        <w:tab/>
      </w:r>
      <w:r w:rsidR="00A5440B" w:rsidRPr="007D591B">
        <w:rPr>
          <w:rFonts w:ascii="Times New Roman" w:hAnsi="Times New Roman" w:cs="Times New Roman"/>
        </w:rPr>
        <w:t>Separately e</w:t>
      </w:r>
      <w:r w:rsidR="009E0036" w:rsidRPr="007D591B">
        <w:rPr>
          <w:rFonts w:ascii="Times New Roman" w:hAnsi="Times New Roman" w:cs="Times New Roman"/>
        </w:rPr>
        <w:t>xplore opportunities</w:t>
      </w:r>
      <w:r w:rsidR="005C45DB" w:rsidRPr="007D591B">
        <w:rPr>
          <w:rFonts w:ascii="Times New Roman" w:hAnsi="Times New Roman" w:cs="Times New Roman"/>
        </w:rPr>
        <w:t xml:space="preserve"> for the SBDS to expand its role to assist earlier in dispute resolution processes, thereby freeing up Secretariat resources</w:t>
      </w:r>
      <w:r w:rsidR="009E0036" w:rsidRPr="007D591B">
        <w:rPr>
          <w:rFonts w:ascii="Times New Roman" w:hAnsi="Times New Roman" w:cs="Times New Roman"/>
        </w:rPr>
        <w:t>, as well as, opportunities</w:t>
      </w:r>
      <w:r w:rsidR="005C45DB" w:rsidRPr="007D591B">
        <w:rPr>
          <w:rFonts w:ascii="Times New Roman" w:hAnsi="Times New Roman" w:cs="Times New Roman"/>
        </w:rPr>
        <w:t xml:space="preserve"> for the SBDS to take an active role in the identification, analysis and resolution of issues impacting on the ability of contracting parties to implement their IPPC obligation</w:t>
      </w:r>
      <w:r w:rsidR="009E0036" w:rsidRPr="007D591B">
        <w:rPr>
          <w:rFonts w:ascii="Times New Roman" w:hAnsi="Times New Roman" w:cs="Times New Roman"/>
        </w:rPr>
        <w:t>s</w:t>
      </w:r>
      <w:r w:rsidR="00A5440B" w:rsidRPr="007D591B">
        <w:rPr>
          <w:rFonts w:ascii="Times New Roman" w:hAnsi="Times New Roman" w:cs="Times New Roman"/>
        </w:rPr>
        <w:t xml:space="preserve"> and feeding these into standard setting and technical assistance/capacity building priorities</w:t>
      </w:r>
      <w:r w:rsidR="005C45DB" w:rsidRPr="007D591B">
        <w:rPr>
          <w:rFonts w:ascii="Times New Roman" w:hAnsi="Times New Roman" w:cs="Times New Roman"/>
        </w:rPr>
        <w:t>.</w:t>
      </w:r>
    </w:p>
    <w:p w:rsidR="00C939D1" w:rsidRPr="007D591B" w:rsidRDefault="00C939D1" w:rsidP="00C939D1">
      <w:pPr>
        <w:spacing w:line="240" w:lineRule="auto"/>
        <w:rPr>
          <w:rFonts w:ascii="Times New Roman" w:hAnsi="Times New Roman" w:cs="Times New Roman"/>
        </w:rPr>
      </w:pPr>
    </w:p>
    <w:p w:rsidR="0068534D" w:rsidRPr="007D591B" w:rsidRDefault="0068534D" w:rsidP="0068534D">
      <w:pPr>
        <w:spacing w:after="120" w:line="240" w:lineRule="auto"/>
        <w:rPr>
          <w:rFonts w:ascii="Times New Roman" w:hAnsi="Times New Roman" w:cs="Times New Roman"/>
        </w:rPr>
      </w:pPr>
    </w:p>
    <w:p w:rsidR="00A22164" w:rsidRPr="007D591B" w:rsidRDefault="005C45DB" w:rsidP="0068534D">
      <w:pPr>
        <w:spacing w:after="120" w:line="240" w:lineRule="auto"/>
        <w:rPr>
          <w:rFonts w:ascii="Times New Roman" w:hAnsi="Times New Roman" w:cs="Times New Roman"/>
        </w:rPr>
      </w:pPr>
      <w:r w:rsidRPr="007D591B">
        <w:rPr>
          <w:rFonts w:ascii="Times New Roman" w:hAnsi="Times New Roman" w:cs="Times New Roman"/>
        </w:rPr>
        <w:t>Australia</w:t>
      </w:r>
    </w:p>
    <w:p w:rsidR="00A22164" w:rsidRPr="007D591B" w:rsidRDefault="00282085" w:rsidP="0068534D">
      <w:pPr>
        <w:spacing w:after="120" w:line="240" w:lineRule="auto"/>
        <w:rPr>
          <w:rFonts w:ascii="Times New Roman" w:hAnsi="Times New Roman" w:cs="Times New Roman"/>
        </w:rPr>
      </w:pPr>
      <w:r w:rsidRPr="007D591B">
        <w:rPr>
          <w:rFonts w:ascii="Times New Roman" w:hAnsi="Times New Roman" w:cs="Times New Roman"/>
        </w:rPr>
        <w:t>23 September 2011</w:t>
      </w:r>
    </w:p>
    <w:p w:rsidR="00651C27" w:rsidRPr="007D591B" w:rsidRDefault="00651C27" w:rsidP="00954BA2">
      <w:pPr>
        <w:spacing w:line="240" w:lineRule="auto"/>
        <w:rPr>
          <w:rFonts w:ascii="Times New Roman" w:hAnsi="Times New Roman" w:cs="Times New Roman"/>
        </w:rPr>
      </w:pPr>
    </w:p>
    <w:sectPr w:rsidR="00651C27" w:rsidRPr="007D591B" w:rsidSect="00094BE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6EA" w:rsidRDefault="00A926EA" w:rsidP="00121925">
      <w:pPr>
        <w:spacing w:after="0" w:line="240" w:lineRule="auto"/>
      </w:pPr>
      <w:r>
        <w:separator/>
      </w:r>
    </w:p>
  </w:endnote>
  <w:endnote w:type="continuationSeparator" w:id="0">
    <w:p w:rsidR="00A926EA" w:rsidRDefault="00A926EA" w:rsidP="00121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4706"/>
      <w:docPartObj>
        <w:docPartGallery w:val="Page Numbers (Bottom of Page)"/>
        <w:docPartUnique/>
      </w:docPartObj>
    </w:sdtPr>
    <w:sdtContent>
      <w:p w:rsidR="00A926EA" w:rsidRDefault="0044750A">
        <w:pPr>
          <w:pStyle w:val="Footer"/>
          <w:jc w:val="center"/>
        </w:pPr>
        <w:fldSimple w:instr=" PAGE   \* MERGEFORMAT ">
          <w:r w:rsidR="007D591B">
            <w:rPr>
              <w:noProof/>
            </w:rPr>
            <w:t>1</w:t>
          </w:r>
        </w:fldSimple>
      </w:p>
    </w:sdtContent>
  </w:sdt>
  <w:p w:rsidR="00A926EA" w:rsidRDefault="00A926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6EA" w:rsidRDefault="00A926EA" w:rsidP="00121925">
      <w:pPr>
        <w:spacing w:after="0" w:line="240" w:lineRule="auto"/>
      </w:pPr>
      <w:r>
        <w:separator/>
      </w:r>
    </w:p>
  </w:footnote>
  <w:footnote w:type="continuationSeparator" w:id="0">
    <w:p w:rsidR="00A926EA" w:rsidRDefault="00A926EA" w:rsidP="001219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91B" w:rsidRPr="009171CA" w:rsidRDefault="007D591B" w:rsidP="007D591B">
    <w:pPr>
      <w:pStyle w:val="Header1"/>
      <w:rPr>
        <w:sz w:val="20"/>
        <w:szCs w:val="20"/>
      </w:rPr>
    </w:pPr>
    <w:r>
      <w:rPr>
        <w:noProof/>
      </w:rPr>
      <w:drawing>
        <wp:inline distT="0" distB="0" distL="0" distR="0">
          <wp:extent cx="633730" cy="328930"/>
          <wp:effectExtent l="0" t="0" r="127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3730" cy="328930"/>
                  </a:xfrm>
                  <a:prstGeom prst="rect">
                    <a:avLst/>
                  </a:prstGeom>
                  <a:noFill/>
                  <a:ln>
                    <a:noFill/>
                  </a:ln>
                </pic:spPr>
              </pic:pic>
            </a:graphicData>
          </a:graphic>
        </wp:inline>
      </w:drawing>
    </w:r>
    <w:r w:rsidRPr="009171CA">
      <w:t>International Plant Protection Convention</w:t>
    </w:r>
    <w:r>
      <w:tab/>
    </w:r>
    <w:r>
      <w:rPr>
        <w:sz w:val="20"/>
        <w:szCs w:val="20"/>
      </w:rPr>
      <w:t xml:space="preserve">SPTA </w:t>
    </w:r>
    <w:r w:rsidRPr="009171CA">
      <w:rPr>
        <w:sz w:val="20"/>
        <w:szCs w:val="20"/>
      </w:rPr>
      <w:t>2011/1</w:t>
    </w:r>
    <w:r>
      <w:rPr>
        <w:sz w:val="20"/>
        <w:szCs w:val="20"/>
      </w:rPr>
      <w:t>6</w:t>
    </w:r>
  </w:p>
  <w:p w:rsidR="00A926EA" w:rsidRPr="007D591B" w:rsidRDefault="007D591B" w:rsidP="007D591B">
    <w:pPr>
      <w:pStyle w:val="Header1"/>
      <w:rPr>
        <w:rFonts w:eastAsia="Times New Roman"/>
        <w:color w:val="auto"/>
        <w:sz w:val="18"/>
        <w:szCs w:val="18"/>
      </w:rPr>
    </w:pPr>
    <w:r w:rsidRPr="007D591B">
      <w:t>Australia</w:t>
    </w:r>
    <w:r>
      <w:t>n</w:t>
    </w:r>
    <w:r w:rsidRPr="007D591B">
      <w:t xml:space="preserve"> paper: SBDS</w:t>
    </w:r>
    <w:r w:rsidRPr="007D591B">
      <w:tab/>
    </w:r>
    <w:r w:rsidRPr="007D591B">
      <w:tab/>
    </w:r>
    <w:r w:rsidRPr="007D591B">
      <w:tab/>
    </w:r>
    <w:r w:rsidRPr="007D591B">
      <w:rPr>
        <w:sz w:val="18"/>
        <w:szCs w:val="18"/>
      </w:rPr>
      <w:t xml:space="preserve">Agenda item: </w:t>
    </w:r>
    <w:r>
      <w:rPr>
        <w:sz w:val="18"/>
        <w:szCs w:val="18"/>
      </w:rPr>
      <w:t>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DB4"/>
    <w:multiLevelType w:val="hybridMultilevel"/>
    <w:tmpl w:val="AB8A7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5632CF"/>
    <w:multiLevelType w:val="hybridMultilevel"/>
    <w:tmpl w:val="F88CA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A0348D"/>
    <w:multiLevelType w:val="hybridMultilevel"/>
    <w:tmpl w:val="915E5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121925"/>
    <w:rsid w:val="00000908"/>
    <w:rsid w:val="00021349"/>
    <w:rsid w:val="00070E0C"/>
    <w:rsid w:val="00071DC9"/>
    <w:rsid w:val="00094BE4"/>
    <w:rsid w:val="000D1D17"/>
    <w:rsid w:val="00121925"/>
    <w:rsid w:val="00282085"/>
    <w:rsid w:val="00372CAB"/>
    <w:rsid w:val="003974D4"/>
    <w:rsid w:val="0044750A"/>
    <w:rsid w:val="0046550F"/>
    <w:rsid w:val="00472895"/>
    <w:rsid w:val="004B38F5"/>
    <w:rsid w:val="004E0581"/>
    <w:rsid w:val="004E263B"/>
    <w:rsid w:val="00576B9F"/>
    <w:rsid w:val="0059282E"/>
    <w:rsid w:val="005C45DB"/>
    <w:rsid w:val="005E45E8"/>
    <w:rsid w:val="00631BDC"/>
    <w:rsid w:val="00651C27"/>
    <w:rsid w:val="00667F02"/>
    <w:rsid w:val="0068534D"/>
    <w:rsid w:val="006C6892"/>
    <w:rsid w:val="006D1C96"/>
    <w:rsid w:val="006F431E"/>
    <w:rsid w:val="007425F5"/>
    <w:rsid w:val="00792C67"/>
    <w:rsid w:val="007D591B"/>
    <w:rsid w:val="008308C7"/>
    <w:rsid w:val="008B60BD"/>
    <w:rsid w:val="00910141"/>
    <w:rsid w:val="00954BA2"/>
    <w:rsid w:val="0097546F"/>
    <w:rsid w:val="00980EEF"/>
    <w:rsid w:val="009B7566"/>
    <w:rsid w:val="009E0036"/>
    <w:rsid w:val="00A22164"/>
    <w:rsid w:val="00A5440B"/>
    <w:rsid w:val="00A6101E"/>
    <w:rsid w:val="00A926EA"/>
    <w:rsid w:val="00A92782"/>
    <w:rsid w:val="00A95E86"/>
    <w:rsid w:val="00A96BFB"/>
    <w:rsid w:val="00AB2B00"/>
    <w:rsid w:val="00AE0475"/>
    <w:rsid w:val="00B42F30"/>
    <w:rsid w:val="00BF5BAD"/>
    <w:rsid w:val="00C268AA"/>
    <w:rsid w:val="00C859E7"/>
    <w:rsid w:val="00C939D1"/>
    <w:rsid w:val="00CD5316"/>
    <w:rsid w:val="00CF03B5"/>
    <w:rsid w:val="00D97408"/>
    <w:rsid w:val="00DB55B4"/>
    <w:rsid w:val="00DD29D3"/>
    <w:rsid w:val="00DE01BE"/>
    <w:rsid w:val="00E2710D"/>
    <w:rsid w:val="00EA75D7"/>
    <w:rsid w:val="00F51DFF"/>
    <w:rsid w:val="00F56AB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B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925"/>
  </w:style>
  <w:style w:type="paragraph" w:styleId="Footer">
    <w:name w:val="footer"/>
    <w:basedOn w:val="Normal"/>
    <w:link w:val="FooterChar"/>
    <w:uiPriority w:val="99"/>
    <w:unhideWhenUsed/>
    <w:rsid w:val="00121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925"/>
  </w:style>
  <w:style w:type="paragraph" w:styleId="ListParagraph">
    <w:name w:val="List Paragraph"/>
    <w:basedOn w:val="Normal"/>
    <w:uiPriority w:val="34"/>
    <w:qFormat/>
    <w:rsid w:val="00070E0C"/>
    <w:pPr>
      <w:ind w:left="720"/>
      <w:contextualSpacing/>
    </w:pPr>
  </w:style>
  <w:style w:type="paragraph" w:customStyle="1" w:styleId="Header1">
    <w:name w:val="Header1"/>
    <w:autoRedefine/>
    <w:rsid w:val="007D591B"/>
    <w:pPr>
      <w:pBdr>
        <w:bottom w:val="single" w:sz="4" w:space="1" w:color="auto"/>
      </w:pBdr>
      <w:tabs>
        <w:tab w:val="left" w:pos="4160"/>
        <w:tab w:val="center" w:pos="4320"/>
        <w:tab w:val="right" w:pos="9072"/>
      </w:tabs>
      <w:spacing w:after="240" w:line="240" w:lineRule="auto"/>
    </w:pPr>
    <w:rPr>
      <w:rFonts w:asciiTheme="minorBidi" w:eastAsia="ヒラギノ角ゴ Pro W3" w:hAnsiTheme="minorBidi"/>
      <w:color w:val="00000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rymer julia</dc:creator>
  <cp:lastModifiedBy>Nowell</cp:lastModifiedBy>
  <cp:revision>2</cp:revision>
  <dcterms:created xsi:type="dcterms:W3CDTF">2011-09-30T05:42:00Z</dcterms:created>
  <dcterms:modified xsi:type="dcterms:W3CDTF">2011-09-30T05:42:00Z</dcterms:modified>
</cp:coreProperties>
</file>