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7A" w:rsidRDefault="0058787A" w:rsidP="0058787A">
      <w:pPr>
        <w:pStyle w:val="SpacePara"/>
        <w:tabs>
          <w:tab w:val="right" w:pos="8646"/>
        </w:tabs>
        <w:rPr>
          <w:noProof w:val="0"/>
        </w:rPr>
      </w:pPr>
    </w:p>
    <w:p w:rsidR="0058787A" w:rsidRDefault="0058787A" w:rsidP="0058787A">
      <w:pPr>
        <w:pStyle w:val="SpacePara"/>
        <w:tabs>
          <w:tab w:val="right" w:pos="8646"/>
        </w:tabs>
        <w:rPr>
          <w:noProof w:val="0"/>
        </w:rPr>
      </w:pPr>
    </w:p>
    <w:p w:rsidR="0058787A" w:rsidRPr="0058787A" w:rsidRDefault="0058787A" w:rsidP="000B3226">
      <w:pPr>
        <w:pStyle w:val="SpacePara"/>
        <w:tabs>
          <w:tab w:val="left" w:pos="2130"/>
        </w:tabs>
        <w:rPr>
          <w:b/>
          <w:noProof w:val="0"/>
          <w:sz w:val="28"/>
          <w:szCs w:val="28"/>
        </w:rPr>
      </w:pPr>
      <w:r>
        <w:rPr>
          <w:noProof w:val="0"/>
        </w:rPr>
        <w:tab/>
      </w:r>
      <w:r>
        <w:rPr>
          <w:b/>
          <w:noProof w:val="0"/>
          <w:sz w:val="28"/>
          <w:szCs w:val="28"/>
        </w:rPr>
        <w:t>CLASSIFICATION OF CPM D</w:t>
      </w:r>
      <w:r w:rsidR="000B373D">
        <w:rPr>
          <w:b/>
          <w:noProof w:val="0"/>
          <w:sz w:val="28"/>
          <w:szCs w:val="28"/>
        </w:rPr>
        <w:t>OCUMENTS</w:t>
      </w:r>
    </w:p>
    <w:p w:rsidR="0058787A" w:rsidRDefault="0058787A" w:rsidP="0058787A">
      <w:pPr>
        <w:pStyle w:val="SpacePara"/>
        <w:tabs>
          <w:tab w:val="right" w:pos="8646"/>
        </w:tabs>
        <w:rPr>
          <w:noProof w:val="0"/>
        </w:rPr>
      </w:pPr>
    </w:p>
    <w:p w:rsidR="00E16695" w:rsidRDefault="00BC00C2" w:rsidP="00BC00C2">
      <w:pPr>
        <w:pStyle w:val="SpacePara"/>
        <w:tabs>
          <w:tab w:val="right" w:pos="8646"/>
        </w:tabs>
        <w:spacing w:line="360" w:lineRule="auto"/>
        <w:rPr>
          <w:noProof w:val="0"/>
          <w:sz w:val="24"/>
          <w:szCs w:val="24"/>
        </w:rPr>
      </w:pPr>
      <w:r>
        <w:rPr>
          <w:noProof w:val="0"/>
          <w:sz w:val="24"/>
          <w:szCs w:val="24"/>
        </w:rPr>
        <w:t>A</w:t>
      </w:r>
      <w:r w:rsidR="0058787A" w:rsidRPr="0058787A">
        <w:rPr>
          <w:noProof w:val="0"/>
          <w:sz w:val="24"/>
          <w:szCs w:val="24"/>
        </w:rPr>
        <w:t xml:space="preserve"> paper </w:t>
      </w:r>
      <w:r>
        <w:rPr>
          <w:noProof w:val="0"/>
          <w:sz w:val="24"/>
          <w:szCs w:val="24"/>
        </w:rPr>
        <w:t xml:space="preserve">on categories of IPPC related documents </w:t>
      </w:r>
      <w:r w:rsidR="002760A1">
        <w:rPr>
          <w:noProof w:val="0"/>
          <w:sz w:val="24"/>
          <w:szCs w:val="24"/>
        </w:rPr>
        <w:t xml:space="preserve">describing the clearances required for documents used under the IPPC framework </w:t>
      </w:r>
      <w:r w:rsidR="0058787A" w:rsidRPr="0058787A">
        <w:rPr>
          <w:noProof w:val="0"/>
          <w:sz w:val="24"/>
          <w:szCs w:val="24"/>
        </w:rPr>
        <w:t xml:space="preserve">was presented to </w:t>
      </w:r>
      <w:r>
        <w:rPr>
          <w:noProof w:val="0"/>
          <w:sz w:val="24"/>
          <w:szCs w:val="24"/>
        </w:rPr>
        <w:t xml:space="preserve">the SPTA in 2011 and to </w:t>
      </w:r>
      <w:r w:rsidR="0058787A" w:rsidRPr="0058787A">
        <w:rPr>
          <w:noProof w:val="0"/>
          <w:sz w:val="24"/>
          <w:szCs w:val="24"/>
        </w:rPr>
        <w:t>CPM-6 (2011) as an Information document in English only</w:t>
      </w:r>
      <w:r w:rsidR="002760A1">
        <w:rPr>
          <w:noProof w:val="0"/>
          <w:sz w:val="24"/>
          <w:szCs w:val="24"/>
        </w:rPr>
        <w:t xml:space="preserve"> (CPM 2001/INF/19)</w:t>
      </w:r>
      <w:r w:rsidR="0058787A" w:rsidRPr="0058787A">
        <w:rPr>
          <w:noProof w:val="0"/>
          <w:sz w:val="24"/>
          <w:szCs w:val="24"/>
        </w:rPr>
        <w:t xml:space="preserve">. </w:t>
      </w:r>
    </w:p>
    <w:p w:rsidR="00BC00C2" w:rsidRDefault="00BC00C2" w:rsidP="00BC00C2">
      <w:pPr>
        <w:pStyle w:val="SpacePara"/>
        <w:tabs>
          <w:tab w:val="right" w:pos="8646"/>
        </w:tabs>
        <w:spacing w:line="360" w:lineRule="auto"/>
        <w:rPr>
          <w:noProof w:val="0"/>
          <w:sz w:val="24"/>
          <w:szCs w:val="24"/>
        </w:rPr>
      </w:pPr>
      <w:r w:rsidRPr="00BC00C2">
        <w:rPr>
          <w:noProof w:val="0"/>
          <w:sz w:val="24"/>
          <w:szCs w:val="24"/>
        </w:rPr>
        <w:t xml:space="preserve">It was </w:t>
      </w:r>
      <w:r w:rsidR="002760A1">
        <w:rPr>
          <w:noProof w:val="0"/>
          <w:sz w:val="24"/>
          <w:szCs w:val="24"/>
        </w:rPr>
        <w:t>discussed by</w:t>
      </w:r>
      <w:r w:rsidRPr="00BC00C2">
        <w:rPr>
          <w:noProof w:val="0"/>
          <w:sz w:val="24"/>
          <w:szCs w:val="24"/>
        </w:rPr>
        <w:t xml:space="preserve"> the Bureau in June 2012 and the Bureau asked the Secretariat to discuss further the status of the explanatory documents internally and to present the issue to the SPG. </w:t>
      </w:r>
      <w:r>
        <w:rPr>
          <w:noProof w:val="0"/>
          <w:sz w:val="24"/>
          <w:szCs w:val="24"/>
        </w:rPr>
        <w:t xml:space="preserve">A small modification has been made </w:t>
      </w:r>
      <w:r w:rsidR="00CB64EE">
        <w:rPr>
          <w:noProof w:val="0"/>
          <w:sz w:val="24"/>
          <w:szCs w:val="24"/>
        </w:rPr>
        <w:t>to</w:t>
      </w:r>
      <w:r>
        <w:rPr>
          <w:noProof w:val="0"/>
          <w:sz w:val="24"/>
          <w:szCs w:val="24"/>
        </w:rPr>
        <w:t xml:space="preserve"> the </w:t>
      </w:r>
      <w:r w:rsidR="002760A1">
        <w:rPr>
          <w:noProof w:val="0"/>
          <w:sz w:val="24"/>
          <w:szCs w:val="24"/>
        </w:rPr>
        <w:t>table</w:t>
      </w:r>
      <w:r>
        <w:rPr>
          <w:noProof w:val="0"/>
          <w:sz w:val="24"/>
          <w:szCs w:val="24"/>
        </w:rPr>
        <w:t xml:space="preserve"> that was presented to the Bureau (the example of “explanatory documents” has been removed from the list of examples under Technical resources – Good </w:t>
      </w:r>
      <w:proofErr w:type="spellStart"/>
      <w:r>
        <w:rPr>
          <w:noProof w:val="0"/>
          <w:sz w:val="24"/>
          <w:szCs w:val="24"/>
        </w:rPr>
        <w:t>Phytosanitary</w:t>
      </w:r>
      <w:proofErr w:type="spellEnd"/>
      <w:r>
        <w:rPr>
          <w:noProof w:val="0"/>
          <w:sz w:val="24"/>
          <w:szCs w:val="24"/>
        </w:rPr>
        <w:t xml:space="preserve"> Practices).</w:t>
      </w:r>
    </w:p>
    <w:p w:rsidR="00BC00C2" w:rsidRDefault="00BC00C2" w:rsidP="00BC00C2">
      <w:pPr>
        <w:pStyle w:val="SpacePara"/>
        <w:tabs>
          <w:tab w:val="right" w:pos="8646"/>
        </w:tabs>
        <w:spacing w:line="360" w:lineRule="auto"/>
        <w:rPr>
          <w:noProof w:val="0"/>
          <w:sz w:val="24"/>
          <w:szCs w:val="24"/>
        </w:rPr>
      </w:pPr>
    </w:p>
    <w:p w:rsidR="00BC00C2" w:rsidRDefault="00BC00C2" w:rsidP="00BC00C2">
      <w:pPr>
        <w:pStyle w:val="SpacePara"/>
        <w:tabs>
          <w:tab w:val="right" w:pos="8646"/>
        </w:tabs>
        <w:spacing w:line="360" w:lineRule="auto"/>
        <w:rPr>
          <w:noProof w:val="0"/>
          <w:sz w:val="24"/>
          <w:szCs w:val="24"/>
        </w:rPr>
      </w:pPr>
      <w:r>
        <w:rPr>
          <w:noProof w:val="0"/>
          <w:sz w:val="24"/>
          <w:szCs w:val="24"/>
        </w:rPr>
        <w:t>The SPG is invited</w:t>
      </w:r>
      <w:r w:rsidR="000B3226">
        <w:rPr>
          <w:noProof w:val="0"/>
          <w:sz w:val="24"/>
          <w:szCs w:val="24"/>
        </w:rPr>
        <w:t xml:space="preserve"> to</w:t>
      </w:r>
      <w:r>
        <w:rPr>
          <w:noProof w:val="0"/>
          <w:sz w:val="24"/>
          <w:szCs w:val="24"/>
        </w:rPr>
        <w:t xml:space="preserve">: </w:t>
      </w:r>
    </w:p>
    <w:p w:rsidR="000B3226" w:rsidRDefault="00BC00C2" w:rsidP="002760A1">
      <w:pPr>
        <w:pStyle w:val="SpacePara"/>
        <w:numPr>
          <w:ilvl w:val="0"/>
          <w:numId w:val="3"/>
        </w:numPr>
        <w:tabs>
          <w:tab w:val="right" w:pos="8646"/>
        </w:tabs>
        <w:spacing w:line="360" w:lineRule="auto"/>
        <w:rPr>
          <w:noProof w:val="0"/>
          <w:sz w:val="24"/>
          <w:szCs w:val="24"/>
        </w:rPr>
        <w:sectPr w:rsidR="000B3226" w:rsidSect="000B3226">
          <w:headerReference w:type="default" r:id="rId8"/>
          <w:footerReference w:type="even" r:id="rId9"/>
          <w:footerReference w:type="default" r:id="rId10"/>
          <w:pgSz w:w="11907" w:h="16840" w:code="9"/>
          <w:pgMar w:top="1559" w:right="1418" w:bottom="1559" w:left="1559" w:header="851" w:footer="851" w:gutter="0"/>
          <w:cols w:space="720"/>
          <w:docGrid w:linePitch="360"/>
        </w:sectPr>
      </w:pPr>
      <w:r w:rsidRPr="000B3226">
        <w:rPr>
          <w:i/>
          <w:noProof w:val="0"/>
          <w:sz w:val="24"/>
          <w:szCs w:val="24"/>
        </w:rPr>
        <w:t>note</w:t>
      </w:r>
      <w:r w:rsidRPr="000B3226">
        <w:rPr>
          <w:noProof w:val="0"/>
          <w:sz w:val="24"/>
          <w:szCs w:val="24"/>
        </w:rPr>
        <w:t xml:space="preserve"> the attached document.</w:t>
      </w:r>
    </w:p>
    <w:p w:rsidR="002760A1" w:rsidRPr="000B3226" w:rsidRDefault="002760A1" w:rsidP="002760A1">
      <w:pPr>
        <w:pStyle w:val="Body"/>
        <w:jc w:val="right"/>
        <w:rPr>
          <w:rFonts w:ascii="Times New Roman" w:hAnsi="Times New Roman"/>
          <w:b/>
          <w:bCs/>
          <w:sz w:val="22"/>
          <w:szCs w:val="22"/>
          <w:u w:val="single"/>
          <w:lang w:val="en-GB"/>
        </w:rPr>
      </w:pPr>
      <w:r w:rsidRPr="000B3226">
        <w:rPr>
          <w:rFonts w:ascii="Times New Roman" w:hAnsi="Times New Roman"/>
          <w:b/>
          <w:bCs/>
          <w:sz w:val="22"/>
          <w:szCs w:val="22"/>
          <w:u w:val="single"/>
          <w:lang w:val="en-GB"/>
        </w:rPr>
        <w:lastRenderedPageBreak/>
        <w:t>A</w:t>
      </w:r>
      <w:r w:rsidR="000B3226" w:rsidRPr="000B3226">
        <w:rPr>
          <w:rFonts w:ascii="Times New Roman" w:hAnsi="Times New Roman"/>
          <w:b/>
          <w:bCs/>
          <w:sz w:val="22"/>
          <w:szCs w:val="22"/>
          <w:u w:val="single"/>
          <w:lang w:val="en-GB"/>
        </w:rPr>
        <w:t>ttachment</w:t>
      </w:r>
      <w:r w:rsidRPr="000B3226">
        <w:rPr>
          <w:rFonts w:ascii="Times New Roman" w:hAnsi="Times New Roman"/>
          <w:b/>
          <w:bCs/>
          <w:sz w:val="22"/>
          <w:szCs w:val="22"/>
          <w:u w:val="single"/>
          <w:lang w:val="en-GB"/>
        </w:rPr>
        <w:t xml:space="preserve"> 1</w:t>
      </w:r>
    </w:p>
    <w:tbl>
      <w:tblPr>
        <w:tblW w:w="5128" w:type="pct"/>
        <w:jc w:val="center"/>
        <w:tblInd w:w="96" w:type="dxa"/>
        <w:shd w:val="clear" w:color="auto" w:fill="FFFFFF"/>
        <w:tblLayout w:type="fixed"/>
        <w:tblCellMar>
          <w:left w:w="85" w:type="dxa"/>
          <w:right w:w="85" w:type="dxa"/>
        </w:tblCellMar>
        <w:tblLook w:val="0000"/>
      </w:tblPr>
      <w:tblGrid>
        <w:gridCol w:w="1561"/>
        <w:gridCol w:w="3973"/>
        <w:gridCol w:w="1132"/>
        <w:gridCol w:w="1984"/>
        <w:gridCol w:w="1987"/>
        <w:gridCol w:w="3553"/>
      </w:tblGrid>
      <w:tr w:rsidR="006663CF" w:rsidRPr="0046005C" w:rsidTr="00204297">
        <w:trPr>
          <w:trHeight w:val="520"/>
          <w:tblHeader/>
          <w:jc w:val="center"/>
        </w:trPr>
        <w:tc>
          <w:tcPr>
            <w:tcW w:w="550" w:type="pct"/>
            <w:tcBorders>
              <w:top w:val="single" w:sz="8" w:space="0" w:color="auto"/>
              <w:left w:val="single" w:sz="8" w:space="0" w:color="auto"/>
              <w:bottom w:val="single" w:sz="8" w:space="0" w:color="auto"/>
              <w:right w:val="single" w:sz="8" w:space="0" w:color="auto"/>
            </w:tcBorders>
            <w:shd w:val="clear" w:color="auto" w:fill="33521D"/>
            <w:tcMar>
              <w:top w:w="57" w:type="dxa"/>
              <w:left w:w="57" w:type="dxa"/>
              <w:right w:w="57" w:type="dxa"/>
            </w:tcMar>
            <w:vAlign w:val="center"/>
          </w:tcPr>
          <w:p w:rsidR="002760A1" w:rsidRPr="0046005C" w:rsidRDefault="002760A1" w:rsidP="0046005C">
            <w:pPr>
              <w:pStyle w:val="TableHeading"/>
              <w:rPr>
                <w:rFonts w:ascii="Times New Roman" w:hAnsi="Times New Roman"/>
                <w:b/>
                <w:bCs/>
                <w:sz w:val="16"/>
                <w:szCs w:val="16"/>
                <w:lang w:val="en-GB"/>
              </w:rPr>
            </w:pPr>
            <w:r w:rsidRPr="0046005C">
              <w:rPr>
                <w:rFonts w:ascii="Times New Roman" w:hAnsi="Times New Roman"/>
                <w:b/>
                <w:bCs/>
                <w:sz w:val="16"/>
                <w:szCs w:val="16"/>
                <w:lang w:val="en-GB"/>
              </w:rPr>
              <w:t>Category</w:t>
            </w:r>
          </w:p>
        </w:tc>
        <w:tc>
          <w:tcPr>
            <w:tcW w:w="1400" w:type="pct"/>
            <w:tcBorders>
              <w:top w:val="single" w:sz="8" w:space="0" w:color="auto"/>
              <w:left w:val="single" w:sz="8" w:space="0" w:color="auto"/>
              <w:bottom w:val="single" w:sz="8" w:space="0" w:color="auto"/>
              <w:right w:val="single" w:sz="8" w:space="0" w:color="auto"/>
            </w:tcBorders>
            <w:shd w:val="clear" w:color="auto" w:fill="33521D"/>
            <w:tcMar>
              <w:top w:w="57" w:type="dxa"/>
              <w:left w:w="57" w:type="dxa"/>
              <w:right w:w="57" w:type="dxa"/>
            </w:tcMar>
            <w:vAlign w:val="center"/>
          </w:tcPr>
          <w:p w:rsidR="002760A1" w:rsidRPr="0046005C" w:rsidRDefault="002760A1" w:rsidP="002912D2">
            <w:pPr>
              <w:pStyle w:val="TableHeading"/>
              <w:rPr>
                <w:rFonts w:ascii="Times New Roman" w:hAnsi="Times New Roman"/>
                <w:b/>
                <w:bCs/>
                <w:sz w:val="16"/>
                <w:szCs w:val="16"/>
                <w:lang w:val="en-GB"/>
              </w:rPr>
            </w:pPr>
            <w:r w:rsidRPr="0046005C">
              <w:rPr>
                <w:rFonts w:ascii="Times New Roman" w:hAnsi="Times New Roman"/>
                <w:b/>
                <w:bCs/>
                <w:sz w:val="16"/>
                <w:szCs w:val="16"/>
                <w:lang w:val="en-GB"/>
              </w:rPr>
              <w:t>Objectives</w:t>
            </w:r>
          </w:p>
        </w:tc>
        <w:tc>
          <w:tcPr>
            <w:tcW w:w="399" w:type="pct"/>
            <w:tcBorders>
              <w:top w:val="single" w:sz="8" w:space="0" w:color="auto"/>
              <w:left w:val="single" w:sz="8" w:space="0" w:color="auto"/>
              <w:bottom w:val="single" w:sz="8" w:space="0" w:color="auto"/>
              <w:right w:val="single" w:sz="8" w:space="0" w:color="auto"/>
            </w:tcBorders>
            <w:shd w:val="clear" w:color="auto" w:fill="33521D"/>
            <w:tcMar>
              <w:top w:w="57" w:type="dxa"/>
              <w:left w:w="57" w:type="dxa"/>
              <w:right w:w="57" w:type="dxa"/>
            </w:tcMar>
            <w:vAlign w:val="center"/>
          </w:tcPr>
          <w:p w:rsidR="002760A1" w:rsidRPr="0046005C" w:rsidRDefault="002760A1" w:rsidP="002912D2">
            <w:pPr>
              <w:pStyle w:val="TableHeading"/>
              <w:rPr>
                <w:rFonts w:ascii="Times New Roman" w:hAnsi="Times New Roman"/>
                <w:b/>
                <w:bCs/>
                <w:sz w:val="16"/>
                <w:szCs w:val="16"/>
                <w:lang w:val="en-GB"/>
              </w:rPr>
            </w:pPr>
            <w:r w:rsidRPr="0046005C">
              <w:rPr>
                <w:rFonts w:ascii="Times New Roman" w:hAnsi="Times New Roman"/>
                <w:b/>
                <w:bCs/>
                <w:sz w:val="16"/>
                <w:szCs w:val="16"/>
                <w:lang w:val="en-GB"/>
              </w:rPr>
              <w:t>Refs</w:t>
            </w:r>
          </w:p>
        </w:tc>
        <w:tc>
          <w:tcPr>
            <w:tcW w:w="699" w:type="pct"/>
            <w:tcBorders>
              <w:top w:val="single" w:sz="8" w:space="0" w:color="auto"/>
              <w:left w:val="single" w:sz="8" w:space="0" w:color="auto"/>
              <w:bottom w:val="single" w:sz="8" w:space="0" w:color="auto"/>
              <w:right w:val="single" w:sz="8" w:space="0" w:color="auto"/>
            </w:tcBorders>
            <w:shd w:val="clear" w:color="auto" w:fill="33521D"/>
            <w:tcMar>
              <w:top w:w="57" w:type="dxa"/>
              <w:left w:w="57" w:type="dxa"/>
              <w:right w:w="57" w:type="dxa"/>
            </w:tcMar>
            <w:vAlign w:val="center"/>
          </w:tcPr>
          <w:p w:rsidR="002760A1" w:rsidRPr="0046005C" w:rsidRDefault="002760A1" w:rsidP="002912D2">
            <w:pPr>
              <w:pStyle w:val="TableHeading"/>
              <w:rPr>
                <w:rFonts w:ascii="Times New Roman" w:hAnsi="Times New Roman"/>
                <w:b/>
                <w:bCs/>
                <w:sz w:val="16"/>
                <w:szCs w:val="16"/>
                <w:lang w:val="en-GB"/>
              </w:rPr>
            </w:pPr>
            <w:r w:rsidRPr="0046005C">
              <w:rPr>
                <w:rFonts w:ascii="Times New Roman" w:hAnsi="Times New Roman"/>
                <w:b/>
                <w:bCs/>
                <w:sz w:val="16"/>
                <w:szCs w:val="16"/>
                <w:lang w:val="en-GB"/>
              </w:rPr>
              <w:t>Authorship</w:t>
            </w:r>
          </w:p>
        </w:tc>
        <w:tc>
          <w:tcPr>
            <w:tcW w:w="700" w:type="pct"/>
            <w:tcBorders>
              <w:top w:val="single" w:sz="8" w:space="0" w:color="auto"/>
              <w:left w:val="single" w:sz="8" w:space="0" w:color="auto"/>
              <w:bottom w:val="single" w:sz="8" w:space="0" w:color="auto"/>
              <w:right w:val="single" w:sz="8" w:space="0" w:color="auto"/>
            </w:tcBorders>
            <w:shd w:val="clear" w:color="auto" w:fill="33521D"/>
            <w:tcMar>
              <w:top w:w="57" w:type="dxa"/>
              <w:left w:w="57" w:type="dxa"/>
              <w:right w:w="57" w:type="dxa"/>
            </w:tcMar>
            <w:vAlign w:val="center"/>
          </w:tcPr>
          <w:p w:rsidR="002760A1" w:rsidRPr="0046005C" w:rsidRDefault="002760A1" w:rsidP="002912D2">
            <w:pPr>
              <w:pStyle w:val="TableHeading"/>
              <w:rPr>
                <w:rFonts w:ascii="Times New Roman" w:hAnsi="Times New Roman"/>
                <w:b/>
                <w:bCs/>
                <w:sz w:val="16"/>
                <w:szCs w:val="16"/>
                <w:lang w:val="en-GB"/>
              </w:rPr>
            </w:pPr>
            <w:r w:rsidRPr="0046005C">
              <w:rPr>
                <w:rFonts w:ascii="Times New Roman" w:hAnsi="Times New Roman"/>
                <w:b/>
                <w:bCs/>
                <w:sz w:val="16"/>
                <w:szCs w:val="16"/>
                <w:lang w:val="en-GB"/>
              </w:rPr>
              <w:t>Oversight</w:t>
            </w:r>
          </w:p>
        </w:tc>
        <w:tc>
          <w:tcPr>
            <w:tcW w:w="1253" w:type="pct"/>
            <w:tcBorders>
              <w:top w:val="single" w:sz="8" w:space="0" w:color="auto"/>
              <w:left w:val="single" w:sz="8" w:space="0" w:color="auto"/>
              <w:bottom w:val="single" w:sz="8" w:space="0" w:color="auto"/>
              <w:right w:val="single" w:sz="8" w:space="0" w:color="auto"/>
            </w:tcBorders>
            <w:shd w:val="clear" w:color="auto" w:fill="33521D"/>
            <w:tcMar>
              <w:top w:w="57" w:type="dxa"/>
              <w:left w:w="57" w:type="dxa"/>
              <w:bottom w:w="100" w:type="dxa"/>
              <w:right w:w="57" w:type="dxa"/>
            </w:tcMar>
            <w:vAlign w:val="center"/>
          </w:tcPr>
          <w:p w:rsidR="002760A1" w:rsidRPr="0046005C" w:rsidRDefault="002760A1" w:rsidP="0046005C">
            <w:pPr>
              <w:pStyle w:val="TableHeading"/>
              <w:jc w:val="left"/>
              <w:rPr>
                <w:rFonts w:ascii="Times New Roman" w:hAnsi="Times New Roman"/>
                <w:b/>
                <w:bCs/>
                <w:sz w:val="16"/>
                <w:szCs w:val="16"/>
                <w:lang w:val="en-GB"/>
              </w:rPr>
            </w:pPr>
            <w:r w:rsidRPr="0046005C">
              <w:rPr>
                <w:rFonts w:ascii="Times New Roman" w:hAnsi="Times New Roman"/>
                <w:b/>
                <w:bCs/>
                <w:sz w:val="16"/>
                <w:szCs w:val="16"/>
                <w:lang w:val="en-GB"/>
              </w:rPr>
              <w:t>Clearance process</w:t>
            </w:r>
          </w:p>
        </w:tc>
      </w:tr>
      <w:tr w:rsidR="003137BE" w:rsidRPr="0046005C" w:rsidTr="00204297">
        <w:trPr>
          <w:trHeight w:val="3677"/>
          <w:jc w:val="center"/>
        </w:trPr>
        <w:tc>
          <w:tcPr>
            <w:tcW w:w="550" w:type="pct"/>
            <w:tcBorders>
              <w:top w:val="single" w:sz="8" w:space="0" w:color="auto"/>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b/>
                <w:bCs/>
                <w:sz w:val="16"/>
                <w:szCs w:val="16"/>
                <w:lang w:val="en-GB"/>
              </w:rPr>
            </w:pPr>
            <w:r w:rsidRPr="0046005C">
              <w:rPr>
                <w:rFonts w:ascii="Times New Roman" w:hAnsi="Times New Roman"/>
                <w:b/>
                <w:bCs/>
                <w:sz w:val="16"/>
                <w:szCs w:val="16"/>
                <w:lang w:val="en-GB"/>
              </w:rPr>
              <w:t>Strategies and work plans</w:t>
            </w:r>
          </w:p>
        </w:tc>
        <w:tc>
          <w:tcPr>
            <w:tcW w:w="1400" w:type="pct"/>
            <w:tcBorders>
              <w:top w:val="single" w:sz="8" w:space="0" w:color="auto"/>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46005C"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This includes:</w:t>
            </w:r>
          </w:p>
          <w:p w:rsidR="002760A1" w:rsidRPr="0046005C" w:rsidRDefault="002760A1" w:rsidP="0046005C">
            <w:pPr>
              <w:pStyle w:val="Body"/>
              <w:numPr>
                <w:ilvl w:val="0"/>
                <w:numId w:val="1"/>
              </w:numPr>
              <w:tabs>
                <w:tab w:val="clear" w:pos="360"/>
                <w:tab w:val="num" w:pos="165"/>
              </w:tabs>
              <w:spacing w:after="0"/>
              <w:ind w:left="164" w:hanging="164"/>
              <w:rPr>
                <w:rFonts w:ascii="Times New Roman" w:hAnsi="Times New Roman"/>
                <w:sz w:val="16"/>
                <w:szCs w:val="16"/>
                <w:lang w:val="en-GB"/>
              </w:rPr>
            </w:pPr>
            <w:r w:rsidRPr="0046005C">
              <w:rPr>
                <w:rFonts w:ascii="Times New Roman" w:hAnsi="Times New Roman"/>
                <w:sz w:val="16"/>
                <w:szCs w:val="16"/>
                <w:lang w:val="en-GB"/>
              </w:rPr>
              <w:t>the CPM strategic framework, which includes medium and long term plans;</w:t>
            </w:r>
          </w:p>
          <w:p w:rsidR="002760A1" w:rsidRPr="0046005C" w:rsidRDefault="002760A1" w:rsidP="0046005C">
            <w:pPr>
              <w:pStyle w:val="Body"/>
              <w:numPr>
                <w:ilvl w:val="0"/>
                <w:numId w:val="1"/>
              </w:numPr>
              <w:tabs>
                <w:tab w:val="clear" w:pos="360"/>
                <w:tab w:val="num" w:pos="165"/>
              </w:tabs>
              <w:spacing w:after="0"/>
              <w:ind w:left="164" w:hanging="164"/>
              <w:rPr>
                <w:rFonts w:ascii="Times New Roman" w:hAnsi="Times New Roman"/>
                <w:sz w:val="16"/>
                <w:szCs w:val="16"/>
                <w:lang w:val="en-GB"/>
              </w:rPr>
            </w:pPr>
            <w:r w:rsidRPr="0046005C">
              <w:rPr>
                <w:rFonts w:ascii="Times New Roman" w:hAnsi="Times New Roman"/>
                <w:sz w:val="16"/>
                <w:szCs w:val="16"/>
                <w:lang w:val="en-GB"/>
              </w:rPr>
              <w:t>strategy documents for standard setting, communications, capacity building, dispute settlement and resource mobilization;</w:t>
            </w:r>
          </w:p>
          <w:p w:rsidR="002760A1" w:rsidRPr="0046005C" w:rsidRDefault="002760A1" w:rsidP="0046005C">
            <w:pPr>
              <w:pStyle w:val="Body"/>
              <w:numPr>
                <w:ilvl w:val="0"/>
                <w:numId w:val="1"/>
              </w:numPr>
              <w:tabs>
                <w:tab w:val="clear" w:pos="360"/>
                <w:tab w:val="num" w:pos="165"/>
              </w:tabs>
              <w:spacing w:after="0"/>
              <w:ind w:left="164" w:hanging="164"/>
              <w:rPr>
                <w:rFonts w:ascii="Times New Roman" w:hAnsi="Times New Roman"/>
                <w:sz w:val="16"/>
                <w:szCs w:val="16"/>
                <w:lang w:val="en-GB"/>
              </w:rPr>
            </w:pPr>
            <w:r w:rsidRPr="0046005C">
              <w:rPr>
                <w:rFonts w:ascii="Times New Roman" w:hAnsi="Times New Roman"/>
                <w:sz w:val="16"/>
                <w:szCs w:val="16"/>
                <w:lang w:val="en-GB"/>
              </w:rPr>
              <w:t>the programme of work and budget;</w:t>
            </w:r>
          </w:p>
          <w:p w:rsidR="002760A1" w:rsidRPr="0046005C" w:rsidRDefault="002760A1" w:rsidP="0046005C">
            <w:pPr>
              <w:pStyle w:val="Body"/>
              <w:numPr>
                <w:ilvl w:val="0"/>
                <w:numId w:val="1"/>
              </w:numPr>
              <w:tabs>
                <w:tab w:val="clear" w:pos="360"/>
                <w:tab w:val="num" w:pos="165"/>
              </w:tabs>
              <w:spacing w:after="0"/>
              <w:ind w:left="164" w:hanging="164"/>
              <w:rPr>
                <w:rFonts w:ascii="Times New Roman" w:hAnsi="Times New Roman"/>
                <w:sz w:val="16"/>
                <w:szCs w:val="16"/>
                <w:lang w:val="en-GB"/>
              </w:rPr>
            </w:pPr>
            <w:r w:rsidRPr="0046005C">
              <w:rPr>
                <w:rFonts w:ascii="Times New Roman" w:hAnsi="Times New Roman"/>
                <w:sz w:val="16"/>
                <w:szCs w:val="16"/>
                <w:lang w:val="en-GB"/>
              </w:rPr>
              <w:t>work plans.</w:t>
            </w:r>
          </w:p>
        </w:tc>
        <w:tc>
          <w:tcPr>
            <w:tcW w:w="399" w:type="pct"/>
            <w:tcBorders>
              <w:top w:val="single" w:sz="8" w:space="0" w:color="auto"/>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FAO guidelines and CPM decisions</w:t>
            </w:r>
          </w:p>
        </w:tc>
        <w:tc>
          <w:tcPr>
            <w:tcW w:w="699" w:type="pct"/>
            <w:tcBorders>
              <w:top w:val="single" w:sz="8" w:space="0" w:color="auto"/>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Drafted by the CPM Bureau in conjunction with the IPPC Secretariat</w:t>
            </w:r>
          </w:p>
        </w:tc>
        <w:tc>
          <w:tcPr>
            <w:tcW w:w="700" w:type="pct"/>
            <w:tcBorders>
              <w:top w:val="single" w:sz="8" w:space="0" w:color="auto"/>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IPPC Secretariat, incorporated into FAO programming</w:t>
            </w:r>
          </w:p>
        </w:tc>
        <w:tc>
          <w:tcPr>
            <w:tcW w:w="1253" w:type="pct"/>
            <w:tcBorders>
              <w:top w:val="single" w:sz="8" w:space="0" w:color="auto"/>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Adopted by the CPM</w:t>
            </w:r>
          </w:p>
        </w:tc>
      </w:tr>
      <w:tr w:rsidR="003137BE" w:rsidRPr="0046005C" w:rsidTr="00204297">
        <w:trPr>
          <w:trHeight w:val="2315"/>
          <w:jc w:val="center"/>
        </w:trPr>
        <w:tc>
          <w:tcPr>
            <w:tcW w:w="55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b/>
                <w:bCs/>
                <w:sz w:val="16"/>
                <w:szCs w:val="16"/>
                <w:lang w:val="en-GB"/>
              </w:rPr>
            </w:pPr>
            <w:r w:rsidRPr="0046005C">
              <w:rPr>
                <w:rFonts w:ascii="Times New Roman" w:hAnsi="Times New Roman"/>
                <w:b/>
                <w:bCs/>
                <w:sz w:val="16"/>
                <w:szCs w:val="16"/>
                <w:lang w:val="en-GB"/>
              </w:rPr>
              <w:t>CPM Meeting documents &amp; report</w:t>
            </w:r>
          </w:p>
        </w:tc>
        <w:tc>
          <w:tcPr>
            <w:tcW w:w="140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T</w:t>
            </w:r>
            <w:r w:rsidRPr="0046005C">
              <w:rPr>
                <w:rFonts w:ascii="Times New Roman" w:hAnsi="Times New Roman"/>
                <w:snapToGrid w:val="0"/>
                <w:sz w:val="16"/>
                <w:szCs w:val="16"/>
                <w:lang w:val="en-GB"/>
              </w:rPr>
              <w:t>he Secretary shall be responsible for implementing the policies and activities of the Commission and carrying out such other functions as may be assigned to the Secretary by this Convention and shall report thereon to the Commission.</w:t>
            </w:r>
          </w:p>
        </w:tc>
        <w:tc>
          <w:tcPr>
            <w:tcW w:w="399"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Article XII.3 of the IPPC</w:t>
            </w:r>
          </w:p>
        </w:tc>
        <w:tc>
          <w:tcPr>
            <w:tcW w:w="699"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Relevant parties</w:t>
            </w:r>
          </w:p>
        </w:tc>
        <w:tc>
          <w:tcPr>
            <w:tcW w:w="70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IPPC Secretariat</w:t>
            </w:r>
          </w:p>
        </w:tc>
        <w:tc>
          <w:tcPr>
            <w:tcW w:w="1253"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 xml:space="preserve">The report is </w:t>
            </w:r>
            <w:r w:rsidRPr="0046005C">
              <w:rPr>
                <w:rFonts w:ascii="Times New Roman" w:hAnsi="Times New Roman"/>
                <w:sz w:val="16"/>
                <w:szCs w:val="16"/>
                <w:u w:val="single"/>
                <w:lang w:val="en-GB"/>
              </w:rPr>
              <w:t>adopted</w:t>
            </w:r>
            <w:r w:rsidRPr="0046005C">
              <w:rPr>
                <w:rFonts w:ascii="Times New Roman" w:hAnsi="Times New Roman"/>
                <w:sz w:val="16"/>
                <w:szCs w:val="16"/>
                <w:lang w:val="en-GB"/>
              </w:rPr>
              <w:t xml:space="preserve"> by the CPM at the end of each session.</w:t>
            </w:r>
          </w:p>
          <w:p w:rsidR="002760A1" w:rsidRPr="0046005C" w:rsidRDefault="002760A1" w:rsidP="0046005C">
            <w:pPr>
              <w:pStyle w:val="Body"/>
              <w:spacing w:after="0"/>
              <w:rPr>
                <w:rFonts w:ascii="Times New Roman" w:hAnsi="Times New Roman"/>
                <w:sz w:val="16"/>
                <w:szCs w:val="16"/>
                <w:lang w:val="en-GB"/>
              </w:rPr>
            </w:pPr>
          </w:p>
          <w:p w:rsidR="002760A1" w:rsidRPr="0046005C" w:rsidRDefault="002760A1" w:rsidP="0046005C">
            <w:pPr>
              <w:pStyle w:val="Body"/>
              <w:spacing w:after="0"/>
              <w:rPr>
                <w:rFonts w:ascii="Times New Roman" w:hAnsi="Times New Roman"/>
                <w:sz w:val="16"/>
                <w:szCs w:val="16"/>
                <w:lang w:val="en-GB"/>
              </w:rPr>
            </w:pPr>
          </w:p>
        </w:tc>
      </w:tr>
      <w:tr w:rsidR="003137BE" w:rsidRPr="0046005C" w:rsidTr="00204297">
        <w:trPr>
          <w:trHeight w:val="4033"/>
          <w:jc w:val="center"/>
        </w:trPr>
        <w:tc>
          <w:tcPr>
            <w:tcW w:w="55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b/>
                <w:bCs/>
                <w:sz w:val="16"/>
                <w:szCs w:val="16"/>
                <w:lang w:val="en-GB"/>
              </w:rPr>
            </w:pPr>
            <w:r w:rsidRPr="0046005C">
              <w:rPr>
                <w:rFonts w:ascii="Times New Roman" w:hAnsi="Times New Roman"/>
                <w:b/>
                <w:bCs/>
                <w:sz w:val="16"/>
                <w:szCs w:val="16"/>
                <w:lang w:val="en-GB"/>
              </w:rPr>
              <w:lastRenderedPageBreak/>
              <w:t>CPM recommendations</w:t>
            </w:r>
          </w:p>
        </w:tc>
        <w:tc>
          <w:tcPr>
            <w:tcW w:w="140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 xml:space="preserve">CPM Recommendations are decisions and agreements made by the CPM, according to existing procedures (as noted by CPM-4. See 2009 CPM-4 report, section 13.9, paragraph 193.3) and are intended to promote or achieve the objectives of the IPPC. These decisions and agreements may consist of directions, guidance, or calls to action to the contracting parties or the Secretariat or both, on matters that may not be appropriately or effectively expressed as an ISPM, on which </w:t>
            </w:r>
            <w:proofErr w:type="spellStart"/>
            <w:r w:rsidRPr="0046005C">
              <w:rPr>
                <w:rFonts w:ascii="Times New Roman" w:hAnsi="Times New Roman"/>
                <w:sz w:val="16"/>
                <w:szCs w:val="16"/>
                <w:lang w:val="en-GB"/>
              </w:rPr>
              <w:t>phytosanitary</w:t>
            </w:r>
            <w:proofErr w:type="spellEnd"/>
            <w:r w:rsidRPr="0046005C">
              <w:rPr>
                <w:rFonts w:ascii="Times New Roman" w:hAnsi="Times New Roman"/>
                <w:sz w:val="16"/>
                <w:szCs w:val="16"/>
                <w:lang w:val="en-GB"/>
              </w:rPr>
              <w:t xml:space="preserve"> measure(s) are based.</w:t>
            </w:r>
          </w:p>
        </w:tc>
        <w:tc>
          <w:tcPr>
            <w:tcW w:w="399"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CPM-4 and 5</w:t>
            </w:r>
          </w:p>
        </w:tc>
        <w:tc>
          <w:tcPr>
            <w:tcW w:w="699"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Relevant parties</w:t>
            </w:r>
          </w:p>
        </w:tc>
        <w:tc>
          <w:tcPr>
            <w:tcW w:w="70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IPPC Secretariat</w:t>
            </w:r>
          </w:p>
        </w:tc>
        <w:tc>
          <w:tcPr>
            <w:tcW w:w="1253"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 xml:space="preserve">The CPM process for developing and adopting </w:t>
            </w:r>
            <w:r w:rsidRPr="0046005C">
              <w:rPr>
                <w:rFonts w:ascii="Times New Roman" w:hAnsi="Times New Roman"/>
                <w:sz w:val="16"/>
                <w:szCs w:val="16"/>
                <w:u w:val="single"/>
                <w:lang w:val="en-GB"/>
              </w:rPr>
              <w:t>Recommendation</w:t>
            </w:r>
            <w:r w:rsidRPr="0046005C">
              <w:rPr>
                <w:rFonts w:ascii="Times New Roman" w:hAnsi="Times New Roman"/>
                <w:sz w:val="16"/>
                <w:szCs w:val="16"/>
                <w:lang w:val="en-GB"/>
              </w:rPr>
              <w:t>s is much more flexible than the process for adopting ISPMs. This allows the CPM to consider the appropriate presentation for a given decision or agreement once the subject has been sufficiently analyzed and developed.</w:t>
            </w:r>
          </w:p>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A CPM Recommendation would be adopted when CPM agrees or decides to something that is relevant to the ongoing activities of all contracting parties in the area of plant protection, in accordance with and within the context of the IPPC.</w:t>
            </w:r>
          </w:p>
        </w:tc>
      </w:tr>
      <w:tr w:rsidR="003137BE" w:rsidRPr="0046005C" w:rsidTr="00204297">
        <w:trPr>
          <w:trHeight w:val="353"/>
          <w:jc w:val="center"/>
        </w:trPr>
        <w:tc>
          <w:tcPr>
            <w:tcW w:w="55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b/>
                <w:bCs/>
                <w:sz w:val="16"/>
                <w:szCs w:val="16"/>
                <w:lang w:val="en-GB"/>
              </w:rPr>
            </w:pPr>
            <w:r w:rsidRPr="0046005C">
              <w:rPr>
                <w:rFonts w:ascii="Times New Roman" w:hAnsi="Times New Roman"/>
                <w:b/>
                <w:bCs/>
                <w:sz w:val="16"/>
                <w:szCs w:val="16"/>
                <w:lang w:val="en-GB"/>
              </w:rPr>
              <w:t>Procedural manual</w:t>
            </w:r>
          </w:p>
        </w:tc>
        <w:tc>
          <w:tcPr>
            <w:tcW w:w="140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 xml:space="preserve">The Procedural Manual provides the decisions, procedures and practices of the Commission on </w:t>
            </w:r>
            <w:proofErr w:type="spellStart"/>
            <w:r w:rsidRPr="0046005C">
              <w:rPr>
                <w:rFonts w:ascii="Times New Roman" w:hAnsi="Times New Roman"/>
                <w:sz w:val="16"/>
                <w:szCs w:val="16"/>
                <w:lang w:val="en-GB"/>
              </w:rPr>
              <w:t>Phytosanitary</w:t>
            </w:r>
            <w:proofErr w:type="spellEnd"/>
            <w:r w:rsidRPr="0046005C">
              <w:rPr>
                <w:rFonts w:ascii="Times New Roman" w:hAnsi="Times New Roman"/>
                <w:sz w:val="16"/>
                <w:szCs w:val="16"/>
                <w:lang w:val="en-GB"/>
              </w:rPr>
              <w:t xml:space="preserve"> Measures (CPM), its subsidiary bodies and other relevant drafting groups.</w:t>
            </w:r>
          </w:p>
        </w:tc>
        <w:tc>
          <w:tcPr>
            <w:tcW w:w="399"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w:t>
            </w:r>
          </w:p>
          <w:p w:rsidR="002760A1" w:rsidRPr="0046005C" w:rsidRDefault="002760A1" w:rsidP="0046005C">
            <w:pPr>
              <w:pStyle w:val="Body"/>
              <w:spacing w:after="0"/>
              <w:jc w:val="center"/>
              <w:rPr>
                <w:rFonts w:ascii="Times New Roman" w:hAnsi="Times New Roman"/>
                <w:sz w:val="16"/>
                <w:szCs w:val="16"/>
                <w:lang w:val="en-GB"/>
              </w:rPr>
            </w:pPr>
          </w:p>
        </w:tc>
        <w:tc>
          <w:tcPr>
            <w:tcW w:w="699"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Compiled by the IPPC Secretariat</w:t>
            </w:r>
          </w:p>
        </w:tc>
        <w:tc>
          <w:tcPr>
            <w:tcW w:w="70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IPPC Secretariat</w:t>
            </w:r>
          </w:p>
        </w:tc>
        <w:tc>
          <w:tcPr>
            <w:tcW w:w="1253"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Text is taken from other documents that have previously been adopted by the CPM, ICPM, etc</w:t>
            </w:r>
          </w:p>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 xml:space="preserve">Developed by the Secretariat as procedure support material – </w:t>
            </w:r>
            <w:r w:rsidRPr="0046005C">
              <w:rPr>
                <w:rFonts w:ascii="Times New Roman" w:hAnsi="Times New Roman"/>
                <w:sz w:val="16"/>
                <w:szCs w:val="16"/>
                <w:u w:val="single"/>
                <w:lang w:val="en-GB"/>
              </w:rPr>
              <w:t>noted</w:t>
            </w:r>
            <w:r w:rsidRPr="0046005C">
              <w:rPr>
                <w:rFonts w:ascii="Times New Roman" w:hAnsi="Times New Roman"/>
                <w:sz w:val="16"/>
                <w:szCs w:val="16"/>
                <w:lang w:val="en-GB"/>
              </w:rPr>
              <w:t xml:space="preserve"> by the CPM.</w:t>
            </w:r>
          </w:p>
        </w:tc>
      </w:tr>
      <w:tr w:rsidR="003137BE" w:rsidRPr="0046005C" w:rsidTr="00204297">
        <w:trPr>
          <w:trHeight w:val="443"/>
          <w:jc w:val="center"/>
        </w:trPr>
        <w:tc>
          <w:tcPr>
            <w:tcW w:w="55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b/>
                <w:bCs/>
                <w:sz w:val="16"/>
                <w:szCs w:val="16"/>
                <w:lang w:val="en-GB"/>
              </w:rPr>
            </w:pPr>
            <w:r w:rsidRPr="0046005C">
              <w:rPr>
                <w:rFonts w:ascii="Times New Roman" w:hAnsi="Times New Roman"/>
                <w:b/>
                <w:bCs/>
                <w:sz w:val="16"/>
                <w:szCs w:val="16"/>
                <w:lang w:val="en-GB"/>
              </w:rPr>
              <w:t>Other meeting documents and reports</w:t>
            </w:r>
          </w:p>
        </w:tc>
        <w:tc>
          <w:tcPr>
            <w:tcW w:w="140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Various meeting as at present e.g. Working Groups, Technical Consultations, SPTA, SBDS</w:t>
            </w:r>
          </w:p>
        </w:tc>
        <w:tc>
          <w:tcPr>
            <w:tcW w:w="399"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Various</w:t>
            </w:r>
          </w:p>
        </w:tc>
        <w:tc>
          <w:tcPr>
            <w:tcW w:w="699"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As at present</w:t>
            </w:r>
          </w:p>
        </w:tc>
        <w:tc>
          <w:tcPr>
            <w:tcW w:w="70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IPPC Secretariat</w:t>
            </w:r>
          </w:p>
        </w:tc>
        <w:tc>
          <w:tcPr>
            <w:tcW w:w="1253"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As at present</w:t>
            </w:r>
          </w:p>
        </w:tc>
      </w:tr>
    </w:tbl>
    <w:p w:rsidR="00204297" w:rsidRDefault="00204297">
      <w:r>
        <w:br w:type="page"/>
      </w:r>
    </w:p>
    <w:tbl>
      <w:tblPr>
        <w:tblW w:w="5193" w:type="pct"/>
        <w:jc w:val="center"/>
        <w:tblInd w:w="-85" w:type="dxa"/>
        <w:shd w:val="clear" w:color="auto" w:fill="FFFFFF"/>
        <w:tblLayout w:type="fixed"/>
        <w:tblCellMar>
          <w:left w:w="85" w:type="dxa"/>
          <w:right w:w="85" w:type="dxa"/>
        </w:tblCellMar>
        <w:tblLook w:val="0000"/>
      </w:tblPr>
      <w:tblGrid>
        <w:gridCol w:w="181"/>
        <w:gridCol w:w="1380"/>
        <w:gridCol w:w="181"/>
        <w:gridCol w:w="3788"/>
        <w:gridCol w:w="184"/>
        <w:gridCol w:w="957"/>
        <w:gridCol w:w="175"/>
        <w:gridCol w:w="1802"/>
        <w:gridCol w:w="181"/>
        <w:gridCol w:w="1805"/>
        <w:gridCol w:w="181"/>
        <w:gridCol w:w="3368"/>
        <w:gridCol w:w="187"/>
      </w:tblGrid>
      <w:tr w:rsidR="00996740" w:rsidRPr="0046005C" w:rsidTr="003137BE">
        <w:trPr>
          <w:gridBefore w:val="1"/>
          <w:wBefore w:w="63" w:type="pct"/>
          <w:trHeight w:val="461"/>
          <w:jc w:val="center"/>
        </w:trPr>
        <w:tc>
          <w:tcPr>
            <w:tcW w:w="4937" w:type="pct"/>
            <w:gridSpan w:val="12"/>
            <w:tcBorders>
              <w:top w:val="single" w:sz="8" w:space="0" w:color="000000"/>
              <w:left w:val="single" w:sz="8" w:space="0" w:color="000000"/>
              <w:bottom w:val="single" w:sz="8" w:space="0" w:color="000000"/>
              <w:right w:val="single" w:sz="8" w:space="0" w:color="000000"/>
            </w:tcBorders>
            <w:shd w:val="clear" w:color="auto" w:fill="D6E3BC"/>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b/>
                <w:bCs/>
                <w:color w:val="003300"/>
                <w:sz w:val="16"/>
                <w:szCs w:val="16"/>
                <w:lang w:val="en-GB"/>
              </w:rPr>
            </w:pPr>
            <w:r w:rsidRPr="0046005C">
              <w:rPr>
                <w:rFonts w:ascii="Times New Roman" w:hAnsi="Times New Roman"/>
                <w:b/>
                <w:bCs/>
                <w:color w:val="003300"/>
                <w:sz w:val="16"/>
                <w:szCs w:val="16"/>
                <w:lang w:val="en-GB"/>
              </w:rPr>
              <w:lastRenderedPageBreak/>
              <w:t>STANDARD SETTING</w:t>
            </w:r>
          </w:p>
        </w:tc>
      </w:tr>
      <w:tr w:rsidR="006663CF" w:rsidRPr="0046005C" w:rsidTr="006663CF">
        <w:trPr>
          <w:gridBefore w:val="1"/>
          <w:wBefore w:w="63" w:type="pct"/>
          <w:trHeight w:val="1959"/>
          <w:jc w:val="center"/>
        </w:trPr>
        <w:tc>
          <w:tcPr>
            <w:tcW w:w="543"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b/>
                <w:bCs/>
                <w:sz w:val="16"/>
                <w:szCs w:val="16"/>
                <w:lang w:val="en-GB"/>
              </w:rPr>
            </w:pPr>
            <w:r w:rsidRPr="0046005C">
              <w:rPr>
                <w:rFonts w:ascii="Times New Roman" w:hAnsi="Times New Roman"/>
                <w:b/>
                <w:bCs/>
                <w:sz w:val="16"/>
                <w:szCs w:val="16"/>
                <w:lang w:val="en-GB"/>
              </w:rPr>
              <w:t>ISPMs</w:t>
            </w:r>
          </w:p>
        </w:tc>
        <w:tc>
          <w:tcPr>
            <w:tcW w:w="1382"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 xml:space="preserve">International Standards for </w:t>
            </w:r>
            <w:proofErr w:type="spellStart"/>
            <w:r w:rsidRPr="0046005C">
              <w:rPr>
                <w:rFonts w:ascii="Times New Roman" w:hAnsi="Times New Roman"/>
                <w:sz w:val="16"/>
                <w:szCs w:val="16"/>
                <w:lang w:val="en-GB"/>
              </w:rPr>
              <w:t>Phytosanitary</w:t>
            </w:r>
            <w:proofErr w:type="spellEnd"/>
            <w:r w:rsidRPr="0046005C">
              <w:rPr>
                <w:rFonts w:ascii="Times New Roman" w:hAnsi="Times New Roman"/>
                <w:sz w:val="16"/>
                <w:szCs w:val="16"/>
                <w:lang w:val="en-GB"/>
              </w:rPr>
              <w:t xml:space="preserve"> Measures (i.e. any legislation, regulation or official procedure having the purpose to prevent the introduction and/or spread of quarantine pests, or to limit the economic impact of regulated non-quarantine pests)</w:t>
            </w:r>
          </w:p>
        </w:tc>
        <w:tc>
          <w:tcPr>
            <w:tcW w:w="394"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IPPC, SPS Agreement, CPM reports</w:t>
            </w:r>
          </w:p>
        </w:tc>
        <w:tc>
          <w:tcPr>
            <w:tcW w:w="690"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Stewards and expert drafting groups who are nominated by contracting parties and selected by the Standards Committee</w:t>
            </w:r>
          </w:p>
        </w:tc>
        <w:tc>
          <w:tcPr>
            <w:tcW w:w="691"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IPPC Secretariat in consultation with the contracting parties</w:t>
            </w:r>
          </w:p>
        </w:tc>
        <w:tc>
          <w:tcPr>
            <w:tcW w:w="1237"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 xml:space="preserve">These international standards are developed &amp; </w:t>
            </w:r>
            <w:r w:rsidRPr="0046005C">
              <w:rPr>
                <w:rFonts w:ascii="Times New Roman" w:hAnsi="Times New Roman"/>
                <w:sz w:val="16"/>
                <w:szCs w:val="16"/>
                <w:u w:val="single"/>
                <w:lang w:val="en-GB"/>
              </w:rPr>
              <w:t>adopted</w:t>
            </w:r>
            <w:r w:rsidRPr="0046005C">
              <w:rPr>
                <w:rFonts w:ascii="Times New Roman" w:hAnsi="Times New Roman"/>
                <w:sz w:val="16"/>
                <w:szCs w:val="16"/>
                <w:lang w:val="en-GB"/>
              </w:rPr>
              <w:t xml:space="preserve"> by the Commission on </w:t>
            </w:r>
            <w:proofErr w:type="spellStart"/>
            <w:r w:rsidRPr="0046005C">
              <w:rPr>
                <w:rFonts w:ascii="Times New Roman" w:hAnsi="Times New Roman"/>
                <w:sz w:val="16"/>
                <w:szCs w:val="16"/>
                <w:lang w:val="en-GB"/>
              </w:rPr>
              <w:t>Phytosanitary</w:t>
            </w:r>
            <w:proofErr w:type="spellEnd"/>
            <w:r w:rsidRPr="0046005C">
              <w:rPr>
                <w:rFonts w:ascii="Times New Roman" w:hAnsi="Times New Roman"/>
                <w:sz w:val="16"/>
                <w:szCs w:val="16"/>
                <w:lang w:val="en-GB"/>
              </w:rPr>
              <w:t xml:space="preserve"> Measures (CPM).</w:t>
            </w:r>
          </w:p>
        </w:tc>
      </w:tr>
      <w:tr w:rsidR="006663CF" w:rsidRPr="0046005C" w:rsidTr="006663CF">
        <w:trPr>
          <w:gridBefore w:val="1"/>
          <w:wBefore w:w="63" w:type="pct"/>
          <w:trHeight w:val="480"/>
          <w:jc w:val="center"/>
        </w:trPr>
        <w:tc>
          <w:tcPr>
            <w:tcW w:w="543"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b/>
                <w:bCs/>
                <w:sz w:val="16"/>
                <w:szCs w:val="16"/>
                <w:lang w:val="en-GB"/>
              </w:rPr>
            </w:pPr>
            <w:r w:rsidRPr="0046005C">
              <w:rPr>
                <w:rFonts w:ascii="Times New Roman" w:hAnsi="Times New Roman"/>
                <w:b/>
                <w:bCs/>
                <w:sz w:val="16"/>
                <w:szCs w:val="16"/>
                <w:lang w:val="en-GB"/>
              </w:rPr>
              <w:t>Specifications</w:t>
            </w:r>
          </w:p>
        </w:tc>
        <w:tc>
          <w:tcPr>
            <w:tcW w:w="1382"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0"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Specifications serve as a terms of reference for the Expert Working Group responsible for developing an ISPM, and provide guidance on the scope of the standard and on the tasks expected of the working group.</w:t>
            </w:r>
          </w:p>
        </w:tc>
        <w:tc>
          <w:tcPr>
            <w:tcW w:w="394"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p>
        </w:tc>
        <w:tc>
          <w:tcPr>
            <w:tcW w:w="690"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Standards Committee</w:t>
            </w:r>
          </w:p>
        </w:tc>
        <w:tc>
          <w:tcPr>
            <w:tcW w:w="691"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IPPC Secretariat</w:t>
            </w:r>
          </w:p>
        </w:tc>
        <w:tc>
          <w:tcPr>
            <w:tcW w:w="1237"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u w:val="single"/>
                <w:lang w:val="en-GB"/>
              </w:rPr>
              <w:t>Agreed</w:t>
            </w:r>
            <w:r w:rsidRPr="0046005C">
              <w:rPr>
                <w:rFonts w:ascii="Times New Roman" w:hAnsi="Times New Roman"/>
                <w:sz w:val="16"/>
                <w:szCs w:val="16"/>
                <w:lang w:val="en-GB"/>
              </w:rPr>
              <w:t xml:space="preserve"> by the Standards Committee</w:t>
            </w:r>
          </w:p>
        </w:tc>
      </w:tr>
      <w:tr w:rsidR="00996740" w:rsidRPr="0046005C" w:rsidTr="00204297">
        <w:tblPrEx>
          <w:jc w:val="left"/>
        </w:tblPrEx>
        <w:trPr>
          <w:gridAfter w:val="1"/>
          <w:wAfter w:w="65" w:type="pct"/>
          <w:trHeight w:val="457"/>
        </w:trPr>
        <w:tc>
          <w:tcPr>
            <w:tcW w:w="4935" w:type="pct"/>
            <w:gridSpan w:val="12"/>
            <w:tcBorders>
              <w:top w:val="single" w:sz="8" w:space="0" w:color="000000"/>
              <w:left w:val="single" w:sz="8" w:space="0" w:color="000000"/>
              <w:bottom w:val="single" w:sz="8" w:space="0" w:color="000000"/>
              <w:right w:val="single" w:sz="8" w:space="0" w:color="000000"/>
            </w:tcBorders>
            <w:shd w:val="clear" w:color="auto" w:fill="D6E3BC"/>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b/>
                <w:bCs/>
                <w:sz w:val="16"/>
                <w:szCs w:val="16"/>
                <w:lang w:val="en-GB"/>
              </w:rPr>
              <w:t>COMMUNICATIONS</w:t>
            </w:r>
          </w:p>
        </w:tc>
      </w:tr>
      <w:tr w:rsidR="003137BE" w:rsidRPr="0046005C" w:rsidTr="006663CF">
        <w:tblPrEx>
          <w:jc w:val="left"/>
        </w:tblPrEx>
        <w:trPr>
          <w:gridAfter w:val="1"/>
          <w:wAfter w:w="65" w:type="pct"/>
          <w:trHeight w:val="1615"/>
        </w:trPr>
        <w:tc>
          <w:tcPr>
            <w:tcW w:w="543"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b/>
                <w:bCs/>
                <w:sz w:val="16"/>
                <w:szCs w:val="16"/>
                <w:lang w:val="en-GB"/>
              </w:rPr>
            </w:pPr>
            <w:r w:rsidRPr="0046005C">
              <w:rPr>
                <w:rFonts w:ascii="Times New Roman" w:hAnsi="Times New Roman"/>
                <w:b/>
                <w:bCs/>
                <w:sz w:val="16"/>
                <w:szCs w:val="16"/>
                <w:lang w:val="en-GB"/>
              </w:rPr>
              <w:t>Advocacy material</w:t>
            </w:r>
          </w:p>
        </w:tc>
        <w:tc>
          <w:tcPr>
            <w:tcW w:w="1381"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Improve the image and recognition of the IPPC and the importance of the trans-boundary movement of pests.</w:t>
            </w:r>
          </w:p>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Wide range of topics and media formats (e.g. electronic, print or video), some general but also a considerable amount developed with specific audiences in mind e.g. resource mobilization or education.</w:t>
            </w:r>
          </w:p>
        </w:tc>
        <w:tc>
          <w:tcPr>
            <w:tcW w:w="397"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CPM, communications, resource mobilization, standard setting and capacity development  strategies</w:t>
            </w:r>
          </w:p>
        </w:tc>
        <w:tc>
          <w:tcPr>
            <w:tcW w:w="688"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Various</w:t>
            </w:r>
          </w:p>
        </w:tc>
        <w:tc>
          <w:tcPr>
            <w:tcW w:w="691"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IPPC Secretariat and when appropriate Bureau.</w:t>
            </w:r>
          </w:p>
        </w:tc>
        <w:tc>
          <w:tcPr>
            <w:tcW w:w="1235"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28"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Agreed by the Secretariat and the Bureau consulted when appropriate</w:t>
            </w:r>
          </w:p>
        </w:tc>
      </w:tr>
      <w:tr w:rsidR="003137BE" w:rsidRPr="0046005C" w:rsidTr="006663CF">
        <w:tblPrEx>
          <w:jc w:val="left"/>
        </w:tblPrEx>
        <w:trPr>
          <w:gridAfter w:val="1"/>
          <w:wAfter w:w="65" w:type="pct"/>
          <w:trHeight w:val="533"/>
        </w:trPr>
        <w:tc>
          <w:tcPr>
            <w:tcW w:w="543"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46005C">
            <w:pPr>
              <w:pStyle w:val="Body"/>
              <w:spacing w:after="0"/>
              <w:jc w:val="center"/>
              <w:rPr>
                <w:rFonts w:ascii="Times New Roman" w:hAnsi="Times New Roman"/>
                <w:b/>
                <w:bCs/>
                <w:sz w:val="16"/>
                <w:szCs w:val="16"/>
                <w:lang w:val="en-GB"/>
              </w:rPr>
            </w:pPr>
            <w:r w:rsidRPr="0046005C">
              <w:rPr>
                <w:rFonts w:ascii="Times New Roman" w:hAnsi="Times New Roman"/>
                <w:b/>
                <w:bCs/>
                <w:sz w:val="16"/>
                <w:szCs w:val="16"/>
                <w:lang w:val="en-GB"/>
              </w:rPr>
              <w:t>News</w:t>
            </w:r>
          </w:p>
        </w:tc>
        <w:tc>
          <w:tcPr>
            <w:tcW w:w="1381"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996740">
            <w:pPr>
              <w:pStyle w:val="Body"/>
              <w:spacing w:after="0"/>
              <w:rPr>
                <w:rFonts w:ascii="Times New Roman" w:hAnsi="Times New Roman"/>
                <w:sz w:val="16"/>
                <w:szCs w:val="16"/>
                <w:lang w:val="en-GB"/>
              </w:rPr>
            </w:pPr>
            <w:r w:rsidRPr="0046005C">
              <w:rPr>
                <w:rFonts w:ascii="Times New Roman" w:hAnsi="Times New Roman"/>
                <w:sz w:val="16"/>
                <w:szCs w:val="16"/>
                <w:lang w:val="en-GB"/>
              </w:rPr>
              <w:t>Improve the image and recognition of the IPPC and the importance of the trans-boundary movement of pests.</w:t>
            </w:r>
          </w:p>
          <w:p w:rsidR="002760A1" w:rsidRPr="0046005C" w:rsidRDefault="002760A1" w:rsidP="00996740">
            <w:pPr>
              <w:pStyle w:val="Body"/>
              <w:spacing w:after="0"/>
              <w:rPr>
                <w:rFonts w:ascii="Times New Roman" w:hAnsi="Times New Roman"/>
                <w:sz w:val="16"/>
                <w:szCs w:val="16"/>
                <w:lang w:val="en-GB"/>
              </w:rPr>
            </w:pPr>
            <w:r w:rsidRPr="0046005C">
              <w:rPr>
                <w:rFonts w:ascii="Times New Roman" w:hAnsi="Times New Roman"/>
                <w:sz w:val="16"/>
                <w:szCs w:val="16"/>
                <w:lang w:val="en-GB"/>
              </w:rPr>
              <w:t>News, press releases, case studies, project updates, donor news</w:t>
            </w:r>
          </w:p>
        </w:tc>
        <w:tc>
          <w:tcPr>
            <w:tcW w:w="397"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Communications strategy</w:t>
            </w:r>
          </w:p>
        </w:tc>
        <w:tc>
          <w:tcPr>
            <w:tcW w:w="688"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Various staff in the IPPC Secretariat and outside partners as appropriate</w:t>
            </w:r>
          </w:p>
        </w:tc>
        <w:tc>
          <w:tcPr>
            <w:tcW w:w="691"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IPPC Secretariat</w:t>
            </w:r>
          </w:p>
        </w:tc>
        <w:tc>
          <w:tcPr>
            <w:tcW w:w="1235" w:type="pct"/>
            <w:gridSpan w:val="2"/>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100"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Approved by the relevant Secretariat team leaders who may wish to consult more widely depending on the subject and content.</w:t>
            </w:r>
          </w:p>
        </w:tc>
      </w:tr>
    </w:tbl>
    <w:p w:rsidR="00204297" w:rsidRDefault="00204297">
      <w:r>
        <w:br w:type="page"/>
      </w:r>
    </w:p>
    <w:tbl>
      <w:tblPr>
        <w:tblW w:w="5125" w:type="pct"/>
        <w:tblInd w:w="-85" w:type="dxa"/>
        <w:shd w:val="clear" w:color="auto" w:fill="FFFFFF"/>
        <w:tblLayout w:type="fixed"/>
        <w:tblCellMar>
          <w:left w:w="85" w:type="dxa"/>
          <w:right w:w="85" w:type="dxa"/>
        </w:tblCellMar>
        <w:tblLook w:val="0000"/>
      </w:tblPr>
      <w:tblGrid>
        <w:gridCol w:w="1561"/>
        <w:gridCol w:w="3968"/>
        <w:gridCol w:w="1140"/>
        <w:gridCol w:w="1977"/>
        <w:gridCol w:w="1985"/>
        <w:gridCol w:w="3551"/>
      </w:tblGrid>
      <w:tr w:rsidR="00996740" w:rsidRPr="0046005C" w:rsidTr="00204297">
        <w:trPr>
          <w:trHeight w:val="479"/>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6E3BC"/>
            <w:tcMar>
              <w:top w:w="57" w:type="dxa"/>
              <w:left w:w="57"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b/>
                <w:bCs/>
                <w:sz w:val="16"/>
                <w:szCs w:val="16"/>
                <w:lang w:val="en-GB"/>
              </w:rPr>
              <w:lastRenderedPageBreak/>
              <w:t>TECHNICAL RESOURCES</w:t>
            </w:r>
          </w:p>
        </w:tc>
      </w:tr>
      <w:tr w:rsidR="006663CF" w:rsidRPr="0046005C" w:rsidTr="00204297">
        <w:trPr>
          <w:trHeight w:val="1207"/>
        </w:trPr>
        <w:tc>
          <w:tcPr>
            <w:tcW w:w="55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46005C">
            <w:pPr>
              <w:pStyle w:val="Body"/>
              <w:spacing w:after="0"/>
              <w:rPr>
                <w:rFonts w:ascii="Times New Roman" w:hAnsi="Times New Roman"/>
                <w:b/>
                <w:bCs/>
                <w:sz w:val="16"/>
                <w:szCs w:val="16"/>
                <w:lang w:val="en-GB"/>
              </w:rPr>
            </w:pPr>
            <w:r w:rsidRPr="0046005C">
              <w:rPr>
                <w:rFonts w:ascii="Times New Roman" w:hAnsi="Times New Roman"/>
                <w:b/>
                <w:bCs/>
                <w:sz w:val="16"/>
                <w:szCs w:val="16"/>
                <w:lang w:val="en-GB"/>
              </w:rPr>
              <w:t xml:space="preserve">Good </w:t>
            </w:r>
            <w:proofErr w:type="spellStart"/>
            <w:r w:rsidRPr="0046005C">
              <w:rPr>
                <w:rFonts w:ascii="Times New Roman" w:hAnsi="Times New Roman"/>
                <w:b/>
                <w:bCs/>
                <w:sz w:val="16"/>
                <w:szCs w:val="16"/>
                <w:lang w:val="en-GB"/>
              </w:rPr>
              <w:t>Phytosanitary</w:t>
            </w:r>
            <w:proofErr w:type="spellEnd"/>
            <w:r w:rsidRPr="0046005C">
              <w:rPr>
                <w:rFonts w:ascii="Times New Roman" w:hAnsi="Times New Roman"/>
                <w:b/>
                <w:bCs/>
                <w:sz w:val="16"/>
                <w:szCs w:val="16"/>
                <w:lang w:val="en-GB"/>
              </w:rPr>
              <w:t xml:space="preserve"> Practices</w:t>
            </w:r>
          </w:p>
          <w:p w:rsidR="002760A1" w:rsidRPr="0046005C" w:rsidRDefault="002760A1" w:rsidP="003137BE">
            <w:pPr>
              <w:pStyle w:val="Body"/>
              <w:numPr>
                <w:ilvl w:val="0"/>
                <w:numId w:val="2"/>
              </w:numPr>
              <w:tabs>
                <w:tab w:val="clear" w:pos="720"/>
                <w:tab w:val="num" w:pos="369"/>
              </w:tabs>
              <w:spacing w:after="0"/>
              <w:ind w:left="511"/>
              <w:rPr>
                <w:rFonts w:ascii="Times New Roman" w:hAnsi="Times New Roman"/>
                <w:b/>
                <w:bCs/>
                <w:sz w:val="16"/>
                <w:szCs w:val="16"/>
                <w:lang w:val="en-GB"/>
              </w:rPr>
            </w:pPr>
            <w:r w:rsidRPr="0046005C">
              <w:rPr>
                <w:rFonts w:ascii="Times New Roman" w:hAnsi="Times New Roman"/>
                <w:b/>
                <w:bCs/>
                <w:sz w:val="16"/>
                <w:szCs w:val="16"/>
                <w:lang w:val="en-GB"/>
              </w:rPr>
              <w:t>manuals</w:t>
            </w:r>
          </w:p>
          <w:p w:rsidR="002760A1" w:rsidRPr="0046005C" w:rsidRDefault="002760A1" w:rsidP="003137BE">
            <w:pPr>
              <w:pStyle w:val="Body"/>
              <w:numPr>
                <w:ilvl w:val="0"/>
                <w:numId w:val="2"/>
              </w:numPr>
              <w:tabs>
                <w:tab w:val="clear" w:pos="720"/>
                <w:tab w:val="num" w:pos="369"/>
              </w:tabs>
              <w:spacing w:after="0"/>
              <w:ind w:left="511"/>
              <w:rPr>
                <w:rFonts w:ascii="Times New Roman" w:hAnsi="Times New Roman"/>
                <w:b/>
                <w:bCs/>
                <w:sz w:val="16"/>
                <w:szCs w:val="16"/>
                <w:lang w:val="en-GB"/>
              </w:rPr>
            </w:pPr>
            <w:r w:rsidRPr="0046005C">
              <w:rPr>
                <w:rFonts w:ascii="Times New Roman" w:hAnsi="Times New Roman"/>
                <w:b/>
                <w:bCs/>
                <w:sz w:val="16"/>
                <w:szCs w:val="16"/>
                <w:lang w:val="en-GB"/>
              </w:rPr>
              <w:t>operational</w:t>
            </w:r>
          </w:p>
          <w:p w:rsidR="002760A1" w:rsidRPr="0046005C" w:rsidRDefault="002760A1" w:rsidP="003137BE">
            <w:pPr>
              <w:pStyle w:val="Body"/>
              <w:numPr>
                <w:ilvl w:val="0"/>
                <w:numId w:val="2"/>
              </w:numPr>
              <w:tabs>
                <w:tab w:val="clear" w:pos="720"/>
                <w:tab w:val="num" w:pos="369"/>
              </w:tabs>
              <w:spacing w:after="0"/>
              <w:ind w:left="511"/>
              <w:rPr>
                <w:rFonts w:ascii="Times New Roman" w:hAnsi="Times New Roman"/>
                <w:b/>
                <w:bCs/>
                <w:sz w:val="16"/>
                <w:szCs w:val="16"/>
                <w:lang w:val="en-GB"/>
              </w:rPr>
            </w:pPr>
            <w:r w:rsidRPr="0046005C">
              <w:rPr>
                <w:rFonts w:ascii="Times New Roman" w:hAnsi="Times New Roman"/>
                <w:b/>
                <w:bCs/>
                <w:sz w:val="16"/>
                <w:szCs w:val="16"/>
                <w:lang w:val="en-GB"/>
              </w:rPr>
              <w:t>etc</w:t>
            </w:r>
          </w:p>
        </w:tc>
        <w:tc>
          <w:tcPr>
            <w:tcW w:w="1399"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996740">
            <w:pPr>
              <w:pStyle w:val="Body"/>
              <w:spacing w:after="0"/>
              <w:rPr>
                <w:rFonts w:ascii="Times New Roman" w:hAnsi="Times New Roman"/>
                <w:sz w:val="16"/>
                <w:szCs w:val="16"/>
                <w:lang w:val="en-GB"/>
              </w:rPr>
            </w:pPr>
            <w:r w:rsidRPr="0046005C">
              <w:rPr>
                <w:rFonts w:ascii="Times New Roman" w:hAnsi="Times New Roman"/>
                <w:sz w:val="16"/>
                <w:szCs w:val="16"/>
                <w:lang w:val="en-GB"/>
              </w:rPr>
              <w:t xml:space="preserve">These are operational descriptions for the practical implementation of aspects of the convention and its standards (e.g. CPM, information exchange, ISPMs e.g. inspection, national </w:t>
            </w:r>
            <w:proofErr w:type="spellStart"/>
            <w:r w:rsidRPr="0046005C">
              <w:rPr>
                <w:rFonts w:ascii="Times New Roman" w:hAnsi="Times New Roman"/>
                <w:sz w:val="16"/>
                <w:szCs w:val="16"/>
                <w:lang w:val="en-GB"/>
              </w:rPr>
              <w:t>phytosanitary</w:t>
            </w:r>
            <w:proofErr w:type="spellEnd"/>
            <w:r w:rsidRPr="0046005C">
              <w:rPr>
                <w:rFonts w:ascii="Times New Roman" w:hAnsi="Times New Roman"/>
                <w:sz w:val="16"/>
                <w:szCs w:val="16"/>
                <w:lang w:val="en-GB"/>
              </w:rPr>
              <w:t xml:space="preserve"> systems, treatments or legislation, and treatment manuals).</w:t>
            </w:r>
          </w:p>
          <w:p w:rsidR="002760A1" w:rsidRPr="0046005C" w:rsidRDefault="002760A1" w:rsidP="00996740">
            <w:pPr>
              <w:pStyle w:val="Body"/>
              <w:spacing w:after="0"/>
              <w:rPr>
                <w:rFonts w:ascii="Times New Roman" w:hAnsi="Times New Roman"/>
                <w:sz w:val="16"/>
                <w:szCs w:val="16"/>
                <w:lang w:val="en-GB"/>
              </w:rPr>
            </w:pPr>
            <w:r w:rsidRPr="0046005C">
              <w:rPr>
                <w:rFonts w:ascii="Times New Roman" w:hAnsi="Times New Roman"/>
                <w:sz w:val="16"/>
                <w:szCs w:val="16"/>
                <w:lang w:val="en-GB"/>
              </w:rPr>
              <w:t xml:space="preserve">Covers good practices </w:t>
            </w:r>
            <w:proofErr w:type="spellStart"/>
            <w:r w:rsidRPr="0046005C">
              <w:rPr>
                <w:rFonts w:ascii="Times New Roman" w:hAnsi="Times New Roman"/>
                <w:sz w:val="16"/>
                <w:szCs w:val="16"/>
                <w:lang w:val="en-GB"/>
              </w:rPr>
              <w:t>phytosanitary</w:t>
            </w:r>
            <w:proofErr w:type="spellEnd"/>
            <w:r w:rsidRPr="0046005C">
              <w:rPr>
                <w:rFonts w:ascii="Times New Roman" w:hAnsi="Times New Roman"/>
                <w:sz w:val="16"/>
                <w:szCs w:val="16"/>
                <w:lang w:val="en-GB"/>
              </w:rPr>
              <w:t xml:space="preserve"> procedures and processes that should applied in the field when completing the tasks of an NPPO, e.g. handbooks, Guide to the IPPC, Standards Setting Process, PRA, forestry, seed trade, wood packaging, the management of diagnostic systems, and participation in the IPPC.</w:t>
            </w:r>
          </w:p>
        </w:tc>
        <w:tc>
          <w:tcPr>
            <w:tcW w:w="402"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p>
        </w:tc>
        <w:tc>
          <w:tcPr>
            <w:tcW w:w="697"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Various – e.g. FAO, outside experts, established committees, Subsidiary Bodies, others as appropriate, IICA, FAO Forestry, Secretariat, NPPOs, RPPOs</w:t>
            </w:r>
          </w:p>
        </w:tc>
        <w:tc>
          <w:tcPr>
            <w:tcW w:w="70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IPPC Secretariat, but at times external parties with involvement of the IPPC Secretariat where appropriate</w:t>
            </w:r>
          </w:p>
        </w:tc>
        <w:tc>
          <w:tcPr>
            <w:tcW w:w="1251"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100"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 xml:space="preserve">These will be </w:t>
            </w:r>
            <w:r w:rsidRPr="0046005C">
              <w:rPr>
                <w:rFonts w:ascii="Times New Roman" w:hAnsi="Times New Roman"/>
                <w:sz w:val="16"/>
                <w:szCs w:val="16"/>
                <w:u w:val="single"/>
                <w:lang w:val="en-GB"/>
              </w:rPr>
              <w:t>reviewed and noted</w:t>
            </w:r>
            <w:r w:rsidRPr="0046005C">
              <w:rPr>
                <w:rFonts w:ascii="Times New Roman" w:hAnsi="Times New Roman"/>
                <w:sz w:val="16"/>
                <w:szCs w:val="16"/>
                <w:lang w:val="en-GB"/>
              </w:rPr>
              <w:t xml:space="preserve"> by the relevant subsidiary body (</w:t>
            </w:r>
            <w:proofErr w:type="spellStart"/>
            <w:r w:rsidRPr="0046005C">
              <w:rPr>
                <w:rFonts w:ascii="Times New Roman" w:hAnsi="Times New Roman"/>
                <w:sz w:val="16"/>
                <w:szCs w:val="16"/>
                <w:lang w:val="en-GB"/>
              </w:rPr>
              <w:t>ies</w:t>
            </w:r>
            <w:proofErr w:type="spellEnd"/>
            <w:r w:rsidRPr="0046005C">
              <w:rPr>
                <w:rFonts w:ascii="Times New Roman" w:hAnsi="Times New Roman"/>
                <w:sz w:val="16"/>
                <w:szCs w:val="16"/>
                <w:lang w:val="en-GB"/>
              </w:rPr>
              <w:t>). Primary responsibility for coordination lies with the subsidiary bodies.</w:t>
            </w:r>
          </w:p>
        </w:tc>
      </w:tr>
      <w:tr w:rsidR="006663CF" w:rsidRPr="0046005C" w:rsidTr="00204297">
        <w:trPr>
          <w:trHeight w:val="2616"/>
        </w:trPr>
        <w:tc>
          <w:tcPr>
            <w:tcW w:w="55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46005C">
            <w:pPr>
              <w:pStyle w:val="Body"/>
              <w:spacing w:after="0"/>
              <w:jc w:val="center"/>
              <w:rPr>
                <w:rFonts w:ascii="Times New Roman" w:hAnsi="Times New Roman"/>
                <w:b/>
                <w:bCs/>
                <w:sz w:val="16"/>
                <w:szCs w:val="16"/>
                <w:lang w:val="en-GB"/>
              </w:rPr>
            </w:pPr>
            <w:r w:rsidRPr="0046005C">
              <w:rPr>
                <w:rFonts w:ascii="Times New Roman" w:hAnsi="Times New Roman"/>
                <w:b/>
                <w:bCs/>
                <w:sz w:val="16"/>
                <w:szCs w:val="16"/>
                <w:lang w:val="en-GB"/>
              </w:rPr>
              <w:t>Training material</w:t>
            </w:r>
          </w:p>
        </w:tc>
        <w:tc>
          <w:tcPr>
            <w:tcW w:w="1399"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996740">
            <w:pPr>
              <w:pStyle w:val="Body"/>
              <w:spacing w:after="0"/>
              <w:rPr>
                <w:rFonts w:ascii="Times New Roman" w:hAnsi="Times New Roman"/>
                <w:sz w:val="16"/>
                <w:szCs w:val="16"/>
                <w:lang w:val="en-GB"/>
              </w:rPr>
            </w:pPr>
            <w:r w:rsidRPr="0046005C">
              <w:rPr>
                <w:rFonts w:ascii="Times New Roman" w:hAnsi="Times New Roman"/>
                <w:sz w:val="16"/>
                <w:szCs w:val="16"/>
                <w:lang w:val="en-GB"/>
              </w:rPr>
              <w:t>To provide baseline training material that can be used as is or developed for local needs and conditions. e.g. PRA training material, PowerPoint presentations on ISPMs and information exchange. The objective is make a wide range of material in various formats available to improve access to training material and a more consistent international quality for all to use.</w:t>
            </w:r>
          </w:p>
        </w:tc>
        <w:tc>
          <w:tcPr>
            <w:tcW w:w="402"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p>
        </w:tc>
        <w:tc>
          <w:tcPr>
            <w:tcW w:w="697"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Selected experts in particular fields  (e.g. the PRA steering committee, IICA, FAO Forestry, FAO, Secretariat, NPPOs, RPPOs)</w:t>
            </w:r>
          </w:p>
          <w:p w:rsidR="002760A1" w:rsidRPr="0046005C" w:rsidRDefault="002760A1" w:rsidP="0046005C">
            <w:pPr>
              <w:pStyle w:val="Body"/>
              <w:spacing w:after="0"/>
              <w:jc w:val="center"/>
              <w:rPr>
                <w:rFonts w:ascii="Times New Roman" w:hAnsi="Times New Roman"/>
                <w:sz w:val="16"/>
                <w:szCs w:val="16"/>
                <w:lang w:val="en-GB"/>
              </w:rPr>
            </w:pPr>
            <w:r w:rsidRPr="0046005C">
              <w:rPr>
                <w:rFonts w:ascii="Times New Roman" w:hAnsi="Times New Roman"/>
                <w:sz w:val="16"/>
                <w:szCs w:val="16"/>
                <w:lang w:val="en-GB"/>
              </w:rPr>
              <w:t>Derived from standards and other adopted texts</w:t>
            </w:r>
          </w:p>
        </w:tc>
        <w:tc>
          <w:tcPr>
            <w:tcW w:w="700"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IPPC Secretariat</w:t>
            </w:r>
          </w:p>
        </w:tc>
        <w:tc>
          <w:tcPr>
            <w:tcW w:w="1251" w:type="pc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100" w:type="dxa"/>
              <w:right w:w="57" w:type="dxa"/>
            </w:tcMar>
            <w:vAlign w:val="center"/>
          </w:tcPr>
          <w:p w:rsidR="002760A1" w:rsidRPr="0046005C" w:rsidRDefault="002760A1" w:rsidP="0046005C">
            <w:pPr>
              <w:pStyle w:val="Body"/>
              <w:spacing w:after="0"/>
              <w:rPr>
                <w:rFonts w:ascii="Times New Roman" w:hAnsi="Times New Roman"/>
                <w:sz w:val="16"/>
                <w:szCs w:val="16"/>
                <w:lang w:val="en-GB"/>
              </w:rPr>
            </w:pPr>
            <w:r w:rsidRPr="0046005C">
              <w:rPr>
                <w:rFonts w:ascii="Times New Roman" w:hAnsi="Times New Roman"/>
                <w:sz w:val="16"/>
                <w:szCs w:val="16"/>
                <w:lang w:val="en-GB"/>
              </w:rPr>
              <w:t>Support material developed by a wide range of people and organizations.</w:t>
            </w:r>
          </w:p>
          <w:p w:rsidR="002760A1" w:rsidRPr="0046005C" w:rsidRDefault="002760A1" w:rsidP="0046005C">
            <w:pPr>
              <w:pStyle w:val="Body"/>
              <w:spacing w:after="0"/>
              <w:rPr>
                <w:rFonts w:ascii="Times New Roman" w:hAnsi="Times New Roman"/>
                <w:sz w:val="16"/>
                <w:szCs w:val="16"/>
                <w:lang w:val="en-GB"/>
              </w:rPr>
            </w:pPr>
          </w:p>
        </w:tc>
      </w:tr>
    </w:tbl>
    <w:p w:rsidR="002760A1" w:rsidRPr="00503E14" w:rsidRDefault="002760A1" w:rsidP="0046005C">
      <w:pPr>
        <w:pStyle w:val="Body"/>
        <w:spacing w:after="0"/>
        <w:rPr>
          <w:rFonts w:ascii="Times New Roman" w:eastAsia="Times New Roman" w:hAnsi="Times New Roman"/>
          <w:color w:val="auto"/>
          <w:sz w:val="20"/>
          <w:lang w:val="en-GB"/>
        </w:rPr>
      </w:pPr>
    </w:p>
    <w:p w:rsidR="002760A1" w:rsidRPr="00503E14" w:rsidRDefault="002760A1" w:rsidP="0046005C">
      <w:pPr>
        <w:spacing w:after="0"/>
        <w:jc w:val="both"/>
      </w:pPr>
    </w:p>
    <w:p w:rsidR="002760A1" w:rsidRPr="008B26B0" w:rsidRDefault="002760A1" w:rsidP="002760A1">
      <w:pPr>
        <w:autoSpaceDE w:val="0"/>
        <w:autoSpaceDN w:val="0"/>
        <w:adjustRightInd w:val="0"/>
        <w:rPr>
          <w:lang w:val="en-US"/>
        </w:rPr>
      </w:pPr>
    </w:p>
    <w:p w:rsidR="00BC00C2" w:rsidRPr="00BC00C2" w:rsidRDefault="00BC00C2" w:rsidP="00BC00C2">
      <w:pPr>
        <w:pStyle w:val="SpacePara"/>
        <w:tabs>
          <w:tab w:val="right" w:pos="8646"/>
        </w:tabs>
        <w:spacing w:line="360" w:lineRule="auto"/>
        <w:rPr>
          <w:noProof w:val="0"/>
          <w:sz w:val="24"/>
          <w:szCs w:val="24"/>
        </w:rPr>
      </w:pPr>
      <w:r>
        <w:rPr>
          <w:noProof w:val="0"/>
          <w:sz w:val="24"/>
          <w:szCs w:val="24"/>
        </w:rPr>
        <w:t xml:space="preserve"> </w:t>
      </w:r>
    </w:p>
    <w:sectPr w:rsidR="00BC00C2" w:rsidRPr="00BC00C2" w:rsidSect="003137BE">
      <w:headerReference w:type="even" r:id="rId11"/>
      <w:headerReference w:type="default" r:id="rId12"/>
      <w:footerReference w:type="even" r:id="rId13"/>
      <w:pgSz w:w="16840" w:h="11907" w:orient="landscape" w:code="9"/>
      <w:pgMar w:top="1275" w:right="1559" w:bottom="1559" w:left="1559"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1F9" w:rsidRDefault="007271F9" w:rsidP="0058787A">
      <w:pPr>
        <w:spacing w:after="0" w:line="240" w:lineRule="auto"/>
      </w:pPr>
      <w:r>
        <w:separator/>
      </w:r>
    </w:p>
  </w:endnote>
  <w:endnote w:type="continuationSeparator" w:id="0">
    <w:p w:rsidR="007271F9" w:rsidRDefault="007271F9" w:rsidP="00587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26" w:rsidRDefault="000B3226" w:rsidP="000B3226">
    <w:pPr>
      <w:pStyle w:val="Pidipagina"/>
      <w:pBdr>
        <w:top w:val="single" w:sz="4" w:space="1" w:color="auto"/>
      </w:pBdr>
      <w:tabs>
        <w:tab w:val="clear" w:pos="4536"/>
      </w:tabs>
    </w:pPr>
    <w:r w:rsidRPr="009F0F5E">
      <w:rPr>
        <w:rStyle w:val="PageNumber1"/>
        <w:rFonts w:ascii="Arial" w:hAnsi="Arial" w:cs="Arial"/>
        <w:sz w:val="18"/>
        <w:szCs w:val="18"/>
      </w:rPr>
      <w:t xml:space="preserve">Page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PAGE </w:instrText>
    </w:r>
    <w:r w:rsidRPr="009F0F5E">
      <w:rPr>
        <w:rStyle w:val="PageNumber1"/>
        <w:rFonts w:ascii="Arial" w:hAnsi="Arial" w:cs="Arial"/>
        <w:sz w:val="18"/>
        <w:szCs w:val="18"/>
      </w:rPr>
      <w:fldChar w:fldCharType="separate"/>
    </w:r>
    <w:r w:rsidR="00102846">
      <w:rPr>
        <w:rStyle w:val="PageNumber1"/>
        <w:rFonts w:ascii="Arial" w:hAnsi="Arial" w:cs="Arial"/>
        <w:noProof/>
        <w:sz w:val="18"/>
        <w:szCs w:val="18"/>
      </w:rPr>
      <w:t>2</w:t>
    </w:r>
    <w:r w:rsidRPr="009F0F5E">
      <w:rPr>
        <w:rStyle w:val="PageNumber1"/>
        <w:rFonts w:ascii="Arial" w:hAnsi="Arial" w:cs="Arial"/>
        <w:sz w:val="18"/>
        <w:szCs w:val="18"/>
      </w:rPr>
      <w:fldChar w:fldCharType="end"/>
    </w:r>
    <w:r w:rsidRPr="009F0F5E">
      <w:rPr>
        <w:rStyle w:val="PageNumber1"/>
        <w:rFonts w:ascii="Arial" w:hAnsi="Arial" w:cs="Arial"/>
        <w:sz w:val="18"/>
        <w:szCs w:val="18"/>
      </w:rPr>
      <w:t xml:space="preserve"> of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NUMPAGES </w:instrText>
    </w:r>
    <w:r w:rsidRPr="009F0F5E">
      <w:rPr>
        <w:rStyle w:val="PageNumber1"/>
        <w:rFonts w:ascii="Arial" w:hAnsi="Arial" w:cs="Arial"/>
        <w:sz w:val="18"/>
        <w:szCs w:val="18"/>
      </w:rPr>
      <w:fldChar w:fldCharType="separate"/>
    </w:r>
    <w:r w:rsidR="00102846">
      <w:rPr>
        <w:rStyle w:val="PageNumber1"/>
        <w:rFonts w:ascii="Arial" w:hAnsi="Arial" w:cs="Arial"/>
        <w:noProof/>
        <w:sz w:val="18"/>
        <w:szCs w:val="18"/>
      </w:rPr>
      <w:t>5</w:t>
    </w:r>
    <w:r w:rsidRPr="009F0F5E">
      <w:rPr>
        <w:rStyle w:val="PageNumber1"/>
        <w:rFonts w:ascii="Arial" w:hAnsi="Arial" w:cs="Arial"/>
        <w:sz w:val="18"/>
        <w:szCs w:val="18"/>
      </w:rPr>
      <w:fldChar w:fldCharType="end"/>
    </w:r>
    <w:r>
      <w:rPr>
        <w:rStyle w:val="PageNumber1"/>
        <w:rFonts w:ascii="Arial" w:hAnsi="Arial" w:cs="Arial"/>
        <w:sz w:val="18"/>
        <w:szCs w:val="18"/>
      </w:rPr>
      <w:tab/>
    </w:r>
    <w:r w:rsidRPr="000B3226">
      <w:rPr>
        <w:rFonts w:ascii="Arial" w:hAnsi="Arial" w:cs="Arial"/>
        <w:sz w:val="18"/>
        <w:szCs w:val="18"/>
      </w:rPr>
      <w:t xml:space="preserve"> </w:t>
    </w:r>
    <w:r w:rsidRPr="00D32D38">
      <w:rPr>
        <w:rFonts w:ascii="Arial" w:hAnsi="Arial" w:cs="Arial"/>
        <w:sz w:val="18"/>
        <w:szCs w:val="18"/>
      </w:rPr>
      <w:t>International Plant Protection Convention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26" w:rsidRDefault="000B3226" w:rsidP="00102846">
    <w:pPr>
      <w:pStyle w:val="Pidipagina"/>
      <w:pBdr>
        <w:top w:val="single" w:sz="4" w:space="1" w:color="auto"/>
      </w:pBdr>
      <w:tabs>
        <w:tab w:val="clear" w:pos="4536"/>
        <w:tab w:val="clear" w:pos="9072"/>
        <w:tab w:val="right" w:pos="13750"/>
      </w:tabs>
      <w:jc w:val="right"/>
    </w:pPr>
    <w:r w:rsidRPr="00D32D38">
      <w:rPr>
        <w:rFonts w:ascii="Arial" w:hAnsi="Arial" w:cs="Arial"/>
        <w:sz w:val="18"/>
        <w:szCs w:val="18"/>
      </w:rPr>
      <w:t>International Plant Protection Convention</w:t>
    </w:r>
    <w:r w:rsidRPr="009F0F5E">
      <w:rPr>
        <w:rStyle w:val="PageNumber1"/>
        <w:rFonts w:ascii="Arial" w:hAnsi="Arial" w:cs="Arial"/>
        <w:sz w:val="18"/>
        <w:szCs w:val="18"/>
      </w:rPr>
      <w:t xml:space="preserve"> </w:t>
    </w:r>
    <w:r>
      <w:rPr>
        <w:rStyle w:val="PageNumber1"/>
        <w:rFonts w:ascii="Arial" w:hAnsi="Arial" w:cs="Arial"/>
        <w:sz w:val="18"/>
        <w:szCs w:val="18"/>
      </w:rPr>
      <w:tab/>
    </w:r>
    <w:r w:rsidRPr="009F0F5E">
      <w:rPr>
        <w:rStyle w:val="PageNumber1"/>
        <w:rFonts w:ascii="Arial" w:hAnsi="Arial" w:cs="Arial"/>
        <w:sz w:val="18"/>
        <w:szCs w:val="18"/>
      </w:rPr>
      <w:t xml:space="preserve">Page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PAGE </w:instrText>
    </w:r>
    <w:r w:rsidRPr="009F0F5E">
      <w:rPr>
        <w:rStyle w:val="PageNumber1"/>
        <w:rFonts w:ascii="Arial" w:hAnsi="Arial" w:cs="Arial"/>
        <w:sz w:val="18"/>
        <w:szCs w:val="18"/>
      </w:rPr>
      <w:fldChar w:fldCharType="separate"/>
    </w:r>
    <w:r w:rsidR="00B91E7C">
      <w:rPr>
        <w:rStyle w:val="PageNumber1"/>
        <w:rFonts w:ascii="Arial" w:hAnsi="Arial" w:cs="Arial"/>
        <w:noProof/>
        <w:sz w:val="18"/>
        <w:szCs w:val="18"/>
      </w:rPr>
      <w:t>1</w:t>
    </w:r>
    <w:r w:rsidRPr="009F0F5E">
      <w:rPr>
        <w:rStyle w:val="PageNumber1"/>
        <w:rFonts w:ascii="Arial" w:hAnsi="Arial" w:cs="Arial"/>
        <w:sz w:val="18"/>
        <w:szCs w:val="18"/>
      </w:rPr>
      <w:fldChar w:fldCharType="end"/>
    </w:r>
    <w:r w:rsidRPr="009F0F5E">
      <w:rPr>
        <w:rStyle w:val="PageNumber1"/>
        <w:rFonts w:ascii="Arial" w:hAnsi="Arial" w:cs="Arial"/>
        <w:sz w:val="18"/>
        <w:szCs w:val="18"/>
      </w:rPr>
      <w:t xml:space="preserve"> of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NUMPAGES </w:instrText>
    </w:r>
    <w:r w:rsidRPr="009F0F5E">
      <w:rPr>
        <w:rStyle w:val="PageNumber1"/>
        <w:rFonts w:ascii="Arial" w:hAnsi="Arial" w:cs="Arial"/>
        <w:sz w:val="18"/>
        <w:szCs w:val="18"/>
      </w:rPr>
      <w:fldChar w:fldCharType="separate"/>
    </w:r>
    <w:r w:rsidR="00B91E7C">
      <w:rPr>
        <w:rStyle w:val="PageNumber1"/>
        <w:rFonts w:ascii="Arial" w:hAnsi="Arial" w:cs="Arial"/>
        <w:noProof/>
        <w:sz w:val="18"/>
        <w:szCs w:val="18"/>
      </w:rPr>
      <w:t>5</w:t>
    </w:r>
    <w:r w:rsidRPr="009F0F5E">
      <w:rPr>
        <w:rStyle w:val="PageNumber1"/>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46" w:rsidRDefault="00102846" w:rsidP="00102846">
    <w:pPr>
      <w:pStyle w:val="Pidipagina"/>
      <w:pBdr>
        <w:top w:val="single" w:sz="4" w:space="1" w:color="auto"/>
      </w:pBdr>
      <w:tabs>
        <w:tab w:val="clear" w:pos="4536"/>
        <w:tab w:val="clear" w:pos="9072"/>
        <w:tab w:val="right" w:pos="13750"/>
      </w:tabs>
    </w:pPr>
    <w:r w:rsidRPr="009F0F5E">
      <w:rPr>
        <w:rStyle w:val="PageNumber1"/>
        <w:rFonts w:ascii="Arial" w:hAnsi="Arial" w:cs="Arial"/>
        <w:sz w:val="18"/>
        <w:szCs w:val="18"/>
      </w:rPr>
      <w:t xml:space="preserve">Page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PAGE </w:instrText>
    </w:r>
    <w:r w:rsidRPr="009F0F5E">
      <w:rPr>
        <w:rStyle w:val="PageNumber1"/>
        <w:rFonts w:ascii="Arial" w:hAnsi="Arial" w:cs="Arial"/>
        <w:sz w:val="18"/>
        <w:szCs w:val="18"/>
      </w:rPr>
      <w:fldChar w:fldCharType="separate"/>
    </w:r>
    <w:r w:rsidR="00B91E7C">
      <w:rPr>
        <w:rStyle w:val="PageNumber1"/>
        <w:rFonts w:ascii="Arial" w:hAnsi="Arial" w:cs="Arial"/>
        <w:noProof/>
        <w:sz w:val="18"/>
        <w:szCs w:val="18"/>
      </w:rPr>
      <w:t>2</w:t>
    </w:r>
    <w:r w:rsidRPr="009F0F5E">
      <w:rPr>
        <w:rStyle w:val="PageNumber1"/>
        <w:rFonts w:ascii="Arial" w:hAnsi="Arial" w:cs="Arial"/>
        <w:sz w:val="18"/>
        <w:szCs w:val="18"/>
      </w:rPr>
      <w:fldChar w:fldCharType="end"/>
    </w:r>
    <w:r w:rsidRPr="009F0F5E">
      <w:rPr>
        <w:rStyle w:val="PageNumber1"/>
        <w:rFonts w:ascii="Arial" w:hAnsi="Arial" w:cs="Arial"/>
        <w:sz w:val="18"/>
        <w:szCs w:val="18"/>
      </w:rPr>
      <w:t xml:space="preserve"> of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NUMPAGES </w:instrText>
    </w:r>
    <w:r w:rsidRPr="009F0F5E">
      <w:rPr>
        <w:rStyle w:val="PageNumber1"/>
        <w:rFonts w:ascii="Arial" w:hAnsi="Arial" w:cs="Arial"/>
        <w:sz w:val="18"/>
        <w:szCs w:val="18"/>
      </w:rPr>
      <w:fldChar w:fldCharType="separate"/>
    </w:r>
    <w:r w:rsidR="00B91E7C">
      <w:rPr>
        <w:rStyle w:val="PageNumber1"/>
        <w:rFonts w:ascii="Arial" w:hAnsi="Arial" w:cs="Arial"/>
        <w:noProof/>
        <w:sz w:val="18"/>
        <w:szCs w:val="18"/>
      </w:rPr>
      <w:t>5</w:t>
    </w:r>
    <w:r w:rsidRPr="009F0F5E">
      <w:rPr>
        <w:rStyle w:val="PageNumber1"/>
        <w:rFonts w:ascii="Arial" w:hAnsi="Arial" w:cs="Arial"/>
        <w:sz w:val="18"/>
        <w:szCs w:val="18"/>
      </w:rPr>
      <w:fldChar w:fldCharType="end"/>
    </w:r>
    <w:r>
      <w:rPr>
        <w:rStyle w:val="PageNumber1"/>
        <w:rFonts w:ascii="Arial" w:hAnsi="Arial" w:cs="Arial"/>
        <w:sz w:val="18"/>
        <w:szCs w:val="18"/>
      </w:rPr>
      <w:tab/>
    </w:r>
    <w:r w:rsidRPr="000B3226">
      <w:rPr>
        <w:rFonts w:ascii="Arial" w:hAnsi="Arial" w:cs="Arial"/>
        <w:sz w:val="18"/>
        <w:szCs w:val="18"/>
      </w:rPr>
      <w:t xml:space="preserve"> </w:t>
    </w:r>
    <w:r w:rsidRPr="00D32D38">
      <w:rPr>
        <w:rFonts w:ascii="Arial" w:hAnsi="Arial" w:cs="Arial"/>
        <w:sz w:val="18"/>
        <w:szCs w:val="18"/>
      </w:rPr>
      <w:t>International Plant Protection Convention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1F9" w:rsidRDefault="007271F9" w:rsidP="0058787A">
      <w:pPr>
        <w:spacing w:after="0" w:line="240" w:lineRule="auto"/>
      </w:pPr>
      <w:r>
        <w:separator/>
      </w:r>
    </w:p>
  </w:footnote>
  <w:footnote w:type="continuationSeparator" w:id="0">
    <w:p w:rsidR="007271F9" w:rsidRDefault="007271F9" w:rsidP="00587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26" w:rsidRDefault="000B3226" w:rsidP="0058787A">
    <w:pPr>
      <w:pBdr>
        <w:bottom w:val="single" w:sz="4" w:space="1" w:color="auto"/>
      </w:pBdr>
      <w:tabs>
        <w:tab w:val="left" w:pos="1134"/>
        <w:tab w:val="right" w:pos="8931"/>
      </w:tabs>
      <w:spacing w:before="120" w:after="0"/>
    </w:pPr>
    <w:r>
      <w:rPr>
        <w:noProof/>
        <w:lang w:val="it-IT" w:eastAsia="it-IT"/>
      </w:rPr>
      <w:drawing>
        <wp:anchor distT="0" distB="0" distL="114300" distR="114300" simplePos="0" relativeHeight="251661312" behindDoc="0" locked="0" layoutInCell="1" allowOverlap="1">
          <wp:simplePos x="0" y="0"/>
          <wp:positionH relativeFrom="column">
            <wp:posOffset>19685</wp:posOffset>
          </wp:positionH>
          <wp:positionV relativeFrom="paragraph">
            <wp:posOffset>383540</wp:posOffset>
          </wp:positionV>
          <wp:extent cx="628650" cy="323850"/>
          <wp:effectExtent l="19050" t="0" r="0" b="0"/>
          <wp:wrapSquare wrapText="bothSides"/>
          <wp:docPr id="1"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PCLogo"/>
                  <pic:cNvPicPr>
                    <a:picLocks noChangeAspect="1" noChangeArrowheads="1"/>
                  </pic:cNvPicPr>
                </pic:nvPicPr>
                <pic:blipFill>
                  <a:blip r:embed="rId1"/>
                  <a:srcRect/>
                  <a:stretch>
                    <a:fillRect/>
                  </a:stretch>
                </pic:blipFill>
                <pic:spPr bwMode="auto">
                  <a:xfrm>
                    <a:off x="0" y="0"/>
                    <a:ext cx="628650" cy="323850"/>
                  </a:xfrm>
                  <a:prstGeom prst="rect">
                    <a:avLst/>
                  </a:prstGeom>
                  <a:noFill/>
                </pic:spPr>
              </pic:pic>
            </a:graphicData>
          </a:graphic>
        </wp:anchor>
      </w:drawing>
    </w:r>
    <w:r w:rsidRPr="000B3226">
      <w:drawing>
        <wp:inline distT="0" distB="0" distL="0" distR="0">
          <wp:extent cx="5670550" cy="300310"/>
          <wp:effectExtent l="19050" t="0" r="635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670550" cy="300310"/>
                  </a:xfrm>
                  <a:prstGeom prst="rect">
                    <a:avLst/>
                  </a:prstGeom>
                  <a:noFill/>
                  <a:ln w="9525">
                    <a:noFill/>
                    <a:miter lim="800000"/>
                    <a:headEnd/>
                    <a:tailEnd/>
                  </a:ln>
                </pic:spPr>
              </pic:pic>
            </a:graphicData>
          </a:graphic>
        </wp:inline>
      </w:drawing>
    </w:r>
  </w:p>
  <w:p w:rsidR="00BC00C2" w:rsidRPr="0098497A" w:rsidRDefault="00BC00C2" w:rsidP="0058787A">
    <w:pPr>
      <w:pBdr>
        <w:bottom w:val="single" w:sz="4" w:space="1" w:color="auto"/>
      </w:pBdr>
      <w:tabs>
        <w:tab w:val="left" w:pos="1134"/>
        <w:tab w:val="right" w:pos="8931"/>
      </w:tabs>
      <w:spacing w:before="120" w:after="0"/>
      <w:rPr>
        <w:rFonts w:ascii="Arial" w:hAnsi="Arial" w:cs="Arial"/>
        <w:i/>
        <w:sz w:val="18"/>
        <w:szCs w:val="18"/>
        <w:lang w:val="fr-FR"/>
      </w:rPr>
    </w:pPr>
    <w:r>
      <w:tab/>
    </w:r>
    <w:r w:rsidRPr="00D32D38">
      <w:rPr>
        <w:rFonts w:ascii="Arial" w:hAnsi="Arial" w:cs="Arial"/>
        <w:sz w:val="18"/>
        <w:szCs w:val="18"/>
      </w:rPr>
      <w:t>International Plant Protection Convention</w:t>
    </w:r>
    <w:r w:rsidR="000B3226">
      <w:rPr>
        <w:rFonts w:ascii="Arial" w:hAnsi="Arial" w:cs="Arial"/>
        <w:sz w:val="18"/>
        <w:szCs w:val="18"/>
      </w:rPr>
      <w:tab/>
      <w:t xml:space="preserve">SPG  </w:t>
    </w:r>
    <w:r>
      <w:rPr>
        <w:rFonts w:ascii="Arial" w:hAnsi="Arial" w:cs="Arial"/>
        <w:sz w:val="18"/>
        <w:szCs w:val="18"/>
      </w:rPr>
      <w:t>2012</w:t>
    </w:r>
    <w:r w:rsidR="000B3226">
      <w:rPr>
        <w:rFonts w:ascii="Arial" w:hAnsi="Arial" w:cs="Arial"/>
        <w:sz w:val="18"/>
        <w:szCs w:val="18"/>
      </w:rPr>
      <w:t>/07</w:t>
    </w:r>
  </w:p>
  <w:p w:rsidR="00BC00C2" w:rsidRDefault="00BC00C2" w:rsidP="0058787A">
    <w:pPr>
      <w:pStyle w:val="IPPArial"/>
      <w:pBdr>
        <w:bottom w:val="single" w:sz="4" w:space="1" w:color="auto"/>
      </w:pBdr>
      <w:tabs>
        <w:tab w:val="left" w:pos="1134"/>
        <w:tab w:val="right" w:pos="8931"/>
      </w:tabs>
    </w:pPr>
    <w:r>
      <w:rPr>
        <w:i/>
        <w:lang w:val="en-US"/>
      </w:rPr>
      <w:tab/>
      <w:t>Classification of CPM documents</w:t>
    </w:r>
    <w:r>
      <w:rPr>
        <w:rFonts w:cs="Arial"/>
        <w:szCs w:val="18"/>
      </w:rPr>
      <w:tab/>
    </w:r>
    <w:r w:rsidRPr="002C23DD">
      <w:rPr>
        <w:rFonts w:cs="Arial"/>
        <w:i/>
        <w:iCs/>
        <w:szCs w:val="18"/>
      </w:rPr>
      <w:t>Agenda item</w:t>
    </w:r>
    <w:r>
      <w:rPr>
        <w:rFonts w:cs="Arial"/>
        <w:i/>
        <w:iCs/>
        <w:szCs w:val="18"/>
      </w:rPr>
      <w:t xml:space="preserve"> 13</w:t>
    </w:r>
  </w:p>
  <w:p w:rsidR="00BC00C2" w:rsidRDefault="00BC00C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26" w:rsidRPr="000B3226" w:rsidRDefault="000B3226" w:rsidP="00102846">
    <w:pPr>
      <w:pStyle w:val="Intestazione"/>
      <w:pBdr>
        <w:bottom w:val="single" w:sz="4" w:space="1" w:color="auto"/>
      </w:pBdr>
      <w:tabs>
        <w:tab w:val="clear" w:pos="4536"/>
        <w:tab w:val="clear" w:pos="9072"/>
        <w:tab w:val="right" w:pos="13750"/>
      </w:tabs>
      <w:rPr>
        <w:rFonts w:ascii="Arial" w:hAnsi="Arial" w:cs="Arial"/>
        <w:sz w:val="18"/>
        <w:szCs w:val="18"/>
      </w:rPr>
    </w:pPr>
    <w:r>
      <w:rPr>
        <w:rFonts w:ascii="Arial" w:hAnsi="Arial" w:cs="Arial"/>
        <w:sz w:val="18"/>
        <w:szCs w:val="18"/>
      </w:rPr>
      <w:t>SPG  2012/</w:t>
    </w:r>
    <w:r w:rsidRPr="000B3226">
      <w:rPr>
        <w:rFonts w:ascii="Arial" w:hAnsi="Arial" w:cs="Arial"/>
        <w:sz w:val="18"/>
        <w:szCs w:val="18"/>
      </w:rPr>
      <w:t>07</w:t>
    </w:r>
    <w:r>
      <w:rPr>
        <w:rFonts w:ascii="Arial" w:hAnsi="Arial" w:cs="Arial"/>
        <w:sz w:val="18"/>
        <w:szCs w:val="18"/>
      </w:rPr>
      <w:tab/>
    </w:r>
    <w:r w:rsidRPr="000B3226">
      <w:rPr>
        <w:rFonts w:ascii="Arial" w:hAnsi="Arial" w:cs="Arial"/>
        <w:i/>
        <w:sz w:val="18"/>
        <w:szCs w:val="18"/>
        <w:lang w:val="en-US"/>
      </w:rPr>
      <w:t xml:space="preserve"> Classification of CPM documents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26" w:rsidRDefault="000B3226" w:rsidP="0058787A">
    <w:pPr>
      <w:pBdr>
        <w:bottom w:val="single" w:sz="4" w:space="1" w:color="auto"/>
      </w:pBdr>
      <w:tabs>
        <w:tab w:val="left" w:pos="1134"/>
        <w:tab w:val="right" w:pos="8931"/>
      </w:tabs>
      <w:spacing w:before="120" w:after="0"/>
    </w:pPr>
  </w:p>
  <w:p w:rsidR="000B3226" w:rsidRDefault="000B3226" w:rsidP="00102846">
    <w:pPr>
      <w:pBdr>
        <w:bottom w:val="single" w:sz="4" w:space="1" w:color="auto"/>
      </w:pBdr>
      <w:tabs>
        <w:tab w:val="right" w:pos="13750"/>
      </w:tabs>
      <w:spacing w:before="120" w:after="0"/>
    </w:pPr>
    <w:r w:rsidRPr="000B3226">
      <w:rPr>
        <w:rFonts w:ascii="Arial" w:hAnsi="Arial" w:cs="Arial"/>
        <w:i/>
        <w:sz w:val="18"/>
        <w:szCs w:val="18"/>
        <w:lang w:val="en-US"/>
      </w:rPr>
      <w:t>Classification of CPM documents</w:t>
    </w:r>
    <w:r>
      <w:rPr>
        <w:rFonts w:ascii="Arial" w:hAnsi="Arial" w:cs="Arial"/>
        <w:sz w:val="18"/>
        <w:szCs w:val="18"/>
      </w:rPr>
      <w:t xml:space="preserve"> </w:t>
    </w:r>
    <w:r>
      <w:rPr>
        <w:rFonts w:ascii="Arial" w:hAnsi="Arial" w:cs="Arial"/>
        <w:sz w:val="18"/>
        <w:szCs w:val="18"/>
      </w:rPr>
      <w:tab/>
      <w:t>SPG  2012/07</w:t>
    </w:r>
  </w:p>
  <w:p w:rsidR="000B3226" w:rsidRDefault="000B322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834"/>
    <w:multiLevelType w:val="hybridMultilevel"/>
    <w:tmpl w:val="5E3205D2"/>
    <w:lvl w:ilvl="0" w:tplc="0410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4121F"/>
    <w:multiLevelType w:val="hybridMultilevel"/>
    <w:tmpl w:val="A5B229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79812B0F"/>
    <w:multiLevelType w:val="hybridMultilevel"/>
    <w:tmpl w:val="3D565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evenAndOddHeaders/>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58787A"/>
    <w:rsid w:val="000A2570"/>
    <w:rsid w:val="000B3226"/>
    <w:rsid w:val="000B373D"/>
    <w:rsid w:val="00102846"/>
    <w:rsid w:val="00150FA7"/>
    <w:rsid w:val="00153D5E"/>
    <w:rsid w:val="001A264A"/>
    <w:rsid w:val="001A554A"/>
    <w:rsid w:val="00204297"/>
    <w:rsid w:val="00213F98"/>
    <w:rsid w:val="002463DD"/>
    <w:rsid w:val="002760A1"/>
    <w:rsid w:val="002D3461"/>
    <w:rsid w:val="003137BE"/>
    <w:rsid w:val="004221D6"/>
    <w:rsid w:val="0046005C"/>
    <w:rsid w:val="0049719B"/>
    <w:rsid w:val="004A2339"/>
    <w:rsid w:val="00536445"/>
    <w:rsid w:val="0058787A"/>
    <w:rsid w:val="006663CF"/>
    <w:rsid w:val="007271F9"/>
    <w:rsid w:val="00761F74"/>
    <w:rsid w:val="007725AC"/>
    <w:rsid w:val="00795BA8"/>
    <w:rsid w:val="007F642F"/>
    <w:rsid w:val="00837404"/>
    <w:rsid w:val="0088652C"/>
    <w:rsid w:val="008A588A"/>
    <w:rsid w:val="008E6A54"/>
    <w:rsid w:val="008F3EA4"/>
    <w:rsid w:val="00906F8A"/>
    <w:rsid w:val="00911CB8"/>
    <w:rsid w:val="009738C6"/>
    <w:rsid w:val="00992E15"/>
    <w:rsid w:val="00996740"/>
    <w:rsid w:val="00AA1061"/>
    <w:rsid w:val="00B20EF3"/>
    <w:rsid w:val="00B26913"/>
    <w:rsid w:val="00B53395"/>
    <w:rsid w:val="00B91E7C"/>
    <w:rsid w:val="00BA12BD"/>
    <w:rsid w:val="00BB2518"/>
    <w:rsid w:val="00BC00C2"/>
    <w:rsid w:val="00BC4DAC"/>
    <w:rsid w:val="00BE6DA8"/>
    <w:rsid w:val="00BF1D8A"/>
    <w:rsid w:val="00BF4E67"/>
    <w:rsid w:val="00C03CED"/>
    <w:rsid w:val="00C73E2B"/>
    <w:rsid w:val="00CB64EE"/>
    <w:rsid w:val="00CF4E08"/>
    <w:rsid w:val="00DA1699"/>
    <w:rsid w:val="00E03F34"/>
    <w:rsid w:val="00E16695"/>
    <w:rsid w:val="00F357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3F98"/>
    <w:rPr>
      <w:rFonts w:ascii="Times New Roman" w:hAnsi="Times New Roman"/>
      <w:sz w:val="24"/>
      <w:lang w:val="en-GB"/>
    </w:rPr>
  </w:style>
  <w:style w:type="paragraph" w:styleId="Titolo1">
    <w:name w:val="heading 1"/>
    <w:basedOn w:val="Normale"/>
    <w:next w:val="Normale"/>
    <w:link w:val="Titolo1Carattere"/>
    <w:uiPriority w:val="9"/>
    <w:qFormat/>
    <w:rsid w:val="00276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13F9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213F98"/>
    <w:rPr>
      <w:rFonts w:ascii="Times New Roman" w:hAnsi="Times New Roman"/>
      <w:sz w:val="24"/>
      <w:lang w:val="en-GB"/>
    </w:rPr>
  </w:style>
  <w:style w:type="paragraph" w:styleId="Pidipagina">
    <w:name w:val="footer"/>
    <w:basedOn w:val="Normale"/>
    <w:link w:val="PidipaginaCarattere"/>
    <w:uiPriority w:val="99"/>
    <w:unhideWhenUsed/>
    <w:rsid w:val="00213F9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13F98"/>
    <w:rPr>
      <w:rFonts w:ascii="Times New Roman" w:hAnsi="Times New Roman"/>
      <w:sz w:val="24"/>
      <w:lang w:val="en-GB"/>
    </w:rPr>
  </w:style>
  <w:style w:type="paragraph" w:customStyle="1" w:styleId="IPPArial">
    <w:name w:val="IPP Arial"/>
    <w:basedOn w:val="Normale"/>
    <w:qFormat/>
    <w:rsid w:val="0058787A"/>
    <w:pPr>
      <w:spacing w:after="0" w:line="240" w:lineRule="auto"/>
      <w:jc w:val="both"/>
    </w:pPr>
    <w:rPr>
      <w:rFonts w:ascii="Arial" w:eastAsia="Times" w:hAnsi="Arial" w:cs="Times New Roman"/>
      <w:sz w:val="18"/>
      <w:szCs w:val="20"/>
    </w:rPr>
  </w:style>
  <w:style w:type="paragraph" w:customStyle="1" w:styleId="SpacePara">
    <w:name w:val="SpacePara"/>
    <w:basedOn w:val="Normale"/>
    <w:next w:val="Normale"/>
    <w:rsid w:val="0058787A"/>
    <w:pPr>
      <w:spacing w:after="0" w:line="480" w:lineRule="auto"/>
    </w:pPr>
    <w:rPr>
      <w:rFonts w:eastAsia="Times New Roman" w:cs="Times New Roman"/>
      <w:noProof/>
      <w:sz w:val="22"/>
      <w:szCs w:val="20"/>
      <w:lang w:eastAsia="en-GB"/>
    </w:rPr>
  </w:style>
  <w:style w:type="paragraph" w:customStyle="1" w:styleId="NewPara">
    <w:name w:val="NewPara"/>
    <w:basedOn w:val="Normale"/>
    <w:next w:val="Normale"/>
    <w:rsid w:val="002760A1"/>
    <w:pPr>
      <w:tabs>
        <w:tab w:val="left" w:pos="709"/>
      </w:tabs>
      <w:spacing w:before="160" w:after="20" w:line="240" w:lineRule="auto"/>
    </w:pPr>
    <w:rPr>
      <w:rFonts w:eastAsia="Times New Roman" w:cs="Times New Roman"/>
      <w:noProof/>
      <w:sz w:val="22"/>
      <w:szCs w:val="20"/>
      <w:lang w:eastAsia="en-GB"/>
    </w:rPr>
  </w:style>
  <w:style w:type="paragraph" w:customStyle="1" w:styleId="IPPArialFootnote">
    <w:name w:val="IPP Arial Footnote"/>
    <w:basedOn w:val="Normale"/>
    <w:qFormat/>
    <w:rsid w:val="002760A1"/>
    <w:pPr>
      <w:tabs>
        <w:tab w:val="left" w:pos="567"/>
      </w:tabs>
      <w:spacing w:before="60" w:after="60" w:line="240" w:lineRule="auto"/>
      <w:ind w:left="567" w:hanging="567"/>
    </w:pPr>
    <w:rPr>
      <w:rFonts w:ascii="Arial" w:eastAsia="Times" w:hAnsi="Arial" w:cs="Times New Roman"/>
      <w:sz w:val="16"/>
      <w:szCs w:val="20"/>
    </w:rPr>
  </w:style>
  <w:style w:type="paragraph" w:customStyle="1" w:styleId="MeetingInfo">
    <w:name w:val="MeetingInfo"/>
    <w:basedOn w:val="Normale"/>
    <w:rsid w:val="002760A1"/>
    <w:pPr>
      <w:pBdr>
        <w:top w:val="single" w:sz="12" w:space="6" w:color="auto"/>
        <w:left w:val="single" w:sz="12" w:space="6" w:color="auto"/>
        <w:bottom w:val="single" w:sz="12" w:space="6" w:color="auto"/>
        <w:right w:val="single" w:sz="12" w:space="6" w:color="auto"/>
        <w:between w:val="single" w:sz="12" w:space="6" w:color="auto"/>
      </w:pBdr>
      <w:spacing w:before="120" w:after="120" w:line="240" w:lineRule="auto"/>
      <w:jc w:val="center"/>
    </w:pPr>
    <w:rPr>
      <w:rFonts w:eastAsia="Times New Roman" w:cs="Times New Roman"/>
      <w:b/>
      <w:noProof/>
      <w:sz w:val="28"/>
      <w:szCs w:val="20"/>
      <w:lang w:eastAsia="en-GB"/>
    </w:rPr>
  </w:style>
  <w:style w:type="character" w:customStyle="1" w:styleId="NroPara">
    <w:name w:val="NroPara"/>
    <w:basedOn w:val="Carpredefinitoparagrafo"/>
    <w:rsid w:val="002760A1"/>
  </w:style>
  <w:style w:type="paragraph" w:customStyle="1" w:styleId="PgBrk">
    <w:name w:val="PgBrk"/>
    <w:basedOn w:val="Normale"/>
    <w:next w:val="Titolo1"/>
    <w:rsid w:val="002760A1"/>
    <w:pPr>
      <w:pageBreakBefore/>
      <w:spacing w:before="120" w:after="0" w:line="14" w:lineRule="exact"/>
    </w:pPr>
    <w:rPr>
      <w:rFonts w:eastAsia="Times New Roman" w:cs="Times New Roman"/>
      <w:noProof/>
      <w:sz w:val="22"/>
      <w:szCs w:val="20"/>
      <w:lang w:eastAsia="en-GB"/>
    </w:rPr>
  </w:style>
  <w:style w:type="paragraph" w:customStyle="1" w:styleId="Body">
    <w:name w:val="Body"/>
    <w:rsid w:val="002760A1"/>
    <w:pPr>
      <w:spacing w:after="180" w:line="312" w:lineRule="auto"/>
    </w:pPr>
    <w:rPr>
      <w:rFonts w:ascii="Palatino" w:eastAsia="ヒラギノ角ゴ Pro W3" w:hAnsi="Palatino" w:cs="Times New Roman"/>
      <w:color w:val="000000"/>
      <w:sz w:val="18"/>
      <w:szCs w:val="20"/>
    </w:rPr>
  </w:style>
  <w:style w:type="paragraph" w:customStyle="1" w:styleId="TableHeading">
    <w:name w:val="Table Heading"/>
    <w:rsid w:val="002760A1"/>
    <w:pPr>
      <w:spacing w:after="180" w:line="312" w:lineRule="auto"/>
      <w:jc w:val="center"/>
    </w:pPr>
    <w:rPr>
      <w:rFonts w:ascii="Palatino" w:eastAsia="ヒラギノ角ゴ Pro W3" w:hAnsi="Palatino" w:cs="Times New Roman"/>
      <w:caps/>
      <w:color w:val="FFFFFF"/>
      <w:spacing w:val="22"/>
      <w:sz w:val="18"/>
      <w:szCs w:val="20"/>
    </w:rPr>
  </w:style>
  <w:style w:type="character" w:customStyle="1" w:styleId="Titolo1Carattere">
    <w:name w:val="Titolo 1 Carattere"/>
    <w:basedOn w:val="Carpredefinitoparagrafo"/>
    <w:link w:val="Titolo1"/>
    <w:uiPriority w:val="9"/>
    <w:rsid w:val="002760A1"/>
    <w:rPr>
      <w:rFonts w:asciiTheme="majorHAnsi" w:eastAsiaTheme="majorEastAsia" w:hAnsiTheme="majorHAnsi" w:cstheme="majorBidi"/>
      <w:b/>
      <w:bCs/>
      <w:color w:val="365F91" w:themeColor="accent1" w:themeShade="BF"/>
      <w:sz w:val="28"/>
      <w:szCs w:val="28"/>
      <w:lang w:val="en-GB"/>
    </w:rPr>
  </w:style>
  <w:style w:type="paragraph" w:styleId="Testofumetto">
    <w:name w:val="Balloon Text"/>
    <w:basedOn w:val="Normale"/>
    <w:link w:val="TestofumettoCarattere"/>
    <w:uiPriority w:val="99"/>
    <w:semiHidden/>
    <w:unhideWhenUsed/>
    <w:rsid w:val="000B32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3226"/>
    <w:rPr>
      <w:rFonts w:ascii="Tahoma" w:hAnsi="Tahoma" w:cs="Tahoma"/>
      <w:sz w:val="16"/>
      <w:szCs w:val="16"/>
      <w:lang w:val="en-GB"/>
    </w:rPr>
  </w:style>
  <w:style w:type="character" w:customStyle="1" w:styleId="PageNumber1">
    <w:name w:val="Page Number1"/>
    <w:rsid w:val="000B3226"/>
    <w:rPr>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273FC-13ED-4F69-ABA2-5D638BEB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5885</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cp:lastModifiedBy>
  <cp:revision>2</cp:revision>
  <cp:lastPrinted>2012-06-14T10:52:00Z</cp:lastPrinted>
  <dcterms:created xsi:type="dcterms:W3CDTF">2012-10-07T20:12:00Z</dcterms:created>
  <dcterms:modified xsi:type="dcterms:W3CDTF">2012-10-07T20:12:00Z</dcterms:modified>
</cp:coreProperties>
</file>