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91" w:rsidRPr="005A5FCB" w:rsidRDefault="005A5FCB" w:rsidP="00D33557">
      <w:pPr>
        <w:autoSpaceDE w:val="0"/>
        <w:autoSpaceDN w:val="0"/>
        <w:adjustRightInd w:val="0"/>
        <w:spacing w:before="600"/>
        <w:jc w:val="center"/>
        <w:rPr>
          <w:b/>
          <w:bCs/>
          <w:sz w:val="24"/>
        </w:rPr>
      </w:pPr>
      <w:r w:rsidRPr="005A5FCB">
        <w:rPr>
          <w:b/>
          <w:bCs/>
          <w:sz w:val="24"/>
        </w:rPr>
        <w:t xml:space="preserve">THE REPORT OF THE IPPC SECRETARIAT </w:t>
      </w:r>
    </w:p>
    <w:p w:rsidR="00625091" w:rsidRDefault="00095465">
      <w:pPr>
        <w:pStyle w:val="IPPHeading1"/>
      </w:pPr>
      <w:r>
        <w:t>Introduction</w:t>
      </w:r>
    </w:p>
    <w:p w:rsidR="003835DC" w:rsidRDefault="00095465" w:rsidP="00E27C5B">
      <w:pPr>
        <w:pStyle w:val="NewPara"/>
        <w:numPr>
          <w:ilvl w:val="0"/>
          <w:numId w:val="17"/>
        </w:numPr>
        <w:ind w:left="426"/>
        <w:jc w:val="left"/>
      </w:pPr>
      <w:r w:rsidRPr="00BD44C6">
        <w:rPr>
          <w:rFonts w:hint="eastAsia"/>
        </w:rPr>
        <w:t>This report</w:t>
      </w:r>
      <w:r w:rsidRPr="00BD44C6">
        <w:t xml:space="preserve"> cover</w:t>
      </w:r>
      <w:r w:rsidRPr="00BD44C6">
        <w:rPr>
          <w:rFonts w:hint="eastAsia"/>
        </w:rPr>
        <w:t>s</w:t>
      </w:r>
      <w:r w:rsidRPr="00BD44C6">
        <w:t xml:space="preserve"> </w:t>
      </w:r>
      <w:r w:rsidRPr="00BD44C6">
        <w:rPr>
          <w:rFonts w:hint="eastAsia"/>
        </w:rPr>
        <w:t xml:space="preserve">the IPPC </w:t>
      </w:r>
      <w:r w:rsidRPr="00BD44C6">
        <w:t xml:space="preserve">work programme from 1 January to </w:t>
      </w:r>
      <w:r>
        <w:t>30</w:t>
      </w:r>
      <w:r w:rsidRPr="00BD44C6">
        <w:t xml:space="preserve"> </w:t>
      </w:r>
      <w:r>
        <w:t>September</w:t>
      </w:r>
      <w:r w:rsidRPr="00BD44C6">
        <w:t xml:space="preserve"> </w:t>
      </w:r>
      <w:r>
        <w:t>2012</w:t>
      </w:r>
      <w:r w:rsidRPr="00BD44C6">
        <w:t xml:space="preserve">, the </w:t>
      </w:r>
      <w:r>
        <w:t>second</w:t>
      </w:r>
      <w:r w:rsidRPr="00BD44C6">
        <w:t xml:space="preserve"> year </w:t>
      </w:r>
      <w:r w:rsidR="003835DC">
        <w:t>of</w:t>
      </w:r>
      <w:r w:rsidRPr="00BD44C6">
        <w:t xml:space="preserve"> the </w:t>
      </w:r>
      <w:r>
        <w:t>IPPC Strategic Framework</w:t>
      </w:r>
      <w:r w:rsidRPr="00BD44C6">
        <w:t xml:space="preserve"> (20</w:t>
      </w:r>
      <w:r>
        <w:t>11</w:t>
      </w:r>
      <w:r w:rsidRPr="00BD44C6">
        <w:t>-201</w:t>
      </w:r>
      <w:r>
        <w:t>9</w:t>
      </w:r>
      <w:r w:rsidRPr="00BD44C6">
        <w:t>).</w:t>
      </w:r>
      <w:r w:rsidR="006A297F">
        <w:t xml:space="preserve">  As noted below</w:t>
      </w:r>
      <w:r w:rsidR="003835DC">
        <w:t xml:space="preserve"> in the operational results, the Secretariat was active in all of the strategic objectives of the Strategic Framework, posted below:  </w:t>
      </w:r>
    </w:p>
    <w:p w:rsidR="003835DC" w:rsidRDefault="003835DC" w:rsidP="00E27C5B">
      <w:pPr>
        <w:pStyle w:val="ListParagraph"/>
        <w:numPr>
          <w:ilvl w:val="0"/>
          <w:numId w:val="15"/>
        </w:numPr>
        <w:spacing w:after="200" w:line="276" w:lineRule="auto"/>
        <w:jc w:val="left"/>
      </w:pPr>
      <w:r w:rsidRPr="00CD73AC">
        <w:t>Protect sustainable agriculture and enhance global food security through the prevention of pest spread</w:t>
      </w:r>
    </w:p>
    <w:p w:rsidR="003835DC" w:rsidRDefault="003835DC" w:rsidP="00E27C5B">
      <w:pPr>
        <w:pStyle w:val="ListParagraph"/>
        <w:numPr>
          <w:ilvl w:val="0"/>
          <w:numId w:val="15"/>
        </w:numPr>
        <w:spacing w:after="200" w:line="276" w:lineRule="auto"/>
        <w:jc w:val="left"/>
      </w:pPr>
      <w:r w:rsidRPr="00CD73AC">
        <w:t>Protect the environment, forests, and biodiversity from plant pests</w:t>
      </w:r>
    </w:p>
    <w:p w:rsidR="003835DC" w:rsidRDefault="003835DC" w:rsidP="00E27C5B">
      <w:pPr>
        <w:pStyle w:val="ListParagraph"/>
        <w:numPr>
          <w:ilvl w:val="0"/>
          <w:numId w:val="15"/>
        </w:numPr>
        <w:spacing w:after="200" w:line="276" w:lineRule="auto"/>
        <w:jc w:val="left"/>
      </w:pPr>
      <w:r w:rsidRPr="00CD73AC">
        <w:t>Facilitate economic and trade development through the promotion of harmonized scientifically-based phytosanitary measures</w:t>
      </w:r>
    </w:p>
    <w:p w:rsidR="003835DC" w:rsidRDefault="003835DC" w:rsidP="00E27C5B">
      <w:pPr>
        <w:pStyle w:val="ListParagraph"/>
        <w:numPr>
          <w:ilvl w:val="0"/>
          <w:numId w:val="15"/>
        </w:numPr>
        <w:spacing w:after="200" w:line="276" w:lineRule="auto"/>
        <w:jc w:val="left"/>
      </w:pPr>
      <w:r w:rsidRPr="00CD73AC">
        <w:t xml:space="preserve">Develop phytosanitary capacity for </w:t>
      </w:r>
      <w:r>
        <w:t>members to accomplish A, B and C</w:t>
      </w:r>
    </w:p>
    <w:p w:rsidR="003835DC" w:rsidRDefault="003835DC" w:rsidP="00E27C5B">
      <w:pPr>
        <w:pStyle w:val="ListParagraph"/>
        <w:numPr>
          <w:ilvl w:val="0"/>
          <w:numId w:val="16"/>
        </w:numPr>
        <w:spacing w:after="200" w:line="276" w:lineRule="auto"/>
        <w:jc w:val="left"/>
      </w:pPr>
      <w:r w:rsidRPr="00CD73AC">
        <w:t>Effective collaboration with members and stakeholders</w:t>
      </w:r>
      <w:r>
        <w:t xml:space="preserve">  </w:t>
      </w:r>
    </w:p>
    <w:p w:rsidR="00E27C5B" w:rsidRDefault="003835DC" w:rsidP="00E27C5B">
      <w:pPr>
        <w:pStyle w:val="ListParagraph"/>
        <w:numPr>
          <w:ilvl w:val="0"/>
          <w:numId w:val="16"/>
        </w:numPr>
        <w:spacing w:after="360"/>
        <w:ind w:left="1434" w:hanging="357"/>
      </w:pPr>
      <w:r w:rsidRPr="00CD73AC">
        <w:t>Efficient and effective administration</w:t>
      </w:r>
    </w:p>
    <w:p w:rsidR="00E27C5B" w:rsidRDefault="00E27C5B" w:rsidP="00E27C5B">
      <w:pPr>
        <w:pStyle w:val="ListParagraph"/>
        <w:spacing w:after="360"/>
        <w:ind w:left="1434"/>
      </w:pPr>
    </w:p>
    <w:p w:rsidR="00625091" w:rsidRDefault="00095465" w:rsidP="00E27C5B">
      <w:pPr>
        <w:pStyle w:val="ListParagraph"/>
        <w:numPr>
          <w:ilvl w:val="0"/>
          <w:numId w:val="17"/>
        </w:numPr>
      </w:pPr>
      <w:r w:rsidRPr="00BD44C6">
        <w:t>T</w:t>
      </w:r>
      <w:r w:rsidRPr="00BD44C6">
        <w:rPr>
          <w:rFonts w:hint="eastAsia"/>
        </w:rPr>
        <w:t xml:space="preserve">he </w:t>
      </w:r>
      <w:r w:rsidRPr="00BD44C6">
        <w:t xml:space="preserve">Membership of the IPPC </w:t>
      </w:r>
      <w:r w:rsidR="004D258D">
        <w:t>remains</w:t>
      </w:r>
      <w:r w:rsidRPr="00BD44C6">
        <w:t xml:space="preserve"> at</w:t>
      </w:r>
      <w:r w:rsidRPr="00BD44C6">
        <w:rPr>
          <w:rFonts w:hint="eastAsia"/>
        </w:rPr>
        <w:t xml:space="preserve"> 177 contracting parties</w:t>
      </w:r>
      <w:r w:rsidR="004D258D">
        <w:t xml:space="preserve"> with no changes since CPM-7 (2012). </w:t>
      </w:r>
      <w:r>
        <w:t>Various</w:t>
      </w:r>
      <w:r w:rsidRPr="00BD44C6">
        <w:rPr>
          <w:rFonts w:hint="eastAsia"/>
        </w:rPr>
        <w:t xml:space="preserve"> planned meetings took place </w:t>
      </w:r>
      <w:r w:rsidRPr="00BD44C6">
        <w:t xml:space="preserve">in </w:t>
      </w:r>
      <w:r>
        <w:t xml:space="preserve">2012. </w:t>
      </w:r>
      <w:r w:rsidR="0023535B">
        <w:t>In addition,</w:t>
      </w:r>
      <w:r w:rsidR="00840396">
        <w:t xml:space="preserve"> i</w:t>
      </w:r>
      <w:r>
        <w:t>t should be noted</w:t>
      </w:r>
      <w:r w:rsidR="00ED544E">
        <w:t xml:space="preserve"> that</w:t>
      </w:r>
      <w:r>
        <w:t>:</w:t>
      </w:r>
    </w:p>
    <w:p w:rsidR="00625091" w:rsidRDefault="00095465" w:rsidP="00E27C5B">
      <w:pPr>
        <w:pStyle w:val="IPPNumberedList"/>
        <w:numPr>
          <w:ilvl w:val="0"/>
          <w:numId w:val="13"/>
        </w:numPr>
        <w:spacing w:before="240"/>
        <w:jc w:val="left"/>
      </w:pPr>
      <w:r>
        <w:t xml:space="preserve">continuous efforts to develop </w:t>
      </w:r>
      <w:r w:rsidR="004D258D">
        <w:t xml:space="preserve">and implement </w:t>
      </w:r>
      <w:r>
        <w:t xml:space="preserve">specific strategies </w:t>
      </w:r>
      <w:r w:rsidR="004D258D">
        <w:t xml:space="preserve">are ongoing; </w:t>
      </w:r>
    </w:p>
    <w:p w:rsidR="00625091" w:rsidRDefault="00ED544E" w:rsidP="00E27C5B">
      <w:pPr>
        <w:pStyle w:val="IPPNumberedList"/>
        <w:numPr>
          <w:ilvl w:val="0"/>
          <w:numId w:val="13"/>
        </w:numPr>
        <w:jc w:val="left"/>
      </w:pPr>
      <w:r>
        <w:t xml:space="preserve">continuous efforts to develop standards </w:t>
      </w:r>
      <w:r w:rsidR="004D258D">
        <w:t xml:space="preserve">under the </w:t>
      </w:r>
      <w:r w:rsidR="00095465">
        <w:t xml:space="preserve">revised process </w:t>
      </w:r>
      <w:r w:rsidR="004D258D">
        <w:t xml:space="preserve">are ongoing; </w:t>
      </w:r>
    </w:p>
    <w:p w:rsidR="00625091" w:rsidRDefault="00ED544E" w:rsidP="00E27C5B">
      <w:pPr>
        <w:pStyle w:val="IPPNumberedList"/>
        <w:numPr>
          <w:ilvl w:val="0"/>
          <w:numId w:val="13"/>
        </w:numPr>
        <w:jc w:val="left"/>
      </w:pPr>
      <w:r>
        <w:t>the newly established C</w:t>
      </w:r>
      <w:r w:rsidR="004D258D">
        <w:t xml:space="preserve">apacity </w:t>
      </w:r>
      <w:r>
        <w:t>D</w:t>
      </w:r>
      <w:r w:rsidR="004D258D">
        <w:t xml:space="preserve">evelopment </w:t>
      </w:r>
      <w:r>
        <w:t>C</w:t>
      </w:r>
      <w:r w:rsidR="004D258D">
        <w:t>ommittee (CDC)</w:t>
      </w:r>
      <w:r>
        <w:t xml:space="preserve"> </w:t>
      </w:r>
      <w:r w:rsidR="004D258D">
        <w:t xml:space="preserve">is scheduled to begin </w:t>
      </w:r>
      <w:r>
        <w:t>working</w:t>
      </w:r>
      <w:r w:rsidR="004D258D">
        <w:t xml:space="preserve"> in December, 2012, </w:t>
      </w:r>
      <w:r>
        <w:t xml:space="preserve"> and</w:t>
      </w:r>
      <w:r w:rsidR="00840396">
        <w:t xml:space="preserve"> the</w:t>
      </w:r>
      <w:r>
        <w:t xml:space="preserve"> Phytosanitary Resource Page </w:t>
      </w:r>
      <w:r w:rsidR="00840396">
        <w:t>(</w:t>
      </w:r>
      <w:r w:rsidR="0023535B">
        <w:t>www.phytosanitary.info</w:t>
      </w:r>
      <w:r w:rsidR="00840396">
        <w:t xml:space="preserve">) </w:t>
      </w:r>
      <w:r w:rsidR="00D33557">
        <w:t xml:space="preserve">is now </w:t>
      </w:r>
      <w:r>
        <w:t>available</w:t>
      </w:r>
      <w:r w:rsidR="004D258D">
        <w:t>;</w:t>
      </w:r>
      <w:r>
        <w:t xml:space="preserve"> </w:t>
      </w:r>
    </w:p>
    <w:p w:rsidR="00625091" w:rsidRDefault="004D258D" w:rsidP="00E27C5B">
      <w:pPr>
        <w:pStyle w:val="IPPNumberedList"/>
        <w:numPr>
          <w:ilvl w:val="0"/>
          <w:numId w:val="13"/>
        </w:numPr>
        <w:jc w:val="left"/>
      </w:pPr>
      <w:r>
        <w:t xml:space="preserve">five </w:t>
      </w:r>
      <w:r w:rsidR="00095465">
        <w:t xml:space="preserve">regional workshops </w:t>
      </w:r>
      <w:r>
        <w:t xml:space="preserve">for the purpose of providing comments on draft standards, as well as seven </w:t>
      </w:r>
      <w:r w:rsidR="00ED30B3">
        <w:t xml:space="preserve">Implementation Review and Support System (IRSS </w:t>
      </w:r>
      <w:r>
        <w:t>regional workshops</w:t>
      </w:r>
      <w:r w:rsidR="00095465">
        <w:t>)</w:t>
      </w:r>
      <w:r w:rsidR="00ED30B3">
        <w:t xml:space="preserve"> covering the implementation of ISPMs 2, 4 and 6 took place;</w:t>
      </w:r>
    </w:p>
    <w:p w:rsidR="00000DD7" w:rsidRDefault="00095465" w:rsidP="00E27C5B">
      <w:pPr>
        <w:pStyle w:val="IPPNumberedList"/>
        <w:numPr>
          <w:ilvl w:val="0"/>
          <w:numId w:val="13"/>
        </w:numPr>
        <w:jc w:val="left"/>
      </w:pPr>
      <w:r w:rsidRPr="00BD44C6">
        <w:t>The IPPC Secretariat r</w:t>
      </w:r>
      <w:r w:rsidRPr="00BD44C6">
        <w:rPr>
          <w:rFonts w:hint="eastAsia"/>
        </w:rPr>
        <w:t xml:space="preserve">esource </w:t>
      </w:r>
      <w:r w:rsidRPr="00BD44C6">
        <w:t>availability</w:t>
      </w:r>
      <w:r w:rsidRPr="00BD44C6">
        <w:rPr>
          <w:rFonts w:hint="eastAsia"/>
        </w:rPr>
        <w:t xml:space="preserve"> </w:t>
      </w:r>
      <w:r w:rsidRPr="00BD44C6">
        <w:t>remains</w:t>
      </w:r>
      <w:r w:rsidRPr="00BD44C6">
        <w:rPr>
          <w:rFonts w:hint="eastAsia"/>
        </w:rPr>
        <w:t xml:space="preserve"> critical.</w:t>
      </w:r>
      <w:r>
        <w:t xml:space="preserve"> </w:t>
      </w:r>
      <w:r w:rsidRPr="00BD44C6">
        <w:rPr>
          <w:rFonts w:hint="eastAsia"/>
        </w:rPr>
        <w:t>However</w:t>
      </w:r>
      <w:r w:rsidRPr="00BD44C6">
        <w:t>,</w:t>
      </w:r>
      <w:r w:rsidRPr="00BD44C6">
        <w:rPr>
          <w:rFonts w:hint="eastAsia"/>
        </w:rPr>
        <w:t xml:space="preserve"> </w:t>
      </w:r>
      <w:r w:rsidRPr="00BD44C6">
        <w:t>a number of countries and organizations provid</w:t>
      </w:r>
      <w:r w:rsidR="00BD7FF0">
        <w:t>ed</w:t>
      </w:r>
      <w:r w:rsidRPr="00BD44C6">
        <w:rPr>
          <w:rFonts w:hint="eastAsia"/>
        </w:rPr>
        <w:t xml:space="preserve"> </w:t>
      </w:r>
      <w:r w:rsidRPr="00BD44C6">
        <w:t>funds and other types of resources in response to</w:t>
      </w:r>
      <w:r w:rsidRPr="00BD44C6">
        <w:rPr>
          <w:rFonts w:hint="eastAsia"/>
        </w:rPr>
        <w:t xml:space="preserve"> </w:t>
      </w:r>
      <w:r w:rsidRPr="00BD44C6">
        <w:t>the IPPC Secretariat resource mobilization efforts</w:t>
      </w:r>
      <w:r w:rsidRPr="00BD44C6">
        <w:rPr>
          <w:rFonts w:hint="eastAsia"/>
        </w:rPr>
        <w:t xml:space="preserve">. </w:t>
      </w:r>
      <w:r w:rsidRPr="00BD44C6">
        <w:t>In addition, such</w:t>
      </w:r>
      <w:r w:rsidRPr="00BD44C6">
        <w:rPr>
          <w:rFonts w:hint="eastAsia"/>
        </w:rPr>
        <w:t xml:space="preserve"> efforts </w:t>
      </w:r>
      <w:r w:rsidRPr="00BD44C6">
        <w:t xml:space="preserve">have </w:t>
      </w:r>
      <w:r w:rsidRPr="00BD44C6">
        <w:rPr>
          <w:rFonts w:hint="eastAsia"/>
        </w:rPr>
        <w:t>focused on more sustainable resources</w:t>
      </w:r>
      <w:r w:rsidRPr="00BD44C6">
        <w:t>,</w:t>
      </w:r>
      <w:r w:rsidRPr="00BD44C6">
        <w:rPr>
          <w:rFonts w:hint="eastAsia"/>
        </w:rPr>
        <w:t xml:space="preserve"> </w:t>
      </w:r>
      <w:r w:rsidR="00BD7FF0">
        <w:t xml:space="preserve">with a </w:t>
      </w:r>
      <w:r w:rsidRPr="00BD44C6">
        <w:rPr>
          <w:rFonts w:hint="eastAsia"/>
        </w:rPr>
        <w:t>view</w:t>
      </w:r>
      <w:r w:rsidR="00BD7FF0">
        <w:t xml:space="preserve"> to</w:t>
      </w:r>
      <w:r w:rsidRPr="00BD44C6">
        <w:rPr>
          <w:rFonts w:hint="eastAsia"/>
        </w:rPr>
        <w:t xml:space="preserve"> balancing</w:t>
      </w:r>
      <w:r>
        <w:t xml:space="preserve"> </w:t>
      </w:r>
      <w:r w:rsidRPr="00BD44C6">
        <w:rPr>
          <w:rFonts w:hint="eastAsia"/>
        </w:rPr>
        <w:t>effort</w:t>
      </w:r>
      <w:r>
        <w:t>s</w:t>
      </w:r>
      <w:r w:rsidRPr="00BD44C6">
        <w:rPr>
          <w:rFonts w:hint="eastAsia"/>
        </w:rPr>
        <w:t xml:space="preserve"> cost</w:t>
      </w:r>
      <w:r w:rsidR="00BD7FF0">
        <w:t>s</w:t>
      </w:r>
      <w:r w:rsidRPr="00BD44C6">
        <w:rPr>
          <w:rFonts w:hint="eastAsia"/>
        </w:rPr>
        <w:t xml:space="preserve"> and real benefits.</w:t>
      </w:r>
    </w:p>
    <w:p w:rsidR="00000DD7" w:rsidRDefault="00ED30B3" w:rsidP="00E27C5B">
      <w:pPr>
        <w:pStyle w:val="IPPNumberedList"/>
        <w:numPr>
          <w:ilvl w:val="0"/>
          <w:numId w:val="13"/>
        </w:numPr>
        <w:jc w:val="left"/>
      </w:pPr>
      <w:r w:rsidRPr="00BD44C6">
        <w:t xml:space="preserve">Table 1 </w:t>
      </w:r>
      <w:r>
        <w:t>is intended to provide</w:t>
      </w:r>
      <w:r w:rsidRPr="00BD44C6">
        <w:t xml:space="preserve"> </w:t>
      </w:r>
      <w:r>
        <w:t>SPG members</w:t>
      </w:r>
      <w:r w:rsidRPr="00BD44C6">
        <w:t xml:space="preserve"> with a quick overview of events </w:t>
      </w:r>
      <w:r>
        <w:t xml:space="preserve">in which </w:t>
      </w:r>
      <w:r w:rsidRPr="00BD44C6">
        <w:t xml:space="preserve">the IPPC Secretariat participated </w:t>
      </w:r>
      <w:r>
        <w:t>and will participate</w:t>
      </w:r>
      <w:r w:rsidRPr="00BD44C6">
        <w:t xml:space="preserve"> during </w:t>
      </w:r>
      <w:r>
        <w:t>2012</w:t>
      </w:r>
      <w:r w:rsidRPr="00BD44C6">
        <w:t xml:space="preserve">. </w:t>
      </w:r>
    </w:p>
    <w:p w:rsidR="006527F0" w:rsidRDefault="006527F0">
      <w:pPr>
        <w:pStyle w:val="IPPNumberedList"/>
        <w:numPr>
          <w:ilvl w:val="0"/>
          <w:numId w:val="0"/>
        </w:numPr>
        <w:ind w:left="567"/>
      </w:pPr>
    </w:p>
    <w:p w:rsidR="00E27C5B" w:rsidRDefault="00E27C5B">
      <w:pPr>
        <w:jc w:val="left"/>
        <w:rPr>
          <w:rFonts w:ascii="Arial" w:eastAsia="Times" w:hAnsi="Arial"/>
          <w:b/>
          <w:bCs/>
          <w:sz w:val="18"/>
        </w:rPr>
        <w:sectPr w:rsidR="00E27C5B" w:rsidSect="00EB3DE8">
          <w:headerReference w:type="even" r:id="rId8"/>
          <w:footerReference w:type="even" r:id="rId9"/>
          <w:footerReference w:type="default" r:id="rId10"/>
          <w:headerReference w:type="first" r:id="rId11"/>
          <w:footerReference w:type="first" r:id="rId12"/>
          <w:pgSz w:w="11906" w:h="16838"/>
          <w:pgMar w:top="1440" w:right="1416" w:bottom="1440" w:left="1440" w:header="708" w:footer="708" w:gutter="0"/>
          <w:cols w:space="708"/>
          <w:titlePg/>
          <w:docGrid w:linePitch="360"/>
        </w:sectPr>
      </w:pPr>
    </w:p>
    <w:p w:rsidR="00E27C5B" w:rsidRDefault="00E27C5B">
      <w:pPr>
        <w:jc w:val="left"/>
        <w:rPr>
          <w:rFonts w:ascii="Arial" w:eastAsia="Times" w:hAnsi="Arial"/>
          <w:b/>
          <w:bCs/>
          <w:sz w:val="18"/>
        </w:rPr>
      </w:pPr>
    </w:p>
    <w:p w:rsidR="00625091" w:rsidRDefault="005547EE" w:rsidP="00E27C5B">
      <w:pPr>
        <w:pStyle w:val="IPPArial"/>
        <w:jc w:val="center"/>
        <w:rPr>
          <w:b/>
          <w:bCs/>
        </w:rPr>
      </w:pPr>
      <w:r w:rsidRPr="005547EE">
        <w:rPr>
          <w:b/>
          <w:bCs/>
        </w:rPr>
        <w:t>Table 1: Calendar of Activities in which the IPPC Secretariat participated in 2012</w:t>
      </w:r>
    </w:p>
    <w:p w:rsidR="00E27C5B" w:rsidRDefault="00E27C5B" w:rsidP="00E27C5B">
      <w:pPr>
        <w:pStyle w:val="IPPArial"/>
        <w:jc w:val="center"/>
        <w:rPr>
          <w:b/>
          <w:bCs/>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805"/>
        <w:gridCol w:w="1254"/>
        <w:gridCol w:w="2507"/>
        <w:gridCol w:w="1495"/>
        <w:gridCol w:w="2343"/>
        <w:gridCol w:w="1827"/>
        <w:gridCol w:w="1890"/>
        <w:gridCol w:w="1594"/>
      </w:tblGrid>
      <w:tr w:rsidR="00095465" w:rsidRPr="00F11ABC" w:rsidTr="00E27C5B">
        <w:trPr>
          <w:cantSplit/>
          <w:tblHeader/>
        </w:trPr>
        <w:tc>
          <w:tcPr>
            <w:tcW w:w="293" w:type="pct"/>
            <w:noWrap/>
          </w:tcPr>
          <w:p w:rsidR="00095465" w:rsidRPr="00F11ABC" w:rsidRDefault="00095465" w:rsidP="00E27C5B">
            <w:pPr>
              <w:jc w:val="center"/>
              <w:rPr>
                <w:b/>
                <w:sz w:val="16"/>
                <w:szCs w:val="18"/>
              </w:rPr>
            </w:pPr>
          </w:p>
        </w:tc>
        <w:tc>
          <w:tcPr>
            <w:tcW w:w="457" w:type="pct"/>
            <w:noWrap/>
          </w:tcPr>
          <w:p w:rsidR="00625091" w:rsidRPr="00D33557" w:rsidRDefault="00095465" w:rsidP="00E27C5B">
            <w:pPr>
              <w:jc w:val="center"/>
              <w:rPr>
                <w:b/>
                <w:sz w:val="16"/>
                <w:szCs w:val="16"/>
              </w:rPr>
            </w:pPr>
            <w:r w:rsidRPr="00D33557">
              <w:rPr>
                <w:b/>
                <w:sz w:val="16"/>
                <w:szCs w:val="16"/>
              </w:rPr>
              <w:t>CPM, SPTA, Bureau</w:t>
            </w:r>
          </w:p>
        </w:tc>
        <w:tc>
          <w:tcPr>
            <w:tcW w:w="914" w:type="pct"/>
            <w:noWrap/>
          </w:tcPr>
          <w:p w:rsidR="00625091" w:rsidRPr="00D33557" w:rsidRDefault="00095465" w:rsidP="00E27C5B">
            <w:pPr>
              <w:jc w:val="center"/>
              <w:rPr>
                <w:b/>
                <w:sz w:val="16"/>
                <w:szCs w:val="16"/>
              </w:rPr>
            </w:pPr>
            <w:r w:rsidRPr="00D33557">
              <w:rPr>
                <w:b/>
                <w:sz w:val="16"/>
                <w:szCs w:val="16"/>
              </w:rPr>
              <w:t>Standard setting</w:t>
            </w:r>
          </w:p>
        </w:tc>
        <w:tc>
          <w:tcPr>
            <w:tcW w:w="545" w:type="pct"/>
            <w:noWrap/>
          </w:tcPr>
          <w:p w:rsidR="00625091" w:rsidRPr="00D33557" w:rsidRDefault="00095465" w:rsidP="00E27C5B">
            <w:pPr>
              <w:jc w:val="center"/>
              <w:rPr>
                <w:b/>
                <w:sz w:val="16"/>
                <w:szCs w:val="16"/>
              </w:rPr>
            </w:pPr>
            <w:r w:rsidRPr="00D33557">
              <w:rPr>
                <w:b/>
                <w:sz w:val="16"/>
                <w:szCs w:val="16"/>
              </w:rPr>
              <w:t>Information exchange / dispute settlement</w:t>
            </w:r>
          </w:p>
        </w:tc>
        <w:tc>
          <w:tcPr>
            <w:tcW w:w="854" w:type="pct"/>
            <w:noWrap/>
          </w:tcPr>
          <w:p w:rsidR="00625091" w:rsidRPr="00D33557" w:rsidRDefault="00095465" w:rsidP="00E27C5B">
            <w:pPr>
              <w:jc w:val="center"/>
              <w:rPr>
                <w:b/>
                <w:sz w:val="16"/>
                <w:szCs w:val="16"/>
              </w:rPr>
            </w:pPr>
            <w:r w:rsidRPr="00D33557">
              <w:rPr>
                <w:b/>
                <w:sz w:val="16"/>
                <w:szCs w:val="16"/>
              </w:rPr>
              <w:t>Capacity development</w:t>
            </w:r>
          </w:p>
        </w:tc>
        <w:tc>
          <w:tcPr>
            <w:tcW w:w="666" w:type="pct"/>
            <w:noWrap/>
          </w:tcPr>
          <w:p w:rsidR="00625091" w:rsidRPr="00D33557" w:rsidRDefault="00095465" w:rsidP="00E27C5B">
            <w:pPr>
              <w:jc w:val="center"/>
              <w:rPr>
                <w:b/>
                <w:sz w:val="16"/>
                <w:szCs w:val="16"/>
              </w:rPr>
            </w:pPr>
            <w:r w:rsidRPr="00D33557">
              <w:rPr>
                <w:b/>
                <w:sz w:val="16"/>
                <w:szCs w:val="16"/>
              </w:rPr>
              <w:t>IRSS / PCE</w:t>
            </w:r>
          </w:p>
        </w:tc>
        <w:tc>
          <w:tcPr>
            <w:tcW w:w="689" w:type="pct"/>
            <w:noWrap/>
          </w:tcPr>
          <w:p w:rsidR="00625091" w:rsidRPr="00D33557" w:rsidRDefault="00095465" w:rsidP="00E27C5B">
            <w:pPr>
              <w:jc w:val="center"/>
              <w:rPr>
                <w:b/>
                <w:sz w:val="16"/>
                <w:szCs w:val="16"/>
              </w:rPr>
            </w:pPr>
            <w:r w:rsidRPr="00D33557">
              <w:rPr>
                <w:b/>
                <w:sz w:val="16"/>
                <w:szCs w:val="16"/>
              </w:rPr>
              <w:t>Others</w:t>
            </w:r>
          </w:p>
          <w:p w:rsidR="00625091" w:rsidRPr="00D33557" w:rsidRDefault="00095465" w:rsidP="00E27C5B">
            <w:pPr>
              <w:jc w:val="center"/>
              <w:rPr>
                <w:b/>
                <w:sz w:val="16"/>
                <w:szCs w:val="16"/>
              </w:rPr>
            </w:pPr>
            <w:r w:rsidRPr="00D33557">
              <w:rPr>
                <w:b/>
                <w:sz w:val="16"/>
                <w:szCs w:val="16"/>
              </w:rPr>
              <w:t>(including resource mobilization/awareness/ liaison)</w:t>
            </w:r>
          </w:p>
        </w:tc>
        <w:tc>
          <w:tcPr>
            <w:tcW w:w="581" w:type="pct"/>
            <w:noWrap/>
          </w:tcPr>
          <w:p w:rsidR="00625091" w:rsidRPr="00D33557" w:rsidRDefault="00095465" w:rsidP="00E27C5B">
            <w:pPr>
              <w:jc w:val="center"/>
              <w:rPr>
                <w:b/>
                <w:sz w:val="16"/>
                <w:szCs w:val="16"/>
              </w:rPr>
            </w:pPr>
            <w:r w:rsidRPr="00D33557">
              <w:rPr>
                <w:b/>
                <w:sz w:val="16"/>
                <w:szCs w:val="16"/>
              </w:rPr>
              <w:t>FAO</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Jan</w:t>
            </w:r>
          </w:p>
        </w:tc>
        <w:tc>
          <w:tcPr>
            <w:tcW w:w="457" w:type="pct"/>
            <w:noWrap/>
          </w:tcPr>
          <w:p w:rsidR="00625091" w:rsidRDefault="00625091">
            <w:pPr>
              <w:jc w:val="left"/>
              <w:rPr>
                <w:sz w:val="16"/>
                <w:szCs w:val="16"/>
              </w:rPr>
            </w:pPr>
          </w:p>
        </w:tc>
        <w:tc>
          <w:tcPr>
            <w:tcW w:w="914" w:type="pct"/>
            <w:noWrap/>
          </w:tcPr>
          <w:p w:rsidR="00625091" w:rsidRDefault="00625091">
            <w:pPr>
              <w:jc w:val="left"/>
              <w:rPr>
                <w:sz w:val="16"/>
                <w:szCs w:val="16"/>
              </w:rPr>
            </w:pPr>
          </w:p>
        </w:tc>
        <w:tc>
          <w:tcPr>
            <w:tcW w:w="545" w:type="pct"/>
            <w:noWrap/>
          </w:tcPr>
          <w:p w:rsidR="00625091" w:rsidRDefault="00625091">
            <w:pPr>
              <w:jc w:val="left"/>
              <w:rPr>
                <w:sz w:val="16"/>
                <w:szCs w:val="16"/>
              </w:rPr>
            </w:pPr>
          </w:p>
        </w:tc>
        <w:tc>
          <w:tcPr>
            <w:tcW w:w="854" w:type="pct"/>
            <w:noWrap/>
          </w:tcPr>
          <w:p w:rsidR="00625091" w:rsidRDefault="00625091">
            <w:pPr>
              <w:jc w:val="left"/>
              <w:rPr>
                <w:sz w:val="16"/>
                <w:szCs w:val="16"/>
              </w:rPr>
            </w:pPr>
          </w:p>
        </w:tc>
        <w:tc>
          <w:tcPr>
            <w:tcW w:w="666" w:type="pct"/>
            <w:noWrap/>
          </w:tcPr>
          <w:p w:rsidR="00625091" w:rsidRDefault="005547EE">
            <w:pPr>
              <w:jc w:val="left"/>
              <w:rPr>
                <w:sz w:val="16"/>
                <w:szCs w:val="16"/>
                <w:lang w:val="fr-FR"/>
              </w:rPr>
            </w:pPr>
            <w:r w:rsidRPr="005547EE">
              <w:rPr>
                <w:sz w:val="16"/>
                <w:szCs w:val="16"/>
                <w:lang w:val="fr-FR"/>
              </w:rPr>
              <w:t>WS on Surveillance</w:t>
            </w:r>
          </w:p>
          <w:p w:rsidR="00625091" w:rsidRDefault="005547EE">
            <w:pPr>
              <w:jc w:val="left"/>
              <w:rPr>
                <w:sz w:val="16"/>
                <w:szCs w:val="16"/>
                <w:lang w:val="fr-FR"/>
              </w:rPr>
            </w:pPr>
            <w:r w:rsidRPr="005547EE">
              <w:rPr>
                <w:sz w:val="16"/>
                <w:szCs w:val="16"/>
                <w:lang w:val="fr-FR"/>
              </w:rPr>
              <w:t xml:space="preserve">16-18 </w:t>
            </w:r>
            <w:r w:rsidRPr="005A5FCB">
              <w:rPr>
                <w:sz w:val="16"/>
                <w:szCs w:val="16"/>
                <w:lang w:val="fr-FR"/>
              </w:rPr>
              <w:t>[Egypt</w:t>
            </w:r>
            <w:r w:rsidRPr="005547EE">
              <w:rPr>
                <w:sz w:val="16"/>
                <w:szCs w:val="16"/>
                <w:lang w:val="fr-FR"/>
              </w:rPr>
              <w:t>]</w:t>
            </w:r>
          </w:p>
          <w:p w:rsidR="00625091" w:rsidRDefault="005547EE">
            <w:pPr>
              <w:jc w:val="left"/>
              <w:rPr>
                <w:sz w:val="16"/>
                <w:szCs w:val="16"/>
                <w:lang w:val="fr-FR"/>
              </w:rPr>
            </w:pPr>
            <w:r w:rsidRPr="005547EE">
              <w:rPr>
                <w:sz w:val="16"/>
                <w:szCs w:val="16"/>
                <w:lang w:val="fr-FR"/>
              </w:rPr>
              <w:t>17-20 [Armenia]</w:t>
            </w:r>
          </w:p>
          <w:p w:rsidR="00625091" w:rsidRDefault="00095465">
            <w:pPr>
              <w:jc w:val="left"/>
              <w:rPr>
                <w:sz w:val="16"/>
                <w:szCs w:val="16"/>
              </w:rPr>
            </w:pPr>
            <w:r w:rsidRPr="0009789D">
              <w:rPr>
                <w:sz w:val="16"/>
                <w:szCs w:val="16"/>
              </w:rPr>
              <w:t>24-26 [Barbados]</w:t>
            </w:r>
          </w:p>
          <w:p w:rsidR="00625091" w:rsidRDefault="00095465">
            <w:pPr>
              <w:jc w:val="left"/>
              <w:rPr>
                <w:sz w:val="16"/>
                <w:szCs w:val="16"/>
              </w:rPr>
            </w:pPr>
            <w:r w:rsidRPr="0009789D">
              <w:rPr>
                <w:sz w:val="16"/>
                <w:szCs w:val="16"/>
              </w:rPr>
              <w:t>30-3 [Ghana]</w:t>
            </w:r>
          </w:p>
          <w:p w:rsidR="00625091" w:rsidRDefault="00095465">
            <w:pPr>
              <w:jc w:val="left"/>
              <w:rPr>
                <w:sz w:val="16"/>
                <w:szCs w:val="16"/>
              </w:rPr>
            </w:pPr>
            <w:r w:rsidRPr="0009789D">
              <w:rPr>
                <w:sz w:val="16"/>
                <w:szCs w:val="16"/>
              </w:rPr>
              <w:t>31-3 [Thailand]</w:t>
            </w:r>
          </w:p>
        </w:tc>
        <w:tc>
          <w:tcPr>
            <w:tcW w:w="689" w:type="pct"/>
            <w:noWrap/>
          </w:tcPr>
          <w:p w:rsidR="00625091" w:rsidRDefault="00625091">
            <w:pPr>
              <w:jc w:val="left"/>
              <w:rPr>
                <w:sz w:val="16"/>
                <w:szCs w:val="16"/>
              </w:rPr>
            </w:pPr>
          </w:p>
        </w:tc>
        <w:tc>
          <w:tcPr>
            <w:tcW w:w="581" w:type="pct"/>
            <w:noWrap/>
          </w:tcPr>
          <w:p w:rsidR="00625091" w:rsidRDefault="00625091">
            <w:pPr>
              <w:jc w:val="left"/>
              <w:rPr>
                <w:sz w:val="16"/>
                <w:szCs w:val="16"/>
              </w:rPr>
            </w:pP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Feb</w:t>
            </w:r>
          </w:p>
        </w:tc>
        <w:tc>
          <w:tcPr>
            <w:tcW w:w="457" w:type="pct"/>
            <w:noWrap/>
          </w:tcPr>
          <w:p w:rsidR="00625091" w:rsidRDefault="00625091">
            <w:pPr>
              <w:jc w:val="left"/>
              <w:rPr>
                <w:sz w:val="16"/>
                <w:szCs w:val="16"/>
              </w:rPr>
            </w:pPr>
          </w:p>
        </w:tc>
        <w:tc>
          <w:tcPr>
            <w:tcW w:w="914" w:type="pct"/>
            <w:noWrap/>
          </w:tcPr>
          <w:p w:rsidR="00625091" w:rsidRDefault="00095465">
            <w:pPr>
              <w:jc w:val="left"/>
              <w:rPr>
                <w:i/>
                <w:sz w:val="16"/>
                <w:szCs w:val="16"/>
              </w:rPr>
            </w:pPr>
            <w:r w:rsidRPr="00645634">
              <w:rPr>
                <w:i/>
                <w:sz w:val="16"/>
                <w:szCs w:val="16"/>
              </w:rPr>
              <w:t>15/2-01/06: Call, TPG</w:t>
            </w:r>
            <w:r>
              <w:rPr>
                <w:i/>
                <w:sz w:val="16"/>
                <w:szCs w:val="16"/>
              </w:rPr>
              <w:t xml:space="preserve"> experts</w:t>
            </w:r>
          </w:p>
          <w:p w:rsidR="00625091" w:rsidRDefault="00095465">
            <w:pPr>
              <w:jc w:val="left"/>
              <w:rPr>
                <w:i/>
                <w:sz w:val="16"/>
                <w:szCs w:val="16"/>
              </w:rPr>
            </w:pPr>
            <w:r w:rsidRPr="00645634">
              <w:rPr>
                <w:i/>
                <w:sz w:val="16"/>
                <w:szCs w:val="16"/>
              </w:rPr>
              <w:t>15/2-01/06: Call, TPDP</w:t>
            </w:r>
            <w:r>
              <w:rPr>
                <w:i/>
                <w:sz w:val="16"/>
                <w:szCs w:val="16"/>
              </w:rPr>
              <w:t xml:space="preserve"> experts</w:t>
            </w:r>
          </w:p>
          <w:p w:rsidR="00625091" w:rsidRDefault="00095465">
            <w:pPr>
              <w:jc w:val="left"/>
              <w:rPr>
                <w:i/>
                <w:sz w:val="16"/>
                <w:szCs w:val="16"/>
              </w:rPr>
            </w:pPr>
            <w:r w:rsidRPr="00645634">
              <w:rPr>
                <w:i/>
                <w:sz w:val="16"/>
                <w:szCs w:val="16"/>
              </w:rPr>
              <w:t>15/2-01/06: Call, TPPT</w:t>
            </w:r>
            <w:r>
              <w:rPr>
                <w:i/>
                <w:sz w:val="16"/>
                <w:szCs w:val="16"/>
              </w:rPr>
              <w:t xml:space="preserve"> experts</w:t>
            </w:r>
          </w:p>
          <w:p w:rsidR="00625091" w:rsidRDefault="00095465">
            <w:pPr>
              <w:jc w:val="left"/>
              <w:rPr>
                <w:i/>
                <w:sz w:val="16"/>
                <w:szCs w:val="16"/>
              </w:rPr>
            </w:pPr>
            <w:r w:rsidRPr="00645634">
              <w:rPr>
                <w:i/>
                <w:sz w:val="16"/>
                <w:szCs w:val="16"/>
              </w:rPr>
              <w:t>15/2-30/9: Call, PTs</w:t>
            </w:r>
          </w:p>
          <w:p w:rsidR="00625091" w:rsidRDefault="00095465">
            <w:pPr>
              <w:jc w:val="left"/>
              <w:rPr>
                <w:sz w:val="16"/>
                <w:szCs w:val="16"/>
              </w:rPr>
            </w:pPr>
            <w:r>
              <w:rPr>
                <w:sz w:val="16"/>
                <w:szCs w:val="16"/>
              </w:rPr>
              <w:t>16</w:t>
            </w:r>
            <w:r w:rsidRPr="0009789D">
              <w:rPr>
                <w:sz w:val="16"/>
                <w:szCs w:val="16"/>
              </w:rPr>
              <w:t xml:space="preserve">: TPPT </w:t>
            </w:r>
            <w:r>
              <w:rPr>
                <w:sz w:val="16"/>
                <w:szCs w:val="16"/>
              </w:rPr>
              <w:t>[</w:t>
            </w:r>
            <w:r w:rsidRPr="0009789D">
              <w:rPr>
                <w:sz w:val="16"/>
                <w:szCs w:val="16"/>
              </w:rPr>
              <w:t>virtual</w:t>
            </w:r>
            <w:r>
              <w:rPr>
                <w:sz w:val="16"/>
                <w:szCs w:val="16"/>
              </w:rPr>
              <w:t>]</w:t>
            </w:r>
          </w:p>
          <w:p w:rsidR="00625091" w:rsidRDefault="00095465">
            <w:pPr>
              <w:jc w:val="left"/>
              <w:rPr>
                <w:sz w:val="16"/>
                <w:szCs w:val="16"/>
              </w:rPr>
            </w:pPr>
            <w:r>
              <w:rPr>
                <w:sz w:val="16"/>
                <w:szCs w:val="16"/>
              </w:rPr>
              <w:t>23: TPFQ [virtual]</w:t>
            </w:r>
          </w:p>
        </w:tc>
        <w:tc>
          <w:tcPr>
            <w:tcW w:w="545" w:type="pct"/>
            <w:noWrap/>
          </w:tcPr>
          <w:p w:rsidR="00625091" w:rsidRDefault="00625091">
            <w:pPr>
              <w:jc w:val="left"/>
              <w:rPr>
                <w:sz w:val="16"/>
                <w:szCs w:val="16"/>
              </w:rPr>
            </w:pPr>
          </w:p>
        </w:tc>
        <w:tc>
          <w:tcPr>
            <w:tcW w:w="854" w:type="pct"/>
            <w:noWrap/>
          </w:tcPr>
          <w:p w:rsidR="00625091" w:rsidRDefault="00625091">
            <w:pPr>
              <w:jc w:val="left"/>
              <w:rPr>
                <w:sz w:val="16"/>
                <w:szCs w:val="16"/>
              </w:rPr>
            </w:pPr>
          </w:p>
        </w:tc>
        <w:tc>
          <w:tcPr>
            <w:tcW w:w="666" w:type="pct"/>
            <w:noWrap/>
          </w:tcPr>
          <w:p w:rsidR="00625091" w:rsidRDefault="00095465">
            <w:pPr>
              <w:jc w:val="left"/>
              <w:rPr>
                <w:sz w:val="16"/>
                <w:szCs w:val="16"/>
              </w:rPr>
            </w:pPr>
            <w:r w:rsidRPr="0009789D">
              <w:rPr>
                <w:sz w:val="16"/>
                <w:szCs w:val="16"/>
              </w:rPr>
              <w:t>6-10 [Ghana]</w:t>
            </w:r>
          </w:p>
          <w:p w:rsidR="00625091" w:rsidRDefault="00095465">
            <w:pPr>
              <w:jc w:val="left"/>
              <w:rPr>
                <w:sz w:val="16"/>
                <w:szCs w:val="16"/>
              </w:rPr>
            </w:pPr>
            <w:r w:rsidRPr="0009789D">
              <w:rPr>
                <w:sz w:val="16"/>
                <w:szCs w:val="16"/>
              </w:rPr>
              <w:t>22-23 [Chile]</w:t>
            </w:r>
          </w:p>
        </w:tc>
        <w:tc>
          <w:tcPr>
            <w:tcW w:w="689" w:type="pct"/>
            <w:noWrap/>
          </w:tcPr>
          <w:p w:rsidR="00625091" w:rsidRDefault="00625091">
            <w:pPr>
              <w:jc w:val="left"/>
              <w:rPr>
                <w:sz w:val="16"/>
                <w:szCs w:val="16"/>
              </w:rPr>
            </w:pPr>
          </w:p>
        </w:tc>
        <w:tc>
          <w:tcPr>
            <w:tcW w:w="581" w:type="pct"/>
            <w:noWrap/>
          </w:tcPr>
          <w:p w:rsidR="00625091" w:rsidRDefault="00095465">
            <w:pPr>
              <w:jc w:val="left"/>
              <w:rPr>
                <w:sz w:val="16"/>
                <w:szCs w:val="16"/>
              </w:rPr>
            </w:pPr>
            <w:r w:rsidRPr="00413616">
              <w:rPr>
                <w:sz w:val="16"/>
                <w:szCs w:val="16"/>
              </w:rPr>
              <w:t>26-1: NERC</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Mar</w:t>
            </w:r>
          </w:p>
        </w:tc>
        <w:tc>
          <w:tcPr>
            <w:tcW w:w="457" w:type="pct"/>
            <w:noWrap/>
          </w:tcPr>
          <w:p w:rsidR="00625091" w:rsidRDefault="00095465">
            <w:pPr>
              <w:jc w:val="left"/>
              <w:rPr>
                <w:sz w:val="16"/>
                <w:szCs w:val="16"/>
              </w:rPr>
            </w:pPr>
            <w:r w:rsidRPr="0009789D">
              <w:rPr>
                <w:sz w:val="16"/>
                <w:szCs w:val="16"/>
              </w:rPr>
              <w:t>15-16: Bureau</w:t>
            </w:r>
          </w:p>
          <w:p w:rsidR="00625091" w:rsidRDefault="00095465">
            <w:pPr>
              <w:jc w:val="left"/>
              <w:rPr>
                <w:sz w:val="16"/>
                <w:szCs w:val="16"/>
              </w:rPr>
            </w:pPr>
            <w:r w:rsidRPr="0009789D">
              <w:rPr>
                <w:sz w:val="16"/>
                <w:szCs w:val="16"/>
              </w:rPr>
              <w:t>19-23: CPM7</w:t>
            </w:r>
          </w:p>
          <w:p w:rsidR="00625091" w:rsidRDefault="00625091">
            <w:pPr>
              <w:jc w:val="left"/>
              <w:rPr>
                <w:sz w:val="16"/>
                <w:szCs w:val="16"/>
              </w:rPr>
            </w:pPr>
          </w:p>
        </w:tc>
        <w:tc>
          <w:tcPr>
            <w:tcW w:w="914" w:type="pct"/>
            <w:noWrap/>
          </w:tcPr>
          <w:p w:rsidR="00625091" w:rsidRDefault="00625091">
            <w:pPr>
              <w:jc w:val="left"/>
              <w:rPr>
                <w:sz w:val="16"/>
                <w:szCs w:val="16"/>
              </w:rPr>
            </w:pPr>
          </w:p>
        </w:tc>
        <w:tc>
          <w:tcPr>
            <w:tcW w:w="545" w:type="pct"/>
            <w:noWrap/>
          </w:tcPr>
          <w:p w:rsidR="00625091" w:rsidRDefault="00095465">
            <w:pPr>
              <w:jc w:val="left"/>
              <w:rPr>
                <w:sz w:val="16"/>
                <w:szCs w:val="16"/>
              </w:rPr>
            </w:pPr>
            <w:r w:rsidRPr="0009789D">
              <w:rPr>
                <w:sz w:val="16"/>
                <w:szCs w:val="16"/>
              </w:rPr>
              <w:t>13-14: SBDS</w:t>
            </w:r>
          </w:p>
        </w:tc>
        <w:tc>
          <w:tcPr>
            <w:tcW w:w="854" w:type="pct"/>
            <w:noWrap/>
          </w:tcPr>
          <w:p w:rsidR="00625091" w:rsidRDefault="00625091">
            <w:pPr>
              <w:jc w:val="left"/>
              <w:rPr>
                <w:sz w:val="16"/>
                <w:szCs w:val="16"/>
              </w:rPr>
            </w:pPr>
          </w:p>
        </w:tc>
        <w:tc>
          <w:tcPr>
            <w:tcW w:w="666" w:type="pct"/>
            <w:noWrap/>
          </w:tcPr>
          <w:p w:rsidR="00625091" w:rsidRDefault="00095465">
            <w:pPr>
              <w:jc w:val="left"/>
              <w:rPr>
                <w:sz w:val="16"/>
                <w:szCs w:val="16"/>
              </w:rPr>
            </w:pPr>
            <w:r w:rsidRPr="0009789D">
              <w:rPr>
                <w:sz w:val="16"/>
                <w:szCs w:val="16"/>
              </w:rPr>
              <w:t>17: Triennial Review Group</w:t>
            </w:r>
          </w:p>
          <w:p w:rsidR="00625091" w:rsidRDefault="00625091">
            <w:pPr>
              <w:jc w:val="left"/>
              <w:rPr>
                <w:sz w:val="16"/>
                <w:szCs w:val="16"/>
              </w:rPr>
            </w:pPr>
          </w:p>
        </w:tc>
        <w:tc>
          <w:tcPr>
            <w:tcW w:w="689" w:type="pct"/>
            <w:noWrap/>
          </w:tcPr>
          <w:p w:rsidR="00625091" w:rsidRDefault="00095465">
            <w:pPr>
              <w:jc w:val="left"/>
              <w:rPr>
                <w:sz w:val="16"/>
                <w:szCs w:val="16"/>
              </w:rPr>
            </w:pPr>
            <w:r w:rsidRPr="0009789D">
              <w:rPr>
                <w:sz w:val="16"/>
                <w:szCs w:val="16"/>
              </w:rPr>
              <w:t>26-29: SPS [Switzerland]</w:t>
            </w:r>
          </w:p>
          <w:p w:rsidR="00625091" w:rsidRDefault="00095465">
            <w:pPr>
              <w:jc w:val="left"/>
              <w:rPr>
                <w:sz w:val="16"/>
                <w:szCs w:val="16"/>
              </w:rPr>
            </w:pPr>
            <w:r w:rsidRPr="0009789D">
              <w:rPr>
                <w:sz w:val="16"/>
                <w:szCs w:val="16"/>
              </w:rPr>
              <w:t>29-30:STDF</w:t>
            </w:r>
          </w:p>
        </w:tc>
        <w:tc>
          <w:tcPr>
            <w:tcW w:w="581" w:type="pct"/>
            <w:noWrap/>
          </w:tcPr>
          <w:p w:rsidR="00625091" w:rsidRDefault="00095465">
            <w:pPr>
              <w:jc w:val="left"/>
              <w:rPr>
                <w:sz w:val="16"/>
                <w:szCs w:val="16"/>
              </w:rPr>
            </w:pPr>
            <w:r w:rsidRPr="0009789D">
              <w:rPr>
                <w:sz w:val="16"/>
                <w:szCs w:val="16"/>
              </w:rPr>
              <w:t>12-16: APRC [Vietnam]</w:t>
            </w:r>
          </w:p>
          <w:p w:rsidR="00625091" w:rsidRDefault="00095465">
            <w:pPr>
              <w:jc w:val="left"/>
              <w:rPr>
                <w:sz w:val="16"/>
                <w:szCs w:val="16"/>
              </w:rPr>
            </w:pPr>
            <w:r w:rsidRPr="0009789D">
              <w:rPr>
                <w:sz w:val="16"/>
                <w:szCs w:val="16"/>
              </w:rPr>
              <w:t>19-21: CCLM</w:t>
            </w:r>
          </w:p>
          <w:p w:rsidR="00625091" w:rsidRDefault="00095465">
            <w:pPr>
              <w:jc w:val="left"/>
              <w:rPr>
                <w:sz w:val="16"/>
                <w:szCs w:val="16"/>
              </w:rPr>
            </w:pPr>
            <w:r w:rsidRPr="0009789D">
              <w:rPr>
                <w:sz w:val="16"/>
                <w:szCs w:val="16"/>
              </w:rPr>
              <w:t>26-30: LARC [Argentina]</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Apr</w:t>
            </w:r>
          </w:p>
        </w:tc>
        <w:tc>
          <w:tcPr>
            <w:tcW w:w="457" w:type="pct"/>
            <w:noWrap/>
          </w:tcPr>
          <w:p w:rsidR="00625091" w:rsidRDefault="00625091">
            <w:pPr>
              <w:jc w:val="left"/>
              <w:rPr>
                <w:sz w:val="16"/>
                <w:szCs w:val="16"/>
              </w:rPr>
            </w:pPr>
          </w:p>
        </w:tc>
        <w:tc>
          <w:tcPr>
            <w:tcW w:w="914" w:type="pct"/>
            <w:noWrap/>
          </w:tcPr>
          <w:p w:rsidR="00625091" w:rsidRDefault="00095465">
            <w:pPr>
              <w:jc w:val="left"/>
              <w:rPr>
                <w:sz w:val="16"/>
                <w:szCs w:val="16"/>
              </w:rPr>
            </w:pPr>
            <w:r>
              <w:rPr>
                <w:sz w:val="16"/>
                <w:szCs w:val="16"/>
              </w:rPr>
              <w:t>02: TPFQ [virtual]</w:t>
            </w:r>
          </w:p>
          <w:p w:rsidR="00625091" w:rsidRDefault="00095465">
            <w:pPr>
              <w:jc w:val="left"/>
              <w:rPr>
                <w:sz w:val="16"/>
                <w:szCs w:val="16"/>
              </w:rPr>
            </w:pPr>
            <w:r w:rsidRPr="0009789D">
              <w:rPr>
                <w:sz w:val="16"/>
                <w:szCs w:val="16"/>
              </w:rPr>
              <w:t>23-27: SC</w:t>
            </w:r>
          </w:p>
          <w:p w:rsidR="00625091" w:rsidRDefault="00095465">
            <w:pPr>
              <w:jc w:val="left"/>
              <w:rPr>
                <w:sz w:val="16"/>
                <w:szCs w:val="16"/>
              </w:rPr>
            </w:pPr>
            <w:r w:rsidRPr="0009789D">
              <w:rPr>
                <w:sz w:val="16"/>
                <w:szCs w:val="16"/>
              </w:rPr>
              <w:t>28, 30: SC7</w:t>
            </w:r>
          </w:p>
        </w:tc>
        <w:tc>
          <w:tcPr>
            <w:tcW w:w="545" w:type="pct"/>
            <w:noWrap/>
          </w:tcPr>
          <w:p w:rsidR="00625091" w:rsidRDefault="00625091">
            <w:pPr>
              <w:jc w:val="left"/>
              <w:rPr>
                <w:sz w:val="16"/>
                <w:szCs w:val="16"/>
              </w:rPr>
            </w:pPr>
          </w:p>
        </w:tc>
        <w:tc>
          <w:tcPr>
            <w:tcW w:w="854" w:type="pct"/>
            <w:noWrap/>
          </w:tcPr>
          <w:p w:rsidR="00625091" w:rsidRDefault="00625091">
            <w:pPr>
              <w:jc w:val="left"/>
              <w:rPr>
                <w:sz w:val="16"/>
                <w:szCs w:val="16"/>
              </w:rPr>
            </w:pPr>
          </w:p>
        </w:tc>
        <w:tc>
          <w:tcPr>
            <w:tcW w:w="666" w:type="pct"/>
            <w:noWrap/>
          </w:tcPr>
          <w:p w:rsidR="00625091" w:rsidRDefault="00625091">
            <w:pPr>
              <w:jc w:val="left"/>
              <w:rPr>
                <w:sz w:val="16"/>
                <w:szCs w:val="16"/>
              </w:rPr>
            </w:pPr>
          </w:p>
        </w:tc>
        <w:tc>
          <w:tcPr>
            <w:tcW w:w="689" w:type="pct"/>
            <w:noWrap/>
          </w:tcPr>
          <w:p w:rsidR="00625091" w:rsidRDefault="00625091">
            <w:pPr>
              <w:jc w:val="left"/>
              <w:rPr>
                <w:sz w:val="16"/>
                <w:szCs w:val="16"/>
              </w:rPr>
            </w:pPr>
          </w:p>
        </w:tc>
        <w:tc>
          <w:tcPr>
            <w:tcW w:w="581" w:type="pct"/>
            <w:noWrap/>
          </w:tcPr>
          <w:p w:rsidR="00625091" w:rsidRDefault="00095465">
            <w:pPr>
              <w:jc w:val="left"/>
              <w:rPr>
                <w:sz w:val="16"/>
                <w:szCs w:val="16"/>
              </w:rPr>
            </w:pPr>
            <w:r w:rsidRPr="0009789D">
              <w:rPr>
                <w:sz w:val="16"/>
                <w:szCs w:val="16"/>
              </w:rPr>
              <w:t>17-20: ERC [Azerbaijan]</w:t>
            </w:r>
          </w:p>
          <w:p w:rsidR="00625091" w:rsidRDefault="00095465">
            <w:pPr>
              <w:jc w:val="left"/>
              <w:rPr>
                <w:sz w:val="16"/>
                <w:szCs w:val="16"/>
              </w:rPr>
            </w:pPr>
            <w:r w:rsidRPr="0009789D">
              <w:rPr>
                <w:sz w:val="16"/>
                <w:szCs w:val="16"/>
              </w:rPr>
              <w:t>23-27: ARC</w:t>
            </w:r>
            <w:r>
              <w:rPr>
                <w:sz w:val="16"/>
                <w:szCs w:val="16"/>
              </w:rPr>
              <w:t xml:space="preserve"> </w:t>
            </w:r>
            <w:r w:rsidRPr="0009789D">
              <w:rPr>
                <w:sz w:val="16"/>
                <w:szCs w:val="16"/>
              </w:rPr>
              <w:t>[Congo]</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May</w:t>
            </w:r>
          </w:p>
        </w:tc>
        <w:tc>
          <w:tcPr>
            <w:tcW w:w="457" w:type="pct"/>
            <w:noWrap/>
          </w:tcPr>
          <w:p w:rsidR="00625091" w:rsidRDefault="00625091">
            <w:pPr>
              <w:jc w:val="left"/>
              <w:rPr>
                <w:sz w:val="16"/>
                <w:szCs w:val="16"/>
              </w:rPr>
            </w:pPr>
          </w:p>
        </w:tc>
        <w:tc>
          <w:tcPr>
            <w:tcW w:w="914" w:type="pct"/>
            <w:noWrap/>
          </w:tcPr>
          <w:p w:rsidR="00625091" w:rsidRDefault="00095465">
            <w:pPr>
              <w:jc w:val="left"/>
              <w:rPr>
                <w:i/>
                <w:sz w:val="16"/>
                <w:szCs w:val="16"/>
              </w:rPr>
            </w:pPr>
            <w:r w:rsidRPr="00645634">
              <w:rPr>
                <w:i/>
                <w:sz w:val="16"/>
                <w:szCs w:val="16"/>
              </w:rPr>
              <w:t>15/5-30/9: Substantial Concerns Commenting Period (SCCP)</w:t>
            </w:r>
          </w:p>
          <w:p w:rsidR="00625091" w:rsidRDefault="00095465">
            <w:pPr>
              <w:jc w:val="left"/>
              <w:rPr>
                <w:sz w:val="16"/>
                <w:szCs w:val="16"/>
              </w:rPr>
            </w:pPr>
            <w:r w:rsidRPr="0009789D">
              <w:rPr>
                <w:sz w:val="16"/>
                <w:szCs w:val="16"/>
              </w:rPr>
              <w:t xml:space="preserve">28-1: </w:t>
            </w:r>
            <w:r>
              <w:rPr>
                <w:sz w:val="16"/>
                <w:szCs w:val="16"/>
              </w:rPr>
              <w:t>EWG (</w:t>
            </w:r>
            <w:r w:rsidRPr="0009789D">
              <w:rPr>
                <w:sz w:val="16"/>
                <w:szCs w:val="16"/>
              </w:rPr>
              <w:t>sea containers</w:t>
            </w:r>
            <w:r>
              <w:rPr>
                <w:sz w:val="16"/>
                <w:szCs w:val="16"/>
              </w:rPr>
              <w:t>) [Malaysia]</w:t>
            </w:r>
          </w:p>
          <w:p w:rsidR="00625091" w:rsidRDefault="00095465">
            <w:pPr>
              <w:jc w:val="left"/>
              <w:rPr>
                <w:sz w:val="16"/>
                <w:szCs w:val="16"/>
              </w:rPr>
            </w:pPr>
            <w:r w:rsidRPr="0009789D">
              <w:rPr>
                <w:sz w:val="16"/>
                <w:szCs w:val="16"/>
              </w:rPr>
              <w:t>30: TPPT (virtual)</w:t>
            </w:r>
          </w:p>
        </w:tc>
        <w:tc>
          <w:tcPr>
            <w:tcW w:w="545" w:type="pct"/>
            <w:noWrap/>
          </w:tcPr>
          <w:p w:rsidR="00625091" w:rsidRDefault="00625091">
            <w:pPr>
              <w:jc w:val="left"/>
              <w:rPr>
                <w:sz w:val="16"/>
                <w:szCs w:val="16"/>
              </w:rPr>
            </w:pPr>
          </w:p>
        </w:tc>
        <w:tc>
          <w:tcPr>
            <w:tcW w:w="854" w:type="pct"/>
            <w:noWrap/>
          </w:tcPr>
          <w:p w:rsidR="00625091" w:rsidRDefault="00095465">
            <w:pPr>
              <w:jc w:val="left"/>
              <w:rPr>
                <w:sz w:val="16"/>
                <w:szCs w:val="16"/>
              </w:rPr>
            </w:pPr>
            <w:r w:rsidRPr="0009789D">
              <w:rPr>
                <w:sz w:val="16"/>
                <w:szCs w:val="16"/>
              </w:rPr>
              <w:t>21-25:</w:t>
            </w:r>
            <w:r w:rsidR="00996B04">
              <w:rPr>
                <w:sz w:val="16"/>
                <w:szCs w:val="16"/>
              </w:rPr>
              <w:t>EWG CD</w:t>
            </w:r>
            <w:r>
              <w:rPr>
                <w:sz w:val="16"/>
                <w:szCs w:val="16"/>
              </w:rPr>
              <w:t xml:space="preserve"> [Australia]</w:t>
            </w:r>
          </w:p>
        </w:tc>
        <w:tc>
          <w:tcPr>
            <w:tcW w:w="666" w:type="pct"/>
            <w:noWrap/>
          </w:tcPr>
          <w:p w:rsidR="00625091" w:rsidRDefault="00625091">
            <w:pPr>
              <w:jc w:val="left"/>
              <w:rPr>
                <w:sz w:val="16"/>
                <w:szCs w:val="16"/>
              </w:rPr>
            </w:pPr>
          </w:p>
        </w:tc>
        <w:tc>
          <w:tcPr>
            <w:tcW w:w="689" w:type="pct"/>
            <w:noWrap/>
          </w:tcPr>
          <w:p w:rsidR="00625091" w:rsidRDefault="00095465">
            <w:pPr>
              <w:jc w:val="left"/>
              <w:rPr>
                <w:sz w:val="16"/>
                <w:szCs w:val="16"/>
              </w:rPr>
            </w:pPr>
            <w:r>
              <w:rPr>
                <w:sz w:val="16"/>
                <w:szCs w:val="16"/>
              </w:rPr>
              <w:t>14-16: RM [Germany]</w:t>
            </w:r>
          </w:p>
          <w:p w:rsidR="00625091" w:rsidRDefault="00095465">
            <w:pPr>
              <w:jc w:val="left"/>
              <w:rPr>
                <w:sz w:val="16"/>
                <w:szCs w:val="16"/>
              </w:rPr>
            </w:pPr>
            <w:r>
              <w:rPr>
                <w:sz w:val="16"/>
                <w:szCs w:val="16"/>
              </w:rPr>
              <w:t>21-25: QBOL EPPO (DNA Bar</w:t>
            </w:r>
            <w:r w:rsidR="00F80519">
              <w:rPr>
                <w:sz w:val="16"/>
                <w:szCs w:val="16"/>
              </w:rPr>
              <w:t>-</w:t>
            </w:r>
            <w:r>
              <w:rPr>
                <w:sz w:val="16"/>
                <w:szCs w:val="16"/>
              </w:rPr>
              <w:t>coding) [Netherlands]</w:t>
            </w:r>
          </w:p>
          <w:p w:rsidR="00625091" w:rsidRDefault="00095465">
            <w:pPr>
              <w:jc w:val="left"/>
              <w:rPr>
                <w:sz w:val="16"/>
                <w:szCs w:val="16"/>
              </w:rPr>
            </w:pPr>
            <w:r>
              <w:rPr>
                <w:sz w:val="16"/>
                <w:szCs w:val="16"/>
              </w:rPr>
              <w:t>31-1: UNECE (extended Bureau) [UK]</w:t>
            </w:r>
          </w:p>
        </w:tc>
        <w:tc>
          <w:tcPr>
            <w:tcW w:w="581" w:type="pct"/>
            <w:noWrap/>
          </w:tcPr>
          <w:p w:rsidR="00625091" w:rsidRDefault="00095465">
            <w:pPr>
              <w:jc w:val="left"/>
              <w:rPr>
                <w:sz w:val="16"/>
                <w:szCs w:val="16"/>
              </w:rPr>
            </w:pPr>
            <w:r w:rsidRPr="0009789D">
              <w:rPr>
                <w:sz w:val="16"/>
                <w:szCs w:val="16"/>
              </w:rPr>
              <w:t>7-11: FC, PC</w:t>
            </w:r>
          </w:p>
          <w:p w:rsidR="00625091" w:rsidRDefault="00095465">
            <w:pPr>
              <w:jc w:val="left"/>
              <w:rPr>
                <w:sz w:val="16"/>
                <w:szCs w:val="16"/>
              </w:rPr>
            </w:pPr>
            <w:r w:rsidRPr="0009789D">
              <w:rPr>
                <w:sz w:val="16"/>
                <w:szCs w:val="16"/>
              </w:rPr>
              <w:t>21-25: COAG</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Jun</w:t>
            </w:r>
          </w:p>
        </w:tc>
        <w:tc>
          <w:tcPr>
            <w:tcW w:w="457" w:type="pct"/>
            <w:noWrap/>
          </w:tcPr>
          <w:p w:rsidR="00625091" w:rsidRDefault="00095465">
            <w:pPr>
              <w:jc w:val="left"/>
              <w:rPr>
                <w:sz w:val="16"/>
                <w:szCs w:val="16"/>
              </w:rPr>
            </w:pPr>
            <w:r w:rsidRPr="0009789D">
              <w:rPr>
                <w:sz w:val="16"/>
                <w:szCs w:val="16"/>
              </w:rPr>
              <w:t>15-16: FC</w:t>
            </w:r>
          </w:p>
          <w:p w:rsidR="00625091" w:rsidRDefault="00095465">
            <w:pPr>
              <w:jc w:val="left"/>
              <w:rPr>
                <w:sz w:val="16"/>
                <w:szCs w:val="16"/>
              </w:rPr>
            </w:pPr>
            <w:r w:rsidRPr="0009789D">
              <w:rPr>
                <w:sz w:val="16"/>
                <w:szCs w:val="16"/>
              </w:rPr>
              <w:t>18-22: Bureau</w:t>
            </w:r>
          </w:p>
        </w:tc>
        <w:tc>
          <w:tcPr>
            <w:tcW w:w="914" w:type="pct"/>
            <w:noWrap/>
          </w:tcPr>
          <w:p w:rsidR="00625091" w:rsidRDefault="00095465">
            <w:pPr>
              <w:jc w:val="left"/>
              <w:rPr>
                <w:i/>
                <w:sz w:val="16"/>
                <w:szCs w:val="16"/>
              </w:rPr>
            </w:pPr>
            <w:r w:rsidRPr="00645634">
              <w:rPr>
                <w:i/>
                <w:sz w:val="16"/>
                <w:szCs w:val="16"/>
              </w:rPr>
              <w:t>1/6-31/7: Member consultation on draft specs</w:t>
            </w:r>
          </w:p>
        </w:tc>
        <w:tc>
          <w:tcPr>
            <w:tcW w:w="545" w:type="pct"/>
            <w:noWrap/>
          </w:tcPr>
          <w:p w:rsidR="00625091" w:rsidRDefault="00625091">
            <w:pPr>
              <w:jc w:val="left"/>
              <w:rPr>
                <w:sz w:val="16"/>
                <w:szCs w:val="16"/>
              </w:rPr>
            </w:pPr>
          </w:p>
        </w:tc>
        <w:tc>
          <w:tcPr>
            <w:tcW w:w="854" w:type="pct"/>
            <w:noWrap/>
          </w:tcPr>
          <w:p w:rsidR="00625091" w:rsidRDefault="00996B04">
            <w:pPr>
              <w:jc w:val="left"/>
              <w:rPr>
                <w:sz w:val="16"/>
                <w:szCs w:val="16"/>
              </w:rPr>
            </w:pPr>
            <w:r>
              <w:rPr>
                <w:sz w:val="16"/>
                <w:szCs w:val="16"/>
              </w:rPr>
              <w:t>25-30: SPS WS [Chile]</w:t>
            </w:r>
          </w:p>
        </w:tc>
        <w:tc>
          <w:tcPr>
            <w:tcW w:w="666" w:type="pct"/>
            <w:noWrap/>
          </w:tcPr>
          <w:p w:rsidR="00625091" w:rsidRDefault="00095465">
            <w:pPr>
              <w:jc w:val="left"/>
              <w:rPr>
                <w:sz w:val="16"/>
                <w:szCs w:val="16"/>
              </w:rPr>
            </w:pPr>
            <w:r>
              <w:rPr>
                <w:sz w:val="16"/>
                <w:szCs w:val="16"/>
              </w:rPr>
              <w:t>14-15: PCE [Armenia]</w:t>
            </w:r>
          </w:p>
        </w:tc>
        <w:tc>
          <w:tcPr>
            <w:tcW w:w="689" w:type="pct"/>
            <w:noWrap/>
          </w:tcPr>
          <w:p w:rsidR="00625091" w:rsidRDefault="00095465">
            <w:pPr>
              <w:jc w:val="left"/>
              <w:rPr>
                <w:sz w:val="16"/>
                <w:szCs w:val="16"/>
              </w:rPr>
            </w:pPr>
            <w:r>
              <w:rPr>
                <w:sz w:val="16"/>
                <w:szCs w:val="16"/>
              </w:rPr>
              <w:t>4-6: RM (EC) [Belgium]</w:t>
            </w:r>
          </w:p>
          <w:p w:rsidR="00625091" w:rsidRDefault="00095465">
            <w:pPr>
              <w:jc w:val="left"/>
              <w:rPr>
                <w:sz w:val="16"/>
                <w:szCs w:val="16"/>
              </w:rPr>
            </w:pPr>
            <w:r>
              <w:rPr>
                <w:sz w:val="16"/>
                <w:szCs w:val="16"/>
              </w:rPr>
              <w:t>13-17: RM [US]</w:t>
            </w:r>
          </w:p>
          <w:p w:rsidR="00625091" w:rsidRDefault="00625091">
            <w:pPr>
              <w:jc w:val="left"/>
              <w:rPr>
                <w:sz w:val="16"/>
                <w:szCs w:val="16"/>
              </w:rPr>
            </w:pPr>
          </w:p>
        </w:tc>
        <w:tc>
          <w:tcPr>
            <w:tcW w:w="581" w:type="pct"/>
            <w:noWrap/>
          </w:tcPr>
          <w:p w:rsidR="00625091" w:rsidRDefault="00095465">
            <w:pPr>
              <w:jc w:val="left"/>
              <w:rPr>
                <w:sz w:val="16"/>
                <w:szCs w:val="16"/>
              </w:rPr>
            </w:pPr>
            <w:r w:rsidRPr="0009789D">
              <w:rPr>
                <w:sz w:val="16"/>
                <w:szCs w:val="16"/>
              </w:rPr>
              <w:t>11-15: Council</w:t>
            </w:r>
          </w:p>
          <w:p w:rsidR="00625091" w:rsidRDefault="00095465">
            <w:pPr>
              <w:jc w:val="left"/>
              <w:rPr>
                <w:sz w:val="16"/>
                <w:szCs w:val="16"/>
              </w:rPr>
            </w:pPr>
            <w:r w:rsidRPr="0009789D">
              <w:rPr>
                <w:sz w:val="16"/>
                <w:szCs w:val="16"/>
              </w:rPr>
              <w:t>20-22 Rio+20</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Jul</w:t>
            </w:r>
          </w:p>
        </w:tc>
        <w:tc>
          <w:tcPr>
            <w:tcW w:w="457" w:type="pct"/>
            <w:noWrap/>
          </w:tcPr>
          <w:p w:rsidR="00625091" w:rsidRDefault="00625091">
            <w:pPr>
              <w:jc w:val="left"/>
              <w:rPr>
                <w:sz w:val="16"/>
                <w:szCs w:val="16"/>
              </w:rPr>
            </w:pPr>
          </w:p>
        </w:tc>
        <w:tc>
          <w:tcPr>
            <w:tcW w:w="914" w:type="pct"/>
            <w:noWrap/>
          </w:tcPr>
          <w:p w:rsidR="00625091" w:rsidRDefault="00095465">
            <w:pPr>
              <w:jc w:val="left"/>
              <w:rPr>
                <w:i/>
                <w:sz w:val="16"/>
                <w:szCs w:val="16"/>
              </w:rPr>
            </w:pPr>
            <w:r w:rsidRPr="00645634">
              <w:rPr>
                <w:i/>
                <w:sz w:val="16"/>
                <w:szCs w:val="16"/>
              </w:rPr>
              <w:t>1/7- 20/10: Member consultation on draft ISPMs</w:t>
            </w:r>
          </w:p>
          <w:p w:rsidR="00625091" w:rsidRDefault="00095465">
            <w:pPr>
              <w:jc w:val="left"/>
              <w:rPr>
                <w:i/>
                <w:sz w:val="16"/>
                <w:szCs w:val="16"/>
              </w:rPr>
            </w:pPr>
            <w:r w:rsidRPr="00645634">
              <w:rPr>
                <w:i/>
                <w:sz w:val="16"/>
                <w:szCs w:val="16"/>
              </w:rPr>
              <w:t>06/07-31/08: Call, TPG</w:t>
            </w:r>
            <w:r>
              <w:rPr>
                <w:i/>
                <w:sz w:val="16"/>
                <w:szCs w:val="16"/>
              </w:rPr>
              <w:t xml:space="preserve"> experts</w:t>
            </w:r>
          </w:p>
          <w:p w:rsidR="00625091" w:rsidRDefault="00095465">
            <w:pPr>
              <w:jc w:val="left"/>
              <w:rPr>
                <w:i/>
                <w:sz w:val="16"/>
                <w:szCs w:val="16"/>
              </w:rPr>
            </w:pPr>
            <w:r w:rsidRPr="00645634">
              <w:rPr>
                <w:i/>
                <w:sz w:val="16"/>
                <w:szCs w:val="16"/>
              </w:rPr>
              <w:t>06/07-31/08: Call, TPPT</w:t>
            </w:r>
            <w:r>
              <w:rPr>
                <w:i/>
                <w:sz w:val="16"/>
                <w:szCs w:val="16"/>
              </w:rPr>
              <w:t xml:space="preserve"> experts</w:t>
            </w:r>
          </w:p>
          <w:p w:rsidR="00625091" w:rsidRDefault="00095465">
            <w:pPr>
              <w:jc w:val="left"/>
              <w:rPr>
                <w:sz w:val="16"/>
                <w:szCs w:val="16"/>
              </w:rPr>
            </w:pPr>
            <w:r>
              <w:rPr>
                <w:sz w:val="16"/>
                <w:szCs w:val="16"/>
              </w:rPr>
              <w:t>06: TPFQ [virtual]</w:t>
            </w:r>
          </w:p>
        </w:tc>
        <w:tc>
          <w:tcPr>
            <w:tcW w:w="545" w:type="pct"/>
            <w:noWrap/>
          </w:tcPr>
          <w:p w:rsidR="00625091" w:rsidRDefault="00625091">
            <w:pPr>
              <w:jc w:val="left"/>
              <w:rPr>
                <w:sz w:val="16"/>
                <w:szCs w:val="16"/>
              </w:rPr>
            </w:pPr>
          </w:p>
        </w:tc>
        <w:tc>
          <w:tcPr>
            <w:tcW w:w="854" w:type="pct"/>
            <w:noWrap/>
          </w:tcPr>
          <w:p w:rsidR="00625091" w:rsidRDefault="00095465">
            <w:pPr>
              <w:jc w:val="left"/>
              <w:rPr>
                <w:sz w:val="16"/>
                <w:szCs w:val="16"/>
              </w:rPr>
            </w:pPr>
            <w:r>
              <w:rPr>
                <w:sz w:val="16"/>
                <w:szCs w:val="16"/>
              </w:rPr>
              <w:t>9-13</w:t>
            </w:r>
            <w:r w:rsidRPr="0009789D">
              <w:rPr>
                <w:sz w:val="16"/>
                <w:szCs w:val="16"/>
              </w:rPr>
              <w:t>:</w:t>
            </w:r>
          </w:p>
          <w:p w:rsidR="00625091" w:rsidRDefault="00095465">
            <w:pPr>
              <w:jc w:val="left"/>
              <w:rPr>
                <w:sz w:val="16"/>
                <w:szCs w:val="16"/>
              </w:rPr>
            </w:pPr>
            <w:r>
              <w:rPr>
                <w:sz w:val="16"/>
                <w:szCs w:val="16"/>
              </w:rPr>
              <w:t xml:space="preserve">Regional WS, </w:t>
            </w:r>
            <w:r w:rsidRPr="0009789D">
              <w:rPr>
                <w:sz w:val="16"/>
                <w:szCs w:val="16"/>
              </w:rPr>
              <w:t>Eastern Europe and Central Asia</w:t>
            </w:r>
          </w:p>
          <w:p w:rsidR="00625091" w:rsidRDefault="00996B04">
            <w:pPr>
              <w:jc w:val="left"/>
              <w:rPr>
                <w:sz w:val="16"/>
                <w:szCs w:val="16"/>
              </w:rPr>
            </w:pPr>
            <w:r w:rsidRPr="0009789D">
              <w:rPr>
                <w:sz w:val="16"/>
                <w:szCs w:val="16"/>
              </w:rPr>
              <w:t>9-12:</w:t>
            </w:r>
            <w:r>
              <w:rPr>
                <w:sz w:val="16"/>
                <w:szCs w:val="16"/>
              </w:rPr>
              <w:t xml:space="preserve"> IAS WS</w:t>
            </w:r>
            <w:r w:rsidRPr="0009789D">
              <w:rPr>
                <w:sz w:val="16"/>
                <w:szCs w:val="16"/>
              </w:rPr>
              <w:t xml:space="preserve"> [Switzerland</w:t>
            </w:r>
          </w:p>
          <w:p w:rsidR="00625091" w:rsidRDefault="00996B04">
            <w:pPr>
              <w:jc w:val="left"/>
              <w:rPr>
                <w:sz w:val="16"/>
                <w:szCs w:val="16"/>
              </w:rPr>
            </w:pPr>
            <w:r>
              <w:rPr>
                <w:sz w:val="16"/>
                <w:szCs w:val="16"/>
              </w:rPr>
              <w:t>15-19: STDF project [Viet Nam]</w:t>
            </w:r>
          </w:p>
        </w:tc>
        <w:tc>
          <w:tcPr>
            <w:tcW w:w="666" w:type="pct"/>
            <w:noWrap/>
          </w:tcPr>
          <w:p w:rsidR="00625091" w:rsidRDefault="00095465">
            <w:pPr>
              <w:jc w:val="left"/>
              <w:rPr>
                <w:sz w:val="16"/>
                <w:szCs w:val="16"/>
              </w:rPr>
            </w:pPr>
            <w:r>
              <w:rPr>
                <w:sz w:val="16"/>
                <w:szCs w:val="16"/>
              </w:rPr>
              <w:t>2-11: PCE facilitator training [Gabon]</w:t>
            </w:r>
          </w:p>
          <w:p w:rsidR="00625091" w:rsidRDefault="00625091">
            <w:pPr>
              <w:jc w:val="left"/>
              <w:rPr>
                <w:sz w:val="16"/>
                <w:szCs w:val="16"/>
              </w:rPr>
            </w:pPr>
          </w:p>
        </w:tc>
        <w:tc>
          <w:tcPr>
            <w:tcW w:w="689" w:type="pct"/>
            <w:noWrap/>
          </w:tcPr>
          <w:p w:rsidR="00625091" w:rsidRDefault="00095465">
            <w:pPr>
              <w:jc w:val="left"/>
              <w:rPr>
                <w:sz w:val="16"/>
                <w:szCs w:val="16"/>
              </w:rPr>
            </w:pPr>
            <w:r>
              <w:rPr>
                <w:sz w:val="16"/>
                <w:szCs w:val="16"/>
              </w:rPr>
              <w:t>16-18: RM [Korea]</w:t>
            </w:r>
          </w:p>
          <w:p w:rsidR="00625091" w:rsidRDefault="00625091">
            <w:pPr>
              <w:jc w:val="left"/>
              <w:rPr>
                <w:sz w:val="16"/>
                <w:szCs w:val="16"/>
              </w:rPr>
            </w:pPr>
          </w:p>
        </w:tc>
        <w:tc>
          <w:tcPr>
            <w:tcW w:w="581" w:type="pct"/>
            <w:noWrap/>
          </w:tcPr>
          <w:p w:rsidR="00625091" w:rsidRDefault="00095465">
            <w:pPr>
              <w:jc w:val="left"/>
              <w:rPr>
                <w:sz w:val="16"/>
                <w:szCs w:val="16"/>
              </w:rPr>
            </w:pPr>
            <w:r w:rsidRPr="0009789D">
              <w:rPr>
                <w:sz w:val="16"/>
                <w:szCs w:val="16"/>
              </w:rPr>
              <w:t>2-7: CODEX</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Aug</w:t>
            </w:r>
          </w:p>
        </w:tc>
        <w:tc>
          <w:tcPr>
            <w:tcW w:w="457" w:type="pct"/>
            <w:noWrap/>
          </w:tcPr>
          <w:p w:rsidR="00625091" w:rsidRDefault="00095465">
            <w:pPr>
              <w:jc w:val="left"/>
              <w:rPr>
                <w:sz w:val="16"/>
                <w:szCs w:val="16"/>
              </w:rPr>
            </w:pPr>
            <w:r>
              <w:rPr>
                <w:sz w:val="16"/>
                <w:szCs w:val="16"/>
              </w:rPr>
              <w:t>21-23: Focus Group (RoPs of Bureau)</w:t>
            </w:r>
          </w:p>
        </w:tc>
        <w:tc>
          <w:tcPr>
            <w:tcW w:w="914" w:type="pct"/>
            <w:noWrap/>
          </w:tcPr>
          <w:p w:rsidR="00625091" w:rsidRDefault="00625091">
            <w:pPr>
              <w:jc w:val="left"/>
              <w:rPr>
                <w:sz w:val="16"/>
                <w:szCs w:val="16"/>
              </w:rPr>
            </w:pPr>
          </w:p>
        </w:tc>
        <w:tc>
          <w:tcPr>
            <w:tcW w:w="545" w:type="pct"/>
            <w:noWrap/>
          </w:tcPr>
          <w:p w:rsidR="00625091" w:rsidRDefault="00625091">
            <w:pPr>
              <w:jc w:val="left"/>
              <w:rPr>
                <w:sz w:val="16"/>
                <w:szCs w:val="16"/>
              </w:rPr>
            </w:pPr>
          </w:p>
        </w:tc>
        <w:tc>
          <w:tcPr>
            <w:tcW w:w="854" w:type="pct"/>
            <w:noWrap/>
          </w:tcPr>
          <w:p w:rsidR="00625091" w:rsidRDefault="00625091">
            <w:pPr>
              <w:jc w:val="left"/>
              <w:rPr>
                <w:sz w:val="16"/>
                <w:szCs w:val="16"/>
              </w:rPr>
            </w:pPr>
          </w:p>
        </w:tc>
        <w:tc>
          <w:tcPr>
            <w:tcW w:w="666" w:type="pct"/>
            <w:noWrap/>
          </w:tcPr>
          <w:p w:rsidR="00625091" w:rsidRDefault="00625091">
            <w:pPr>
              <w:jc w:val="left"/>
              <w:rPr>
                <w:sz w:val="16"/>
                <w:szCs w:val="16"/>
              </w:rPr>
            </w:pPr>
          </w:p>
        </w:tc>
        <w:tc>
          <w:tcPr>
            <w:tcW w:w="689" w:type="pct"/>
            <w:noWrap/>
          </w:tcPr>
          <w:p w:rsidR="00625091" w:rsidRDefault="00095465">
            <w:pPr>
              <w:jc w:val="left"/>
              <w:rPr>
                <w:sz w:val="16"/>
                <w:szCs w:val="16"/>
              </w:rPr>
            </w:pPr>
            <w:r>
              <w:rPr>
                <w:sz w:val="16"/>
                <w:szCs w:val="16"/>
              </w:rPr>
              <w:t>27-31: TC-RPPOs [Fiji]</w:t>
            </w:r>
          </w:p>
        </w:tc>
        <w:tc>
          <w:tcPr>
            <w:tcW w:w="581" w:type="pct"/>
            <w:noWrap/>
          </w:tcPr>
          <w:p w:rsidR="00625091" w:rsidRDefault="00625091">
            <w:pPr>
              <w:jc w:val="left"/>
              <w:rPr>
                <w:sz w:val="16"/>
                <w:szCs w:val="16"/>
              </w:rPr>
            </w:pP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Sep</w:t>
            </w:r>
          </w:p>
        </w:tc>
        <w:tc>
          <w:tcPr>
            <w:tcW w:w="457" w:type="pct"/>
            <w:noWrap/>
          </w:tcPr>
          <w:p w:rsidR="00625091" w:rsidRDefault="00625091">
            <w:pPr>
              <w:jc w:val="left"/>
              <w:rPr>
                <w:sz w:val="16"/>
                <w:szCs w:val="16"/>
              </w:rPr>
            </w:pPr>
          </w:p>
        </w:tc>
        <w:tc>
          <w:tcPr>
            <w:tcW w:w="914" w:type="pct"/>
            <w:noWrap/>
          </w:tcPr>
          <w:p w:rsidR="00625091" w:rsidRDefault="00095465">
            <w:pPr>
              <w:jc w:val="left"/>
              <w:rPr>
                <w:sz w:val="16"/>
                <w:szCs w:val="16"/>
              </w:rPr>
            </w:pPr>
            <w:r>
              <w:rPr>
                <w:sz w:val="16"/>
                <w:szCs w:val="16"/>
              </w:rPr>
              <w:t>10: TPFQ [virtual]</w:t>
            </w:r>
          </w:p>
          <w:p w:rsidR="00625091" w:rsidRDefault="00095465">
            <w:pPr>
              <w:jc w:val="left"/>
              <w:rPr>
                <w:sz w:val="16"/>
                <w:szCs w:val="16"/>
              </w:rPr>
            </w:pPr>
            <w:r>
              <w:rPr>
                <w:sz w:val="16"/>
                <w:szCs w:val="16"/>
              </w:rPr>
              <w:t>12</w:t>
            </w:r>
            <w:r w:rsidRPr="0009789D">
              <w:rPr>
                <w:sz w:val="16"/>
                <w:szCs w:val="16"/>
              </w:rPr>
              <w:t xml:space="preserve">: TPPT </w:t>
            </w:r>
            <w:r>
              <w:rPr>
                <w:sz w:val="16"/>
                <w:szCs w:val="16"/>
              </w:rPr>
              <w:t>[</w:t>
            </w:r>
            <w:r w:rsidRPr="0009789D">
              <w:rPr>
                <w:sz w:val="16"/>
                <w:szCs w:val="16"/>
              </w:rPr>
              <w:t>virtual</w:t>
            </w:r>
            <w:r>
              <w:rPr>
                <w:sz w:val="16"/>
                <w:szCs w:val="16"/>
              </w:rPr>
              <w:t>]</w:t>
            </w:r>
          </w:p>
          <w:p w:rsidR="00625091" w:rsidRDefault="00095465">
            <w:pPr>
              <w:jc w:val="left"/>
              <w:rPr>
                <w:sz w:val="16"/>
                <w:szCs w:val="16"/>
              </w:rPr>
            </w:pPr>
            <w:r>
              <w:rPr>
                <w:sz w:val="16"/>
                <w:szCs w:val="16"/>
              </w:rPr>
              <w:t>17-21: IFQRG [UK]</w:t>
            </w:r>
          </w:p>
          <w:p w:rsidR="00625091" w:rsidRDefault="00095465">
            <w:pPr>
              <w:jc w:val="left"/>
              <w:rPr>
                <w:sz w:val="16"/>
                <w:szCs w:val="16"/>
              </w:rPr>
            </w:pPr>
            <w:r>
              <w:rPr>
                <w:sz w:val="16"/>
                <w:szCs w:val="16"/>
              </w:rPr>
              <w:t xml:space="preserve">24-26: </w:t>
            </w:r>
            <w:r w:rsidRPr="00880596">
              <w:rPr>
                <w:sz w:val="16"/>
                <w:szCs w:val="16"/>
              </w:rPr>
              <w:t>Cool Logistics Global conference</w:t>
            </w:r>
            <w:r>
              <w:rPr>
                <w:sz w:val="16"/>
                <w:szCs w:val="16"/>
              </w:rPr>
              <w:t xml:space="preserve"> [Belgium]</w:t>
            </w:r>
          </w:p>
          <w:p w:rsidR="00625091" w:rsidRDefault="00095465">
            <w:pPr>
              <w:jc w:val="left"/>
              <w:rPr>
                <w:i/>
                <w:sz w:val="16"/>
                <w:szCs w:val="16"/>
              </w:rPr>
            </w:pPr>
            <w:r w:rsidRPr="00645634">
              <w:rPr>
                <w:i/>
                <w:sz w:val="16"/>
                <w:szCs w:val="16"/>
              </w:rPr>
              <w:t>12/09-01/11: Call, DP authors</w:t>
            </w:r>
          </w:p>
        </w:tc>
        <w:tc>
          <w:tcPr>
            <w:tcW w:w="545" w:type="pct"/>
            <w:noWrap/>
          </w:tcPr>
          <w:p w:rsidR="00625091" w:rsidRDefault="00095465">
            <w:pPr>
              <w:jc w:val="left"/>
              <w:rPr>
                <w:sz w:val="16"/>
                <w:szCs w:val="16"/>
              </w:rPr>
            </w:pPr>
            <w:r w:rsidRPr="0009789D">
              <w:rPr>
                <w:sz w:val="16"/>
                <w:szCs w:val="16"/>
              </w:rPr>
              <w:t>11-</w:t>
            </w:r>
            <w:r w:rsidR="007761F5" w:rsidRPr="0009789D">
              <w:rPr>
                <w:sz w:val="16"/>
                <w:szCs w:val="16"/>
              </w:rPr>
              <w:t>1</w:t>
            </w:r>
            <w:r w:rsidR="007761F5">
              <w:rPr>
                <w:sz w:val="16"/>
                <w:szCs w:val="16"/>
              </w:rPr>
              <w:t>4</w:t>
            </w:r>
            <w:r w:rsidRPr="0009789D">
              <w:rPr>
                <w:sz w:val="16"/>
                <w:szCs w:val="16"/>
              </w:rPr>
              <w:t>: ePhyto [Paris]</w:t>
            </w:r>
          </w:p>
        </w:tc>
        <w:tc>
          <w:tcPr>
            <w:tcW w:w="854" w:type="pct"/>
            <w:noWrap/>
          </w:tcPr>
          <w:p w:rsidR="00625091" w:rsidRDefault="00095465">
            <w:pPr>
              <w:jc w:val="left"/>
              <w:rPr>
                <w:sz w:val="16"/>
                <w:szCs w:val="16"/>
              </w:rPr>
            </w:pPr>
            <w:r w:rsidRPr="0009789D">
              <w:rPr>
                <w:sz w:val="16"/>
                <w:szCs w:val="16"/>
              </w:rPr>
              <w:t>Regional WS</w:t>
            </w:r>
          </w:p>
          <w:p w:rsidR="00625091" w:rsidRDefault="00095465">
            <w:pPr>
              <w:jc w:val="left"/>
              <w:rPr>
                <w:sz w:val="16"/>
                <w:szCs w:val="16"/>
              </w:rPr>
            </w:pPr>
            <w:r w:rsidRPr="0009789D">
              <w:rPr>
                <w:sz w:val="16"/>
                <w:szCs w:val="16"/>
              </w:rPr>
              <w:t>3-7 Asia</w:t>
            </w:r>
          </w:p>
          <w:p w:rsidR="00625091" w:rsidRDefault="00095465">
            <w:pPr>
              <w:jc w:val="left"/>
              <w:rPr>
                <w:sz w:val="16"/>
                <w:szCs w:val="16"/>
              </w:rPr>
            </w:pPr>
            <w:r w:rsidRPr="0009789D">
              <w:rPr>
                <w:sz w:val="16"/>
                <w:szCs w:val="16"/>
              </w:rPr>
              <w:t>9-13 Near East</w:t>
            </w:r>
          </w:p>
          <w:p w:rsidR="00625091" w:rsidRDefault="00095465">
            <w:pPr>
              <w:jc w:val="left"/>
              <w:rPr>
                <w:sz w:val="16"/>
                <w:szCs w:val="16"/>
              </w:rPr>
            </w:pPr>
            <w:r w:rsidRPr="0009789D">
              <w:rPr>
                <w:sz w:val="16"/>
                <w:szCs w:val="16"/>
              </w:rPr>
              <w:t>10-14 Africa</w:t>
            </w:r>
          </w:p>
          <w:p w:rsidR="00625091" w:rsidRDefault="005547EE">
            <w:pPr>
              <w:jc w:val="left"/>
              <w:rPr>
                <w:sz w:val="16"/>
                <w:szCs w:val="16"/>
                <w:lang w:val="it-IT"/>
              </w:rPr>
            </w:pPr>
            <w:r w:rsidRPr="005547EE">
              <w:rPr>
                <w:sz w:val="16"/>
                <w:szCs w:val="16"/>
                <w:lang w:val="it-IT"/>
              </w:rPr>
              <w:t>17-21 SW Pacific</w:t>
            </w:r>
          </w:p>
          <w:p w:rsidR="00625091" w:rsidRDefault="005547EE">
            <w:pPr>
              <w:jc w:val="left"/>
              <w:rPr>
                <w:sz w:val="16"/>
                <w:szCs w:val="16"/>
                <w:lang w:val="it-IT"/>
              </w:rPr>
            </w:pPr>
            <w:r w:rsidRPr="005547EE">
              <w:rPr>
                <w:sz w:val="16"/>
                <w:szCs w:val="16"/>
                <w:lang w:val="it-IT"/>
              </w:rPr>
              <w:t>17-21 Caribbean</w:t>
            </w:r>
          </w:p>
          <w:p w:rsidR="00625091" w:rsidRDefault="005547EE">
            <w:pPr>
              <w:jc w:val="left"/>
              <w:rPr>
                <w:sz w:val="16"/>
                <w:szCs w:val="16"/>
                <w:lang w:val="it-IT"/>
              </w:rPr>
            </w:pPr>
            <w:r w:rsidRPr="005547EE">
              <w:rPr>
                <w:sz w:val="16"/>
                <w:szCs w:val="16"/>
                <w:lang w:val="it-IT"/>
              </w:rPr>
              <w:t xml:space="preserve">24-28 L. America </w:t>
            </w:r>
          </w:p>
          <w:p w:rsidR="00625091" w:rsidRDefault="005547EE">
            <w:pPr>
              <w:jc w:val="left"/>
              <w:rPr>
                <w:sz w:val="16"/>
                <w:szCs w:val="16"/>
                <w:lang w:val="it-IT"/>
              </w:rPr>
            </w:pPr>
            <w:r w:rsidRPr="005547EE">
              <w:rPr>
                <w:sz w:val="16"/>
                <w:szCs w:val="16"/>
                <w:lang w:val="it-IT"/>
              </w:rPr>
              <w:t>10-14 Palestine mission [Israel]</w:t>
            </w:r>
          </w:p>
          <w:p w:rsidR="00625091" w:rsidRDefault="00996B04">
            <w:pPr>
              <w:jc w:val="left"/>
              <w:rPr>
                <w:sz w:val="16"/>
                <w:szCs w:val="16"/>
                <w:lang w:val="it-IT"/>
              </w:rPr>
            </w:pPr>
            <w:r>
              <w:rPr>
                <w:sz w:val="16"/>
                <w:szCs w:val="16"/>
              </w:rPr>
              <w:t>24-28: SPS WS [Ethiopia</w:t>
            </w:r>
          </w:p>
        </w:tc>
        <w:tc>
          <w:tcPr>
            <w:tcW w:w="666" w:type="pct"/>
            <w:noWrap/>
          </w:tcPr>
          <w:p w:rsidR="00625091" w:rsidRDefault="00625091">
            <w:pPr>
              <w:jc w:val="left"/>
              <w:rPr>
                <w:sz w:val="16"/>
                <w:szCs w:val="16"/>
                <w:lang w:val="it-IT"/>
              </w:rPr>
            </w:pPr>
          </w:p>
        </w:tc>
        <w:tc>
          <w:tcPr>
            <w:tcW w:w="689" w:type="pct"/>
            <w:noWrap/>
          </w:tcPr>
          <w:p w:rsidR="00625091" w:rsidRDefault="00095465">
            <w:pPr>
              <w:jc w:val="left"/>
              <w:rPr>
                <w:sz w:val="16"/>
                <w:szCs w:val="16"/>
              </w:rPr>
            </w:pPr>
            <w:r>
              <w:rPr>
                <w:sz w:val="16"/>
                <w:szCs w:val="16"/>
              </w:rPr>
              <w:t>]</w:t>
            </w:r>
          </w:p>
        </w:tc>
        <w:tc>
          <w:tcPr>
            <w:tcW w:w="581" w:type="pct"/>
            <w:noWrap/>
          </w:tcPr>
          <w:p w:rsidR="00625091" w:rsidRDefault="00095465">
            <w:pPr>
              <w:jc w:val="left"/>
              <w:rPr>
                <w:sz w:val="16"/>
                <w:szCs w:val="16"/>
              </w:rPr>
            </w:pPr>
            <w:r w:rsidRPr="0009789D">
              <w:rPr>
                <w:sz w:val="16"/>
                <w:szCs w:val="16"/>
              </w:rPr>
              <w:t>10-12: CCLM</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Oct</w:t>
            </w:r>
          </w:p>
        </w:tc>
        <w:tc>
          <w:tcPr>
            <w:tcW w:w="457" w:type="pct"/>
            <w:noWrap/>
          </w:tcPr>
          <w:p w:rsidR="00625091" w:rsidRDefault="00095465" w:rsidP="00E27C5B">
            <w:pPr>
              <w:jc w:val="center"/>
              <w:rPr>
                <w:sz w:val="16"/>
                <w:szCs w:val="16"/>
              </w:rPr>
            </w:pPr>
            <w:r w:rsidRPr="0009789D">
              <w:rPr>
                <w:sz w:val="16"/>
                <w:szCs w:val="16"/>
              </w:rPr>
              <w:t>8: FC</w:t>
            </w:r>
          </w:p>
          <w:p w:rsidR="00625091" w:rsidRDefault="00095465" w:rsidP="00E27C5B">
            <w:pPr>
              <w:jc w:val="center"/>
              <w:rPr>
                <w:sz w:val="16"/>
                <w:szCs w:val="16"/>
              </w:rPr>
            </w:pPr>
            <w:r w:rsidRPr="0009789D">
              <w:rPr>
                <w:sz w:val="16"/>
                <w:szCs w:val="16"/>
              </w:rPr>
              <w:t>9-11: SPG</w:t>
            </w:r>
          </w:p>
          <w:p w:rsidR="00625091" w:rsidRDefault="00095465" w:rsidP="00E27C5B">
            <w:pPr>
              <w:jc w:val="center"/>
              <w:rPr>
                <w:sz w:val="16"/>
                <w:szCs w:val="16"/>
              </w:rPr>
            </w:pPr>
            <w:r w:rsidRPr="0009789D">
              <w:rPr>
                <w:sz w:val="16"/>
                <w:szCs w:val="16"/>
              </w:rPr>
              <w:t>12: Bureau</w:t>
            </w:r>
          </w:p>
        </w:tc>
        <w:tc>
          <w:tcPr>
            <w:tcW w:w="914" w:type="pct"/>
            <w:noWrap/>
          </w:tcPr>
          <w:p w:rsidR="00625091" w:rsidRDefault="00095465">
            <w:pPr>
              <w:jc w:val="left"/>
              <w:rPr>
                <w:sz w:val="16"/>
                <w:szCs w:val="16"/>
              </w:rPr>
            </w:pPr>
            <w:r w:rsidRPr="0009789D">
              <w:rPr>
                <w:sz w:val="16"/>
                <w:szCs w:val="16"/>
              </w:rPr>
              <w:t>15-19: TPG</w:t>
            </w:r>
          </w:p>
          <w:p w:rsidR="00625091" w:rsidRDefault="00095465">
            <w:pPr>
              <w:jc w:val="left"/>
              <w:rPr>
                <w:sz w:val="16"/>
                <w:szCs w:val="16"/>
              </w:rPr>
            </w:pPr>
            <w:r>
              <w:rPr>
                <w:sz w:val="16"/>
                <w:szCs w:val="16"/>
              </w:rPr>
              <w:t>TBD</w:t>
            </w:r>
            <w:r w:rsidRPr="0009789D">
              <w:rPr>
                <w:sz w:val="16"/>
                <w:szCs w:val="16"/>
              </w:rPr>
              <w:t>: TPPT</w:t>
            </w:r>
            <w:r>
              <w:rPr>
                <w:sz w:val="16"/>
                <w:szCs w:val="16"/>
              </w:rPr>
              <w:t xml:space="preserve"> [</w:t>
            </w:r>
            <w:r w:rsidRPr="0009789D">
              <w:rPr>
                <w:sz w:val="16"/>
                <w:szCs w:val="16"/>
              </w:rPr>
              <w:t>virtual</w:t>
            </w:r>
            <w:r>
              <w:rPr>
                <w:sz w:val="16"/>
                <w:szCs w:val="16"/>
              </w:rPr>
              <w:t xml:space="preserve">] </w:t>
            </w:r>
          </w:p>
        </w:tc>
        <w:tc>
          <w:tcPr>
            <w:tcW w:w="545" w:type="pct"/>
            <w:noWrap/>
          </w:tcPr>
          <w:p w:rsidR="00625091" w:rsidRDefault="00625091">
            <w:pPr>
              <w:jc w:val="left"/>
              <w:rPr>
                <w:sz w:val="16"/>
                <w:szCs w:val="16"/>
              </w:rPr>
            </w:pPr>
          </w:p>
        </w:tc>
        <w:tc>
          <w:tcPr>
            <w:tcW w:w="854" w:type="pct"/>
            <w:noWrap/>
          </w:tcPr>
          <w:p w:rsidR="00625091" w:rsidRDefault="00095465">
            <w:pPr>
              <w:jc w:val="left"/>
              <w:rPr>
                <w:sz w:val="16"/>
                <w:szCs w:val="16"/>
              </w:rPr>
            </w:pPr>
            <w:r>
              <w:rPr>
                <w:sz w:val="16"/>
                <w:szCs w:val="16"/>
              </w:rPr>
              <w:t>1-5: TCP backstop [Burundi]</w:t>
            </w:r>
          </w:p>
          <w:p w:rsidR="00625091" w:rsidRDefault="00095465">
            <w:pPr>
              <w:jc w:val="left"/>
              <w:rPr>
                <w:sz w:val="16"/>
                <w:szCs w:val="16"/>
              </w:rPr>
            </w:pPr>
            <w:r>
              <w:rPr>
                <w:sz w:val="16"/>
                <w:szCs w:val="16"/>
              </w:rPr>
              <w:t>1-5: TC (SPS legislation) [Lao]</w:t>
            </w:r>
          </w:p>
          <w:p w:rsidR="00996B04" w:rsidRDefault="00996B04" w:rsidP="00996B04">
            <w:pPr>
              <w:jc w:val="left"/>
              <w:rPr>
                <w:sz w:val="16"/>
                <w:szCs w:val="16"/>
              </w:rPr>
            </w:pPr>
            <w:r>
              <w:rPr>
                <w:sz w:val="16"/>
                <w:szCs w:val="16"/>
              </w:rPr>
              <w:t>11-12: STDF</w:t>
            </w:r>
          </w:p>
          <w:p w:rsidR="00625091" w:rsidRDefault="00996B04">
            <w:pPr>
              <w:jc w:val="left"/>
              <w:rPr>
                <w:sz w:val="16"/>
                <w:szCs w:val="16"/>
              </w:rPr>
            </w:pPr>
            <w:r>
              <w:rPr>
                <w:sz w:val="16"/>
                <w:szCs w:val="16"/>
              </w:rPr>
              <w:t>22-24 Advanced SPS Geneva</w:t>
            </w:r>
          </w:p>
        </w:tc>
        <w:tc>
          <w:tcPr>
            <w:tcW w:w="666" w:type="pct"/>
            <w:noWrap/>
          </w:tcPr>
          <w:p w:rsidR="00625091" w:rsidRDefault="00095465">
            <w:pPr>
              <w:jc w:val="left"/>
              <w:rPr>
                <w:sz w:val="16"/>
                <w:szCs w:val="16"/>
              </w:rPr>
            </w:pPr>
            <w:r w:rsidRPr="0009789D">
              <w:rPr>
                <w:sz w:val="16"/>
                <w:szCs w:val="16"/>
              </w:rPr>
              <w:t xml:space="preserve">29-2: </w:t>
            </w:r>
            <w:r>
              <w:rPr>
                <w:sz w:val="16"/>
                <w:szCs w:val="16"/>
              </w:rPr>
              <w:t>APPPC</w:t>
            </w:r>
            <w:r w:rsidRPr="0009789D">
              <w:rPr>
                <w:sz w:val="16"/>
                <w:szCs w:val="16"/>
              </w:rPr>
              <w:t xml:space="preserve"> symposium on surveillance [Korea]</w:t>
            </w:r>
          </w:p>
          <w:p w:rsidR="00625091" w:rsidRDefault="00095465">
            <w:pPr>
              <w:jc w:val="left"/>
              <w:rPr>
                <w:sz w:val="16"/>
                <w:szCs w:val="16"/>
              </w:rPr>
            </w:pPr>
            <w:r>
              <w:rPr>
                <w:sz w:val="16"/>
                <w:szCs w:val="16"/>
              </w:rPr>
              <w:t>15-19: TCP PCE [Equatorial Guinea]</w:t>
            </w:r>
          </w:p>
        </w:tc>
        <w:tc>
          <w:tcPr>
            <w:tcW w:w="689" w:type="pct"/>
            <w:noWrap/>
          </w:tcPr>
          <w:p w:rsidR="00625091" w:rsidRDefault="005547EE">
            <w:pPr>
              <w:jc w:val="left"/>
              <w:rPr>
                <w:sz w:val="16"/>
                <w:szCs w:val="16"/>
                <w:lang w:val="en-US"/>
              </w:rPr>
            </w:pPr>
            <w:r w:rsidRPr="005547EE">
              <w:rPr>
                <w:sz w:val="16"/>
                <w:szCs w:val="16"/>
                <w:lang w:val="en-US"/>
              </w:rPr>
              <w:t>1-5: Cartagena P. COP MOP6</w:t>
            </w:r>
          </w:p>
          <w:p w:rsidR="00625091" w:rsidRDefault="005547EE">
            <w:pPr>
              <w:jc w:val="left"/>
              <w:rPr>
                <w:sz w:val="16"/>
                <w:szCs w:val="16"/>
                <w:lang w:val="en-US"/>
              </w:rPr>
            </w:pPr>
            <w:r w:rsidRPr="005547EE">
              <w:rPr>
                <w:sz w:val="16"/>
                <w:szCs w:val="16"/>
                <w:lang w:val="en-US"/>
              </w:rPr>
              <w:t>8-19: CBD COP11 [India]</w:t>
            </w:r>
          </w:p>
          <w:p w:rsidR="00625091" w:rsidRDefault="00095465">
            <w:pPr>
              <w:jc w:val="left"/>
              <w:rPr>
                <w:sz w:val="16"/>
                <w:szCs w:val="16"/>
              </w:rPr>
            </w:pPr>
            <w:r>
              <w:rPr>
                <w:sz w:val="16"/>
                <w:szCs w:val="16"/>
              </w:rPr>
              <w:t>15-16: SPS WS on transparency [Switzerland]</w:t>
            </w:r>
          </w:p>
          <w:p w:rsidR="00625091" w:rsidRDefault="00095465" w:rsidP="00E27C5B">
            <w:pPr>
              <w:jc w:val="left"/>
              <w:rPr>
                <w:sz w:val="16"/>
                <w:szCs w:val="16"/>
              </w:rPr>
            </w:pPr>
            <w:r w:rsidRPr="0009789D">
              <w:rPr>
                <w:sz w:val="16"/>
                <w:szCs w:val="16"/>
              </w:rPr>
              <w:t>1</w:t>
            </w:r>
            <w:r>
              <w:rPr>
                <w:sz w:val="16"/>
                <w:szCs w:val="16"/>
              </w:rPr>
              <w:t>6</w:t>
            </w:r>
            <w:r w:rsidRPr="0009789D">
              <w:rPr>
                <w:sz w:val="16"/>
                <w:szCs w:val="16"/>
              </w:rPr>
              <w:t>-18: SPS [Switzerland]</w:t>
            </w:r>
          </w:p>
        </w:tc>
        <w:tc>
          <w:tcPr>
            <w:tcW w:w="581" w:type="pct"/>
            <w:noWrap/>
          </w:tcPr>
          <w:p w:rsidR="00625091" w:rsidRDefault="00095465">
            <w:pPr>
              <w:jc w:val="left"/>
              <w:rPr>
                <w:sz w:val="16"/>
                <w:szCs w:val="16"/>
              </w:rPr>
            </w:pPr>
            <w:r w:rsidRPr="0009789D">
              <w:rPr>
                <w:sz w:val="16"/>
                <w:szCs w:val="16"/>
              </w:rPr>
              <w:t>8-12: FC, PC</w:t>
            </w:r>
          </w:p>
          <w:p w:rsidR="00625091" w:rsidRDefault="00095465">
            <w:pPr>
              <w:jc w:val="left"/>
              <w:rPr>
                <w:sz w:val="16"/>
                <w:szCs w:val="16"/>
              </w:rPr>
            </w:pPr>
            <w:r w:rsidRPr="0009789D">
              <w:rPr>
                <w:sz w:val="16"/>
                <w:szCs w:val="16"/>
              </w:rPr>
              <w:t>16: WFD</w:t>
            </w:r>
          </w:p>
          <w:p w:rsidR="00625091" w:rsidRDefault="00095465">
            <w:pPr>
              <w:jc w:val="left"/>
              <w:rPr>
                <w:sz w:val="16"/>
                <w:szCs w:val="16"/>
              </w:rPr>
            </w:pPr>
            <w:r w:rsidRPr="0009789D">
              <w:rPr>
                <w:sz w:val="16"/>
                <w:szCs w:val="16"/>
              </w:rPr>
              <w:t>15-20: CFS</w:t>
            </w: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Nov</w:t>
            </w:r>
          </w:p>
        </w:tc>
        <w:tc>
          <w:tcPr>
            <w:tcW w:w="457" w:type="pct"/>
            <w:noWrap/>
          </w:tcPr>
          <w:p w:rsidR="00625091" w:rsidRDefault="00625091">
            <w:pPr>
              <w:jc w:val="left"/>
              <w:rPr>
                <w:sz w:val="16"/>
                <w:szCs w:val="16"/>
              </w:rPr>
            </w:pPr>
          </w:p>
        </w:tc>
        <w:tc>
          <w:tcPr>
            <w:tcW w:w="914" w:type="pct"/>
            <w:noWrap/>
          </w:tcPr>
          <w:p w:rsidR="00625091" w:rsidRDefault="00095465">
            <w:pPr>
              <w:jc w:val="left"/>
              <w:rPr>
                <w:sz w:val="16"/>
                <w:szCs w:val="16"/>
              </w:rPr>
            </w:pPr>
            <w:r w:rsidRPr="0009789D">
              <w:rPr>
                <w:sz w:val="16"/>
                <w:szCs w:val="16"/>
              </w:rPr>
              <w:t>12-16: SC</w:t>
            </w:r>
          </w:p>
          <w:p w:rsidR="00625091" w:rsidRDefault="00095465">
            <w:pPr>
              <w:jc w:val="left"/>
              <w:rPr>
                <w:sz w:val="16"/>
                <w:szCs w:val="16"/>
              </w:rPr>
            </w:pPr>
            <w:r w:rsidRPr="0009789D">
              <w:rPr>
                <w:sz w:val="16"/>
                <w:szCs w:val="16"/>
              </w:rPr>
              <w:t>26-30: TPDP [France]</w:t>
            </w:r>
          </w:p>
        </w:tc>
        <w:tc>
          <w:tcPr>
            <w:tcW w:w="545" w:type="pct"/>
            <w:noWrap/>
          </w:tcPr>
          <w:p w:rsidR="00625091" w:rsidRDefault="007761F5">
            <w:pPr>
              <w:jc w:val="left"/>
              <w:rPr>
                <w:sz w:val="16"/>
                <w:szCs w:val="16"/>
              </w:rPr>
            </w:pPr>
            <w:r>
              <w:rPr>
                <w:sz w:val="16"/>
                <w:szCs w:val="16"/>
              </w:rPr>
              <w:t>1-3: Information exchange workshop [Gabon]</w:t>
            </w:r>
          </w:p>
          <w:p w:rsidR="00625091" w:rsidRDefault="00095465">
            <w:pPr>
              <w:jc w:val="left"/>
              <w:rPr>
                <w:sz w:val="16"/>
                <w:szCs w:val="16"/>
              </w:rPr>
            </w:pPr>
            <w:r w:rsidRPr="0009789D">
              <w:rPr>
                <w:sz w:val="16"/>
                <w:szCs w:val="16"/>
              </w:rPr>
              <w:t>13-15: ePhyto WS [Brazil]</w:t>
            </w:r>
          </w:p>
        </w:tc>
        <w:tc>
          <w:tcPr>
            <w:tcW w:w="854" w:type="pct"/>
            <w:noWrap/>
          </w:tcPr>
          <w:p w:rsidR="00625091" w:rsidRDefault="00095465">
            <w:pPr>
              <w:jc w:val="left"/>
              <w:rPr>
                <w:sz w:val="16"/>
                <w:szCs w:val="16"/>
              </w:rPr>
            </w:pPr>
            <w:r>
              <w:rPr>
                <w:sz w:val="16"/>
                <w:szCs w:val="16"/>
              </w:rPr>
              <w:t>5-9: TCP backstop [Armenia]</w:t>
            </w:r>
          </w:p>
          <w:p w:rsidR="00625091" w:rsidRDefault="00996B04">
            <w:pPr>
              <w:jc w:val="left"/>
              <w:rPr>
                <w:sz w:val="16"/>
                <w:szCs w:val="16"/>
              </w:rPr>
            </w:pPr>
            <w:r>
              <w:rPr>
                <w:sz w:val="16"/>
                <w:szCs w:val="16"/>
              </w:rPr>
              <w:t>19-23 SPS  WS Central Europe</w:t>
            </w:r>
          </w:p>
          <w:p w:rsidR="00625091" w:rsidRDefault="00996B04">
            <w:pPr>
              <w:jc w:val="left"/>
              <w:rPr>
                <w:sz w:val="16"/>
                <w:szCs w:val="16"/>
              </w:rPr>
            </w:pPr>
            <w:r>
              <w:rPr>
                <w:sz w:val="16"/>
                <w:szCs w:val="16"/>
              </w:rPr>
              <w:t>Austria</w:t>
            </w:r>
          </w:p>
          <w:p w:rsidR="00625091" w:rsidRDefault="00996B04">
            <w:pPr>
              <w:jc w:val="left"/>
              <w:rPr>
                <w:sz w:val="16"/>
                <w:szCs w:val="16"/>
              </w:rPr>
            </w:pPr>
            <w:r>
              <w:rPr>
                <w:sz w:val="16"/>
                <w:szCs w:val="16"/>
              </w:rPr>
              <w:t>27-30</w:t>
            </w:r>
            <w:r w:rsidR="00E27C5B">
              <w:rPr>
                <w:sz w:val="16"/>
                <w:szCs w:val="16"/>
              </w:rPr>
              <w:t xml:space="preserve"> </w:t>
            </w:r>
            <w:r>
              <w:rPr>
                <w:sz w:val="16"/>
                <w:szCs w:val="16"/>
              </w:rPr>
              <w:t>PANSPSO-WTO-SPS workshop</w:t>
            </w:r>
          </w:p>
          <w:p w:rsidR="00625091" w:rsidRDefault="00996B04">
            <w:pPr>
              <w:jc w:val="left"/>
              <w:rPr>
                <w:sz w:val="16"/>
                <w:szCs w:val="16"/>
              </w:rPr>
            </w:pPr>
            <w:r>
              <w:rPr>
                <w:sz w:val="16"/>
                <w:szCs w:val="16"/>
              </w:rPr>
              <w:t>Senegal</w:t>
            </w:r>
            <w:r w:rsidR="00E27C5B">
              <w:rPr>
                <w:sz w:val="16"/>
                <w:szCs w:val="16"/>
              </w:rPr>
              <w:t xml:space="preserve"> </w:t>
            </w:r>
            <w:r>
              <w:rPr>
                <w:sz w:val="16"/>
                <w:szCs w:val="16"/>
              </w:rPr>
              <w:t>12-16</w:t>
            </w:r>
          </w:p>
          <w:p w:rsidR="00625091" w:rsidRPr="00E27C5B" w:rsidRDefault="00996B04">
            <w:pPr>
              <w:jc w:val="left"/>
              <w:rPr>
                <w:sz w:val="16"/>
                <w:szCs w:val="16"/>
              </w:rPr>
            </w:pPr>
            <w:r>
              <w:rPr>
                <w:sz w:val="16"/>
                <w:szCs w:val="16"/>
              </w:rPr>
              <w:t>CBD WS on IAS Saudi Arabia</w:t>
            </w:r>
          </w:p>
        </w:tc>
        <w:tc>
          <w:tcPr>
            <w:tcW w:w="666" w:type="pct"/>
            <w:noWrap/>
          </w:tcPr>
          <w:p w:rsidR="00625091" w:rsidRDefault="00625091">
            <w:pPr>
              <w:jc w:val="left"/>
              <w:rPr>
                <w:sz w:val="16"/>
                <w:szCs w:val="16"/>
              </w:rPr>
            </w:pPr>
          </w:p>
        </w:tc>
        <w:tc>
          <w:tcPr>
            <w:tcW w:w="689" w:type="pct"/>
            <w:noWrap/>
          </w:tcPr>
          <w:p w:rsidR="00625091" w:rsidRPr="00E27C5B" w:rsidRDefault="005547EE">
            <w:pPr>
              <w:jc w:val="left"/>
              <w:rPr>
                <w:sz w:val="16"/>
                <w:szCs w:val="16"/>
                <w:lang w:val="it-IT"/>
              </w:rPr>
            </w:pPr>
            <w:r w:rsidRPr="005547EE">
              <w:rPr>
                <w:sz w:val="16"/>
                <w:szCs w:val="16"/>
                <w:lang w:val="it-IT"/>
              </w:rPr>
              <w:t>12-16: Montreal Protocol,  COP MOP24 [Switzerland]</w:t>
            </w:r>
          </w:p>
        </w:tc>
        <w:tc>
          <w:tcPr>
            <w:tcW w:w="581" w:type="pct"/>
            <w:noWrap/>
          </w:tcPr>
          <w:p w:rsidR="00625091" w:rsidRDefault="00095465">
            <w:pPr>
              <w:jc w:val="left"/>
              <w:rPr>
                <w:sz w:val="16"/>
                <w:szCs w:val="16"/>
              </w:rPr>
            </w:pPr>
            <w:r w:rsidRPr="0009789D">
              <w:rPr>
                <w:sz w:val="16"/>
                <w:szCs w:val="16"/>
              </w:rPr>
              <w:t>26-30: Council</w:t>
            </w:r>
          </w:p>
          <w:p w:rsidR="00625091" w:rsidRDefault="00625091">
            <w:pPr>
              <w:jc w:val="left"/>
              <w:rPr>
                <w:sz w:val="16"/>
                <w:szCs w:val="16"/>
              </w:rPr>
            </w:pPr>
          </w:p>
        </w:tc>
      </w:tr>
      <w:tr w:rsidR="00095465" w:rsidRPr="0009789D" w:rsidTr="00E27C5B">
        <w:trPr>
          <w:cantSplit/>
        </w:trPr>
        <w:tc>
          <w:tcPr>
            <w:tcW w:w="293" w:type="pct"/>
            <w:noWrap/>
          </w:tcPr>
          <w:p w:rsidR="00095465" w:rsidRPr="00095465" w:rsidRDefault="00095465" w:rsidP="00095465">
            <w:pPr>
              <w:rPr>
                <w:sz w:val="16"/>
                <w:szCs w:val="18"/>
              </w:rPr>
            </w:pPr>
            <w:r w:rsidRPr="00095465">
              <w:rPr>
                <w:sz w:val="16"/>
                <w:szCs w:val="18"/>
              </w:rPr>
              <w:t>Dec</w:t>
            </w:r>
          </w:p>
        </w:tc>
        <w:tc>
          <w:tcPr>
            <w:tcW w:w="457" w:type="pct"/>
            <w:noWrap/>
          </w:tcPr>
          <w:p w:rsidR="00625091" w:rsidRDefault="00095465">
            <w:pPr>
              <w:jc w:val="left"/>
              <w:rPr>
                <w:sz w:val="16"/>
                <w:szCs w:val="16"/>
              </w:rPr>
            </w:pPr>
            <w:r>
              <w:rPr>
                <w:sz w:val="16"/>
                <w:szCs w:val="16"/>
              </w:rPr>
              <w:t>10-14: Bureau</w:t>
            </w:r>
          </w:p>
        </w:tc>
        <w:tc>
          <w:tcPr>
            <w:tcW w:w="914" w:type="pct"/>
            <w:noWrap/>
          </w:tcPr>
          <w:p w:rsidR="00625091" w:rsidRDefault="00095465">
            <w:pPr>
              <w:jc w:val="left"/>
              <w:rPr>
                <w:sz w:val="16"/>
                <w:szCs w:val="16"/>
              </w:rPr>
            </w:pPr>
            <w:r w:rsidRPr="0009789D">
              <w:rPr>
                <w:sz w:val="16"/>
                <w:szCs w:val="16"/>
              </w:rPr>
              <w:t>3-7: TPPT [Japan]</w:t>
            </w:r>
          </w:p>
          <w:p w:rsidR="00625091" w:rsidRDefault="00095465">
            <w:pPr>
              <w:jc w:val="left"/>
              <w:rPr>
                <w:sz w:val="16"/>
                <w:szCs w:val="16"/>
              </w:rPr>
            </w:pPr>
            <w:r>
              <w:rPr>
                <w:sz w:val="16"/>
                <w:szCs w:val="16"/>
              </w:rPr>
              <w:t>TBD: TPFQ [virtual]</w:t>
            </w:r>
          </w:p>
        </w:tc>
        <w:tc>
          <w:tcPr>
            <w:tcW w:w="545" w:type="pct"/>
            <w:noWrap/>
          </w:tcPr>
          <w:p w:rsidR="00625091" w:rsidRDefault="00625091">
            <w:pPr>
              <w:jc w:val="left"/>
              <w:rPr>
                <w:sz w:val="16"/>
                <w:szCs w:val="16"/>
              </w:rPr>
            </w:pPr>
          </w:p>
        </w:tc>
        <w:tc>
          <w:tcPr>
            <w:tcW w:w="854" w:type="pct"/>
            <w:noWrap/>
          </w:tcPr>
          <w:p w:rsidR="00625091" w:rsidRDefault="00625091">
            <w:pPr>
              <w:jc w:val="left"/>
              <w:rPr>
                <w:sz w:val="16"/>
                <w:szCs w:val="16"/>
              </w:rPr>
            </w:pPr>
          </w:p>
        </w:tc>
        <w:tc>
          <w:tcPr>
            <w:tcW w:w="666" w:type="pct"/>
            <w:noWrap/>
          </w:tcPr>
          <w:p w:rsidR="00625091" w:rsidRDefault="00625091">
            <w:pPr>
              <w:jc w:val="left"/>
              <w:rPr>
                <w:sz w:val="16"/>
                <w:szCs w:val="16"/>
              </w:rPr>
            </w:pPr>
          </w:p>
        </w:tc>
        <w:tc>
          <w:tcPr>
            <w:tcW w:w="689" w:type="pct"/>
            <w:noWrap/>
          </w:tcPr>
          <w:p w:rsidR="00625091" w:rsidRDefault="00625091">
            <w:pPr>
              <w:jc w:val="left"/>
              <w:rPr>
                <w:sz w:val="16"/>
                <w:szCs w:val="16"/>
              </w:rPr>
            </w:pPr>
          </w:p>
        </w:tc>
        <w:tc>
          <w:tcPr>
            <w:tcW w:w="581" w:type="pct"/>
            <w:noWrap/>
          </w:tcPr>
          <w:p w:rsidR="00625091" w:rsidRDefault="00625091">
            <w:pPr>
              <w:jc w:val="left"/>
              <w:rPr>
                <w:sz w:val="16"/>
                <w:szCs w:val="16"/>
              </w:rPr>
            </w:pPr>
          </w:p>
        </w:tc>
      </w:tr>
    </w:tbl>
    <w:p w:rsidR="00095465" w:rsidRDefault="00095465" w:rsidP="00095465">
      <w:r w:rsidRPr="0009789D">
        <w:rPr>
          <w:sz w:val="18"/>
          <w:szCs w:val="18"/>
        </w:rPr>
        <w:t xml:space="preserve">*The schedule from October onwards </w:t>
      </w:r>
      <w:r>
        <w:rPr>
          <w:sz w:val="18"/>
          <w:szCs w:val="18"/>
        </w:rPr>
        <w:t xml:space="preserve">shows the plan and </w:t>
      </w:r>
      <w:r w:rsidRPr="0009789D">
        <w:rPr>
          <w:sz w:val="18"/>
          <w:szCs w:val="18"/>
        </w:rPr>
        <w:t>has not been implemented yet.</w:t>
      </w:r>
    </w:p>
    <w:p w:rsidR="00E75CA2" w:rsidRDefault="00E75CA2" w:rsidP="009851E5">
      <w:pPr>
        <w:pStyle w:val="ListParagraph"/>
        <w:rPr>
          <w:bCs/>
          <w:szCs w:val="22"/>
        </w:rPr>
        <w:sectPr w:rsidR="00E75CA2" w:rsidSect="00E27C5B">
          <w:headerReference w:type="default" r:id="rId13"/>
          <w:footerReference w:type="default" r:id="rId14"/>
          <w:headerReference w:type="first" r:id="rId15"/>
          <w:pgSz w:w="16838" w:h="11906" w:orient="landscape"/>
          <w:pgMar w:top="1440" w:right="1440" w:bottom="1416" w:left="1440" w:header="708" w:footer="708" w:gutter="0"/>
          <w:cols w:space="708"/>
          <w:titlePg/>
          <w:docGrid w:linePitch="360"/>
        </w:sectPr>
      </w:pPr>
    </w:p>
    <w:p w:rsidR="00095465" w:rsidRDefault="00095465" w:rsidP="009851E5">
      <w:pPr>
        <w:pStyle w:val="ListParagraph"/>
        <w:rPr>
          <w:bCs/>
          <w:szCs w:val="22"/>
        </w:rPr>
      </w:pPr>
    </w:p>
    <w:p w:rsidR="00625091" w:rsidRPr="006A297F" w:rsidRDefault="00095465">
      <w:pPr>
        <w:pStyle w:val="IPPHeading2"/>
        <w:rPr>
          <w:u w:val="single"/>
        </w:rPr>
      </w:pPr>
      <w:r w:rsidRPr="006A297F">
        <w:rPr>
          <w:u w:val="single"/>
        </w:rPr>
        <w:t>Standard setting</w:t>
      </w:r>
      <w:r w:rsidR="006A297F" w:rsidRPr="006A297F">
        <w:rPr>
          <w:u w:val="single"/>
        </w:rPr>
        <w:t xml:space="preserve"> </w:t>
      </w:r>
      <w:r w:rsidR="003835DC">
        <w:rPr>
          <w:u w:val="single"/>
        </w:rPr>
        <w:t>(Objectives A, C and X)</w:t>
      </w:r>
    </w:p>
    <w:p w:rsidR="007761F5" w:rsidRDefault="0057759E" w:rsidP="00E75CA2">
      <w:pPr>
        <w:pStyle w:val="NewPara"/>
        <w:numPr>
          <w:ilvl w:val="0"/>
          <w:numId w:val="17"/>
        </w:numPr>
      </w:pPr>
      <w:r>
        <w:t>All standard setting meetings, both face to face and virtual are displayed in Table 1.</w:t>
      </w:r>
    </w:p>
    <w:p w:rsidR="0057759E" w:rsidRDefault="0057759E" w:rsidP="00E75CA2">
      <w:pPr>
        <w:pStyle w:val="NewPara"/>
        <w:numPr>
          <w:ilvl w:val="0"/>
          <w:numId w:val="17"/>
        </w:numPr>
      </w:pPr>
      <w:r>
        <w:t>Meeting reports for all standard setting activities and related documents and presentations are posted on the IPP (</w:t>
      </w:r>
      <w:hyperlink r:id="rId16" w:history="1">
        <w:r>
          <w:rPr>
            <w:rStyle w:val="Hyperlink"/>
          </w:rPr>
          <w:t>https://www.ippc.int/index.php?id=13352</w:t>
        </w:r>
      </w:hyperlink>
      <w:r>
        <w:t>).</w:t>
      </w:r>
    </w:p>
    <w:p w:rsidR="0057759E" w:rsidRDefault="0057759E" w:rsidP="00E75CA2">
      <w:pPr>
        <w:pStyle w:val="NewPara"/>
        <w:numPr>
          <w:ilvl w:val="0"/>
          <w:numId w:val="17"/>
        </w:numPr>
      </w:pPr>
      <w:r>
        <w:t xml:space="preserve">The Secretariat has reformatted the Chinese versions of </w:t>
      </w:r>
      <w:r w:rsidR="00C63DB5">
        <w:t>adopted</w:t>
      </w:r>
      <w:r>
        <w:t xml:space="preserve"> ISPMs and added details of the history of the development and publication for each standard.</w:t>
      </w:r>
    </w:p>
    <w:p w:rsidR="0057759E" w:rsidRDefault="0057759E" w:rsidP="00E75CA2">
      <w:pPr>
        <w:pStyle w:val="NewPara"/>
        <w:numPr>
          <w:ilvl w:val="0"/>
          <w:numId w:val="17"/>
        </w:numPr>
      </w:pPr>
      <w:r>
        <w:t>The Secretariat began to phase in the CPM-7 (2012) adopted standard setting process and submitted draft ISPMs to both member consultation and the new substantial concerns commenting period (SCCP).</w:t>
      </w:r>
    </w:p>
    <w:p w:rsidR="0057759E" w:rsidRDefault="0057759E" w:rsidP="00E75CA2">
      <w:pPr>
        <w:pStyle w:val="NewPara"/>
        <w:numPr>
          <w:ilvl w:val="0"/>
          <w:numId w:val="17"/>
        </w:numPr>
      </w:pPr>
      <w:r>
        <w:t>Two specifications were submitted to member consultation.</w:t>
      </w:r>
    </w:p>
    <w:p w:rsidR="0057759E" w:rsidRDefault="0057759E" w:rsidP="00E75CA2">
      <w:pPr>
        <w:pStyle w:val="NewPara"/>
        <w:numPr>
          <w:ilvl w:val="0"/>
          <w:numId w:val="17"/>
        </w:numPr>
      </w:pPr>
      <w:r>
        <w:t>Several call for experts were made in 2012 as well as a call for phytosanitary treatment submissions.</w:t>
      </w:r>
    </w:p>
    <w:p w:rsidR="0057759E" w:rsidRDefault="00C63DB5" w:rsidP="00E75CA2">
      <w:pPr>
        <w:pStyle w:val="NewPara"/>
        <w:numPr>
          <w:ilvl w:val="0"/>
          <w:numId w:val="17"/>
        </w:numPr>
      </w:pPr>
      <w:r>
        <w:t>A</w:t>
      </w:r>
      <w:r w:rsidR="0057759E">
        <w:t xml:space="preserve"> cost-sharing plan and 5-year plan for the OCS are being developed</w:t>
      </w:r>
      <w:r w:rsidR="0057759E" w:rsidRPr="0057759E">
        <w:t xml:space="preserve"> </w:t>
      </w:r>
      <w:r w:rsidR="0057759E">
        <w:t>with CODEX Alimentarius</w:t>
      </w:r>
      <w:r>
        <w:t>.</w:t>
      </w:r>
    </w:p>
    <w:p w:rsidR="0057759E" w:rsidRDefault="0057759E" w:rsidP="00E75CA2">
      <w:pPr>
        <w:pStyle w:val="NewPara"/>
        <w:numPr>
          <w:ilvl w:val="0"/>
          <w:numId w:val="17"/>
        </w:numPr>
      </w:pPr>
      <w:r>
        <w:t>A number of specific standard setting activities will be explained in more detail in various papers that will be presented to CPM-8 (2013) hereunder related to:</w:t>
      </w:r>
    </w:p>
    <w:p w:rsidR="00625091" w:rsidRDefault="0057759E" w:rsidP="00E27C5B">
      <w:pPr>
        <w:pStyle w:val="NewPara"/>
        <w:numPr>
          <w:ilvl w:val="1"/>
          <w:numId w:val="10"/>
        </w:numPr>
      </w:pPr>
      <w:r>
        <w:t>Language review groups</w:t>
      </w:r>
    </w:p>
    <w:p w:rsidR="00625091" w:rsidRDefault="0057759E" w:rsidP="00E27C5B">
      <w:pPr>
        <w:pStyle w:val="NewPara"/>
        <w:numPr>
          <w:ilvl w:val="1"/>
          <w:numId w:val="10"/>
        </w:numPr>
      </w:pPr>
      <w:r>
        <w:t>Co</w:t>
      </w:r>
      <w:r w:rsidR="008A47CE">
        <w:t>-</w:t>
      </w:r>
      <w:r>
        <w:t>publishing agreements</w:t>
      </w:r>
    </w:p>
    <w:p w:rsidR="00625091" w:rsidRDefault="0057759E" w:rsidP="00E27C5B">
      <w:pPr>
        <w:pStyle w:val="NewPara"/>
        <w:numPr>
          <w:ilvl w:val="1"/>
          <w:numId w:val="10"/>
        </w:numPr>
      </w:pPr>
      <w:r>
        <w:t>Adoption of existing ISPMs in the Russian language</w:t>
      </w:r>
    </w:p>
    <w:p w:rsidR="00625091" w:rsidRDefault="0057759E" w:rsidP="00E27C5B">
      <w:pPr>
        <w:pStyle w:val="NewPara"/>
        <w:numPr>
          <w:ilvl w:val="1"/>
          <w:numId w:val="10"/>
        </w:numPr>
      </w:pPr>
      <w:r>
        <w:t>Adoption of ISPMs including diagnostic protocols and phytosanitary treatments</w:t>
      </w:r>
    </w:p>
    <w:p w:rsidR="007761F5" w:rsidRPr="006A297F" w:rsidRDefault="007761F5" w:rsidP="007761F5">
      <w:pPr>
        <w:pStyle w:val="IPPHeading1"/>
        <w:rPr>
          <w:u w:val="single"/>
        </w:rPr>
      </w:pPr>
      <w:r w:rsidRPr="006A297F">
        <w:rPr>
          <w:u w:val="single"/>
        </w:rPr>
        <w:t>Information exchange</w:t>
      </w:r>
      <w:r w:rsidR="003835DC">
        <w:rPr>
          <w:u w:val="single"/>
        </w:rPr>
        <w:t xml:space="preserve"> (Objectives A,</w:t>
      </w:r>
      <w:r w:rsidR="00F80519">
        <w:rPr>
          <w:u w:val="single"/>
        </w:rPr>
        <w:t xml:space="preserve"> </w:t>
      </w:r>
      <w:r w:rsidR="003835DC">
        <w:rPr>
          <w:u w:val="single"/>
        </w:rPr>
        <w:t>C, D and X)</w:t>
      </w:r>
    </w:p>
    <w:p w:rsidR="007761F5" w:rsidRDefault="007761F5" w:rsidP="00E75CA2">
      <w:pPr>
        <w:pStyle w:val="NewPara"/>
        <w:numPr>
          <w:ilvl w:val="0"/>
          <w:numId w:val="17"/>
        </w:numPr>
        <w:jc w:val="left"/>
      </w:pPr>
      <w:r>
        <w:t xml:space="preserve">More detailed statistics regarding IPPC contact points and IPPC contracting parties meeting their national reporting obligations can be found at: </w:t>
      </w:r>
      <w:hyperlink r:id="rId17" w:history="1">
        <w:r w:rsidRPr="00453261">
          <w:rPr>
            <w:rStyle w:val="Hyperlink"/>
          </w:rPr>
          <w:t>https://www.ippc.int/index.php?id=1110726&amp;L=0</w:t>
        </w:r>
      </w:hyperlink>
    </w:p>
    <w:p w:rsidR="007761F5" w:rsidRPr="00CE7DEF" w:rsidRDefault="007761F5" w:rsidP="00E75CA2">
      <w:pPr>
        <w:pStyle w:val="NewPara"/>
        <w:numPr>
          <w:ilvl w:val="0"/>
          <w:numId w:val="17"/>
        </w:numPr>
      </w:pPr>
      <w:r w:rsidRPr="00CE7DEF">
        <w:t>Table 2 shows the number of changes to IPPC contact points, information points and IPP editors. The Secretariat is responsible for the initial registration of all IPP users and national plant protection organizations (NPPOs) or regional plant protection organizations (RPPOs) are then responsible for updating their contact information. Considerable time is spent communicating with NPPOs and RPPOs regarding changing contact points and editors who no longer have IPPC responsibilities.</w:t>
      </w:r>
    </w:p>
    <w:p w:rsidR="00E75CA2" w:rsidRDefault="00E75CA2">
      <w:pPr>
        <w:jc w:val="left"/>
        <w:rPr>
          <w:highlight w:val="yellow"/>
        </w:rPr>
      </w:pPr>
      <w:r>
        <w:rPr>
          <w:highlight w:val="yellow"/>
        </w:rPr>
        <w:br w:type="page"/>
      </w:r>
    </w:p>
    <w:p w:rsidR="007761F5" w:rsidRPr="00014C49" w:rsidRDefault="007761F5" w:rsidP="007761F5">
      <w:pPr>
        <w:rPr>
          <w:highlight w:val="yellow"/>
        </w:rPr>
      </w:pPr>
    </w:p>
    <w:p w:rsidR="007761F5" w:rsidRDefault="007761F5" w:rsidP="00E75CA2">
      <w:pPr>
        <w:pStyle w:val="IPPArial"/>
        <w:jc w:val="center"/>
        <w:rPr>
          <w:b/>
          <w:bCs/>
          <w:szCs w:val="22"/>
        </w:rPr>
      </w:pPr>
      <w:r w:rsidRPr="003C7785">
        <w:rPr>
          <w:b/>
          <w:bCs/>
          <w:szCs w:val="22"/>
        </w:rPr>
        <w:t>Table 2: Maintenance of IPPC contact points and editors in 201</w:t>
      </w:r>
      <w:r>
        <w:rPr>
          <w:b/>
          <w:bCs/>
          <w:szCs w:val="22"/>
        </w:rPr>
        <w:t>2</w:t>
      </w:r>
    </w:p>
    <w:p w:rsidR="00E75CA2" w:rsidRDefault="00E75CA2" w:rsidP="007761F5">
      <w:pPr>
        <w:pStyle w:val="IPPArial"/>
        <w:rPr>
          <w:b/>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127"/>
        <w:gridCol w:w="1949"/>
      </w:tblGrid>
      <w:tr w:rsidR="007761F5" w:rsidRPr="00014C49" w:rsidTr="00E75CA2">
        <w:trPr>
          <w:jc w:val="center"/>
        </w:trPr>
        <w:tc>
          <w:tcPr>
            <w:tcW w:w="8720" w:type="dxa"/>
            <w:gridSpan w:val="4"/>
            <w:tcBorders>
              <w:bottom w:val="single" w:sz="4" w:space="0" w:color="auto"/>
            </w:tcBorders>
            <w:shd w:val="clear" w:color="auto" w:fill="BFBFBF"/>
          </w:tcPr>
          <w:p w:rsidR="007761F5" w:rsidRPr="00014C49" w:rsidRDefault="007761F5" w:rsidP="007761F5">
            <w:pPr>
              <w:jc w:val="center"/>
              <w:rPr>
                <w:szCs w:val="21"/>
                <w:highlight w:val="yellow"/>
              </w:rPr>
            </w:pPr>
            <w:r w:rsidRPr="00AF5D5A">
              <w:rPr>
                <w:b/>
                <w:szCs w:val="21"/>
              </w:rPr>
              <w:t xml:space="preserve">Contracting Parties </w:t>
            </w:r>
          </w:p>
        </w:tc>
      </w:tr>
      <w:tr w:rsidR="007761F5" w:rsidRPr="00014C49" w:rsidTr="00E75CA2">
        <w:trPr>
          <w:jc w:val="center"/>
        </w:trPr>
        <w:tc>
          <w:tcPr>
            <w:tcW w:w="2376" w:type="dxa"/>
            <w:tcBorders>
              <w:bottom w:val="single" w:sz="4" w:space="0" w:color="auto"/>
            </w:tcBorders>
            <w:shd w:val="clear" w:color="auto" w:fill="F2F2F2"/>
          </w:tcPr>
          <w:p w:rsidR="007761F5" w:rsidRPr="00014C49" w:rsidRDefault="007761F5" w:rsidP="007761F5">
            <w:pPr>
              <w:rPr>
                <w:sz w:val="20"/>
                <w:highlight w:val="yellow"/>
              </w:rPr>
            </w:pPr>
          </w:p>
        </w:tc>
        <w:tc>
          <w:tcPr>
            <w:tcW w:w="2268" w:type="dxa"/>
            <w:shd w:val="clear" w:color="auto" w:fill="F2F2F2"/>
          </w:tcPr>
          <w:p w:rsidR="007761F5" w:rsidRPr="00CE7DEF" w:rsidRDefault="007761F5" w:rsidP="007761F5">
            <w:pPr>
              <w:jc w:val="center"/>
              <w:rPr>
                <w:b/>
                <w:sz w:val="20"/>
              </w:rPr>
            </w:pPr>
            <w:r w:rsidRPr="00CE7DEF">
              <w:rPr>
                <w:b/>
                <w:sz w:val="20"/>
              </w:rPr>
              <w:t># Sept 2012</w:t>
            </w:r>
          </w:p>
        </w:tc>
        <w:tc>
          <w:tcPr>
            <w:tcW w:w="2127" w:type="dxa"/>
            <w:shd w:val="clear" w:color="auto" w:fill="F2F2F2"/>
          </w:tcPr>
          <w:p w:rsidR="007761F5" w:rsidRPr="00CE7DEF" w:rsidRDefault="007761F5" w:rsidP="007761F5">
            <w:pPr>
              <w:jc w:val="center"/>
              <w:rPr>
                <w:b/>
                <w:sz w:val="20"/>
              </w:rPr>
            </w:pPr>
            <w:r w:rsidRPr="00CE7DEF">
              <w:rPr>
                <w:b/>
                <w:sz w:val="20"/>
              </w:rPr>
              <w:t>% Changed</w:t>
            </w:r>
          </w:p>
        </w:tc>
        <w:tc>
          <w:tcPr>
            <w:tcW w:w="1949" w:type="dxa"/>
            <w:shd w:val="clear" w:color="auto" w:fill="F2F2F2"/>
          </w:tcPr>
          <w:p w:rsidR="007761F5" w:rsidRPr="00CE7DEF" w:rsidRDefault="007761F5" w:rsidP="007761F5">
            <w:pPr>
              <w:jc w:val="center"/>
              <w:rPr>
                <w:sz w:val="20"/>
              </w:rPr>
            </w:pPr>
            <w:r w:rsidRPr="00CE7DEF">
              <w:rPr>
                <w:b/>
                <w:sz w:val="20"/>
              </w:rPr>
              <w:t>% Updated</w:t>
            </w:r>
          </w:p>
        </w:tc>
      </w:tr>
      <w:tr w:rsidR="007761F5" w:rsidRPr="00014C49" w:rsidTr="00E75CA2">
        <w:trPr>
          <w:jc w:val="center"/>
        </w:trPr>
        <w:tc>
          <w:tcPr>
            <w:tcW w:w="2376" w:type="dxa"/>
            <w:shd w:val="clear" w:color="auto" w:fill="F2F2F2"/>
          </w:tcPr>
          <w:p w:rsidR="007761F5" w:rsidRPr="00CE7DEF" w:rsidRDefault="007761F5" w:rsidP="007761F5">
            <w:pPr>
              <w:rPr>
                <w:b/>
                <w:sz w:val="20"/>
              </w:rPr>
            </w:pPr>
            <w:r w:rsidRPr="00CE7DEF">
              <w:rPr>
                <w:b/>
                <w:sz w:val="20"/>
              </w:rPr>
              <w:t>Official contact points</w:t>
            </w:r>
          </w:p>
        </w:tc>
        <w:tc>
          <w:tcPr>
            <w:tcW w:w="2268" w:type="dxa"/>
            <w:vAlign w:val="center"/>
          </w:tcPr>
          <w:p w:rsidR="007761F5" w:rsidRPr="00761D16" w:rsidRDefault="007761F5" w:rsidP="007761F5">
            <w:pPr>
              <w:jc w:val="center"/>
              <w:rPr>
                <w:sz w:val="20"/>
              </w:rPr>
            </w:pPr>
            <w:r w:rsidRPr="00761D16">
              <w:rPr>
                <w:sz w:val="20"/>
              </w:rPr>
              <w:t>169</w:t>
            </w:r>
          </w:p>
        </w:tc>
        <w:tc>
          <w:tcPr>
            <w:tcW w:w="2127" w:type="dxa"/>
            <w:vMerge w:val="restart"/>
            <w:vAlign w:val="center"/>
          </w:tcPr>
          <w:p w:rsidR="007761F5" w:rsidRPr="0054406E" w:rsidRDefault="007761F5" w:rsidP="007761F5">
            <w:pPr>
              <w:jc w:val="center"/>
              <w:rPr>
                <w:sz w:val="20"/>
              </w:rPr>
            </w:pPr>
            <w:r w:rsidRPr="0054406E">
              <w:rPr>
                <w:sz w:val="20"/>
              </w:rPr>
              <w:t>23.2%</w:t>
            </w:r>
          </w:p>
        </w:tc>
        <w:tc>
          <w:tcPr>
            <w:tcW w:w="1949" w:type="dxa"/>
            <w:vMerge w:val="restart"/>
            <w:vAlign w:val="center"/>
          </w:tcPr>
          <w:p w:rsidR="007761F5" w:rsidRPr="0054406E" w:rsidRDefault="007761F5" w:rsidP="007761F5">
            <w:pPr>
              <w:jc w:val="center"/>
              <w:rPr>
                <w:sz w:val="20"/>
              </w:rPr>
            </w:pPr>
            <w:r>
              <w:rPr>
                <w:sz w:val="20"/>
              </w:rPr>
              <w:t>47</w:t>
            </w:r>
            <w:r w:rsidRPr="0054406E">
              <w:rPr>
                <w:sz w:val="20"/>
              </w:rPr>
              <w:t>.</w:t>
            </w:r>
            <w:r>
              <w:rPr>
                <w:sz w:val="20"/>
              </w:rPr>
              <w:t>6</w:t>
            </w:r>
            <w:r w:rsidRPr="0054406E">
              <w:rPr>
                <w:sz w:val="20"/>
              </w:rPr>
              <w:t>%</w:t>
            </w:r>
          </w:p>
        </w:tc>
      </w:tr>
      <w:tr w:rsidR="007761F5" w:rsidRPr="00014C49" w:rsidTr="00E75CA2">
        <w:trPr>
          <w:jc w:val="center"/>
        </w:trPr>
        <w:tc>
          <w:tcPr>
            <w:tcW w:w="2376" w:type="dxa"/>
            <w:shd w:val="clear" w:color="auto" w:fill="F2F2F2"/>
          </w:tcPr>
          <w:p w:rsidR="007761F5" w:rsidRPr="00CE7DEF" w:rsidRDefault="007761F5" w:rsidP="007761F5">
            <w:pPr>
              <w:rPr>
                <w:b/>
                <w:sz w:val="20"/>
              </w:rPr>
            </w:pPr>
            <w:r w:rsidRPr="00CE7DEF">
              <w:rPr>
                <w:b/>
                <w:sz w:val="20"/>
              </w:rPr>
              <w:t>Unofficial contact points</w:t>
            </w:r>
          </w:p>
        </w:tc>
        <w:tc>
          <w:tcPr>
            <w:tcW w:w="2268" w:type="dxa"/>
            <w:vAlign w:val="center"/>
          </w:tcPr>
          <w:p w:rsidR="007761F5" w:rsidRPr="00761D16" w:rsidRDefault="007761F5" w:rsidP="007761F5">
            <w:pPr>
              <w:jc w:val="center"/>
              <w:rPr>
                <w:sz w:val="20"/>
              </w:rPr>
            </w:pPr>
            <w:r w:rsidRPr="00761D16">
              <w:rPr>
                <w:sz w:val="20"/>
              </w:rPr>
              <w:t>8</w:t>
            </w:r>
          </w:p>
        </w:tc>
        <w:tc>
          <w:tcPr>
            <w:tcW w:w="2127" w:type="dxa"/>
            <w:vMerge/>
            <w:vAlign w:val="center"/>
          </w:tcPr>
          <w:p w:rsidR="007761F5" w:rsidRPr="00014C49" w:rsidRDefault="007761F5" w:rsidP="007761F5">
            <w:pPr>
              <w:jc w:val="center"/>
              <w:rPr>
                <w:sz w:val="20"/>
                <w:highlight w:val="yellow"/>
              </w:rPr>
            </w:pPr>
          </w:p>
        </w:tc>
        <w:tc>
          <w:tcPr>
            <w:tcW w:w="1949" w:type="dxa"/>
            <w:vMerge/>
            <w:vAlign w:val="center"/>
          </w:tcPr>
          <w:p w:rsidR="007761F5" w:rsidRPr="00014C49" w:rsidRDefault="007761F5" w:rsidP="007761F5">
            <w:pPr>
              <w:jc w:val="center"/>
              <w:rPr>
                <w:sz w:val="20"/>
                <w:highlight w:val="yellow"/>
              </w:rPr>
            </w:pPr>
          </w:p>
        </w:tc>
      </w:tr>
      <w:tr w:rsidR="007761F5" w:rsidRPr="00014C49" w:rsidTr="00E75CA2">
        <w:trPr>
          <w:jc w:val="center"/>
        </w:trPr>
        <w:tc>
          <w:tcPr>
            <w:tcW w:w="2376" w:type="dxa"/>
            <w:tcBorders>
              <w:bottom w:val="single" w:sz="4" w:space="0" w:color="auto"/>
            </w:tcBorders>
            <w:shd w:val="clear" w:color="auto" w:fill="F2F2F2"/>
          </w:tcPr>
          <w:p w:rsidR="007761F5" w:rsidRPr="00CE7DEF" w:rsidRDefault="007761F5" w:rsidP="007761F5">
            <w:pPr>
              <w:rPr>
                <w:b/>
                <w:sz w:val="20"/>
              </w:rPr>
            </w:pPr>
            <w:r w:rsidRPr="00CE7DEF">
              <w:rPr>
                <w:b/>
                <w:sz w:val="20"/>
              </w:rPr>
              <w:t>Editors</w:t>
            </w:r>
          </w:p>
        </w:tc>
        <w:tc>
          <w:tcPr>
            <w:tcW w:w="2268" w:type="dxa"/>
            <w:tcBorders>
              <w:bottom w:val="single" w:sz="4" w:space="0" w:color="auto"/>
            </w:tcBorders>
            <w:vAlign w:val="center"/>
          </w:tcPr>
          <w:p w:rsidR="007761F5" w:rsidRPr="00761D16" w:rsidRDefault="007761F5" w:rsidP="007761F5">
            <w:pPr>
              <w:jc w:val="center"/>
              <w:rPr>
                <w:sz w:val="20"/>
              </w:rPr>
            </w:pPr>
            <w:r w:rsidRPr="00761D16">
              <w:rPr>
                <w:sz w:val="20"/>
              </w:rPr>
              <w:t>205</w:t>
            </w:r>
          </w:p>
        </w:tc>
        <w:tc>
          <w:tcPr>
            <w:tcW w:w="2127" w:type="dxa"/>
            <w:tcBorders>
              <w:bottom w:val="single" w:sz="4" w:space="0" w:color="auto"/>
            </w:tcBorders>
            <w:vAlign w:val="center"/>
          </w:tcPr>
          <w:p w:rsidR="007761F5" w:rsidRPr="00014C49" w:rsidRDefault="007761F5" w:rsidP="007761F5">
            <w:pPr>
              <w:jc w:val="center"/>
              <w:rPr>
                <w:sz w:val="20"/>
                <w:highlight w:val="yellow"/>
              </w:rPr>
            </w:pPr>
          </w:p>
        </w:tc>
        <w:tc>
          <w:tcPr>
            <w:tcW w:w="1949" w:type="dxa"/>
            <w:tcBorders>
              <w:bottom w:val="single" w:sz="4" w:space="0" w:color="auto"/>
            </w:tcBorders>
            <w:vAlign w:val="center"/>
          </w:tcPr>
          <w:p w:rsidR="007761F5" w:rsidRPr="00014C49" w:rsidRDefault="007761F5" w:rsidP="007761F5">
            <w:pPr>
              <w:jc w:val="center"/>
              <w:rPr>
                <w:sz w:val="20"/>
                <w:highlight w:val="yellow"/>
              </w:rPr>
            </w:pPr>
          </w:p>
        </w:tc>
      </w:tr>
      <w:tr w:rsidR="007761F5" w:rsidRPr="00014C49" w:rsidTr="00E75CA2">
        <w:trPr>
          <w:jc w:val="center"/>
        </w:trPr>
        <w:tc>
          <w:tcPr>
            <w:tcW w:w="8720" w:type="dxa"/>
            <w:gridSpan w:val="4"/>
            <w:tcBorders>
              <w:bottom w:val="single" w:sz="4" w:space="0" w:color="auto"/>
            </w:tcBorders>
            <w:shd w:val="clear" w:color="auto" w:fill="A6A6A6"/>
          </w:tcPr>
          <w:p w:rsidR="007761F5" w:rsidRPr="00761D16" w:rsidRDefault="007761F5" w:rsidP="007761F5">
            <w:pPr>
              <w:jc w:val="center"/>
              <w:rPr>
                <w:szCs w:val="21"/>
              </w:rPr>
            </w:pPr>
            <w:r w:rsidRPr="00761D16">
              <w:rPr>
                <w:b/>
                <w:szCs w:val="21"/>
              </w:rPr>
              <w:t>Non Contracting Parties</w:t>
            </w:r>
          </w:p>
        </w:tc>
      </w:tr>
      <w:tr w:rsidR="007761F5" w:rsidRPr="00014C49" w:rsidTr="00E75CA2">
        <w:trPr>
          <w:trHeight w:val="466"/>
          <w:jc w:val="center"/>
        </w:trPr>
        <w:tc>
          <w:tcPr>
            <w:tcW w:w="2376" w:type="dxa"/>
            <w:shd w:val="clear" w:color="auto" w:fill="F2F2F2"/>
          </w:tcPr>
          <w:p w:rsidR="007761F5" w:rsidRPr="00CE7DEF" w:rsidRDefault="007761F5" w:rsidP="007761F5">
            <w:pPr>
              <w:rPr>
                <w:sz w:val="20"/>
              </w:rPr>
            </w:pPr>
          </w:p>
        </w:tc>
        <w:tc>
          <w:tcPr>
            <w:tcW w:w="2268" w:type="dxa"/>
            <w:shd w:val="clear" w:color="auto" w:fill="F2F2F2"/>
          </w:tcPr>
          <w:p w:rsidR="007761F5" w:rsidRPr="00761D16" w:rsidRDefault="007761F5" w:rsidP="007761F5">
            <w:pPr>
              <w:jc w:val="center"/>
              <w:rPr>
                <w:b/>
                <w:sz w:val="20"/>
              </w:rPr>
            </w:pPr>
            <w:r w:rsidRPr="00761D16">
              <w:rPr>
                <w:b/>
                <w:sz w:val="20"/>
              </w:rPr>
              <w:t># Sept 2012</w:t>
            </w:r>
          </w:p>
        </w:tc>
        <w:tc>
          <w:tcPr>
            <w:tcW w:w="2127" w:type="dxa"/>
            <w:shd w:val="clear" w:color="auto" w:fill="F2F2F2"/>
          </w:tcPr>
          <w:p w:rsidR="007761F5" w:rsidRPr="00CE7DEF" w:rsidRDefault="007761F5" w:rsidP="007761F5">
            <w:pPr>
              <w:jc w:val="center"/>
              <w:rPr>
                <w:b/>
                <w:sz w:val="20"/>
              </w:rPr>
            </w:pPr>
            <w:r w:rsidRPr="00CE7DEF">
              <w:rPr>
                <w:b/>
                <w:sz w:val="20"/>
              </w:rPr>
              <w:t>% Changed</w:t>
            </w:r>
          </w:p>
        </w:tc>
        <w:tc>
          <w:tcPr>
            <w:tcW w:w="1949" w:type="dxa"/>
            <w:shd w:val="clear" w:color="auto" w:fill="F2F2F2"/>
          </w:tcPr>
          <w:p w:rsidR="007761F5" w:rsidRPr="00CE7DEF" w:rsidRDefault="007761F5" w:rsidP="007761F5">
            <w:pPr>
              <w:jc w:val="center"/>
              <w:rPr>
                <w:b/>
                <w:sz w:val="20"/>
              </w:rPr>
            </w:pPr>
            <w:r w:rsidRPr="00CE7DEF">
              <w:rPr>
                <w:b/>
                <w:sz w:val="20"/>
              </w:rPr>
              <w:t>% Updated</w:t>
            </w:r>
          </w:p>
        </w:tc>
      </w:tr>
      <w:tr w:rsidR="007761F5" w:rsidRPr="00014C49" w:rsidTr="00E75CA2">
        <w:trPr>
          <w:jc w:val="center"/>
        </w:trPr>
        <w:tc>
          <w:tcPr>
            <w:tcW w:w="2376" w:type="dxa"/>
            <w:shd w:val="clear" w:color="auto" w:fill="F2F2F2"/>
          </w:tcPr>
          <w:p w:rsidR="007761F5" w:rsidRPr="00CE7DEF" w:rsidRDefault="007761F5" w:rsidP="007761F5">
            <w:pPr>
              <w:rPr>
                <w:b/>
                <w:sz w:val="20"/>
              </w:rPr>
            </w:pPr>
            <w:r w:rsidRPr="00CE7DEF">
              <w:rPr>
                <w:b/>
                <w:sz w:val="20"/>
              </w:rPr>
              <w:t>Information points</w:t>
            </w:r>
          </w:p>
        </w:tc>
        <w:tc>
          <w:tcPr>
            <w:tcW w:w="2268" w:type="dxa"/>
            <w:vAlign w:val="center"/>
          </w:tcPr>
          <w:p w:rsidR="007761F5" w:rsidRPr="00761D16" w:rsidRDefault="007761F5" w:rsidP="007761F5">
            <w:pPr>
              <w:jc w:val="center"/>
              <w:rPr>
                <w:sz w:val="20"/>
              </w:rPr>
            </w:pPr>
            <w:r w:rsidRPr="00761D16">
              <w:rPr>
                <w:sz w:val="20"/>
              </w:rPr>
              <w:t>16</w:t>
            </w:r>
          </w:p>
        </w:tc>
        <w:tc>
          <w:tcPr>
            <w:tcW w:w="2127" w:type="dxa"/>
            <w:vAlign w:val="center"/>
          </w:tcPr>
          <w:p w:rsidR="007761F5" w:rsidRPr="0054406E" w:rsidRDefault="007761F5" w:rsidP="007761F5">
            <w:pPr>
              <w:jc w:val="center"/>
              <w:rPr>
                <w:sz w:val="20"/>
              </w:rPr>
            </w:pPr>
            <w:r w:rsidRPr="0054406E">
              <w:rPr>
                <w:sz w:val="20"/>
              </w:rPr>
              <w:t>6.2%</w:t>
            </w:r>
          </w:p>
        </w:tc>
        <w:tc>
          <w:tcPr>
            <w:tcW w:w="1949" w:type="dxa"/>
            <w:vAlign w:val="center"/>
          </w:tcPr>
          <w:p w:rsidR="007761F5" w:rsidRPr="0054406E" w:rsidRDefault="007761F5" w:rsidP="007761F5">
            <w:pPr>
              <w:jc w:val="center"/>
              <w:rPr>
                <w:sz w:val="20"/>
              </w:rPr>
            </w:pPr>
            <w:r w:rsidRPr="0054406E">
              <w:rPr>
                <w:sz w:val="20"/>
              </w:rPr>
              <w:t>12.4%</w:t>
            </w:r>
          </w:p>
        </w:tc>
      </w:tr>
      <w:tr w:rsidR="007761F5" w:rsidRPr="00014C49" w:rsidTr="00E75CA2">
        <w:trPr>
          <w:jc w:val="center"/>
        </w:trPr>
        <w:tc>
          <w:tcPr>
            <w:tcW w:w="2376" w:type="dxa"/>
            <w:tcBorders>
              <w:bottom w:val="single" w:sz="4" w:space="0" w:color="auto"/>
            </w:tcBorders>
            <w:shd w:val="clear" w:color="auto" w:fill="F2F2F2"/>
          </w:tcPr>
          <w:p w:rsidR="007761F5" w:rsidRPr="00CE7DEF" w:rsidRDefault="007761F5" w:rsidP="007761F5">
            <w:pPr>
              <w:rPr>
                <w:b/>
                <w:sz w:val="20"/>
              </w:rPr>
            </w:pPr>
            <w:r w:rsidRPr="00CE7DEF">
              <w:rPr>
                <w:b/>
                <w:sz w:val="20"/>
              </w:rPr>
              <w:t>Editors</w:t>
            </w:r>
          </w:p>
        </w:tc>
        <w:tc>
          <w:tcPr>
            <w:tcW w:w="2268" w:type="dxa"/>
            <w:tcBorders>
              <w:bottom w:val="single" w:sz="4" w:space="0" w:color="auto"/>
            </w:tcBorders>
            <w:vAlign w:val="center"/>
          </w:tcPr>
          <w:p w:rsidR="007761F5" w:rsidRPr="00761D16" w:rsidRDefault="007761F5" w:rsidP="007761F5">
            <w:pPr>
              <w:jc w:val="center"/>
              <w:rPr>
                <w:sz w:val="20"/>
              </w:rPr>
            </w:pPr>
            <w:r w:rsidRPr="00761D16">
              <w:rPr>
                <w:sz w:val="20"/>
              </w:rPr>
              <w:t>9</w:t>
            </w:r>
          </w:p>
        </w:tc>
        <w:tc>
          <w:tcPr>
            <w:tcW w:w="2127" w:type="dxa"/>
            <w:tcBorders>
              <w:bottom w:val="single" w:sz="4" w:space="0" w:color="auto"/>
            </w:tcBorders>
            <w:vAlign w:val="center"/>
          </w:tcPr>
          <w:p w:rsidR="007761F5" w:rsidRPr="00014C49" w:rsidRDefault="007761F5" w:rsidP="007761F5">
            <w:pPr>
              <w:jc w:val="center"/>
              <w:rPr>
                <w:sz w:val="20"/>
                <w:highlight w:val="yellow"/>
              </w:rPr>
            </w:pPr>
          </w:p>
        </w:tc>
        <w:tc>
          <w:tcPr>
            <w:tcW w:w="1949" w:type="dxa"/>
            <w:tcBorders>
              <w:bottom w:val="single" w:sz="4" w:space="0" w:color="auto"/>
            </w:tcBorders>
            <w:vAlign w:val="center"/>
          </w:tcPr>
          <w:p w:rsidR="007761F5" w:rsidRPr="00014C49" w:rsidRDefault="007761F5" w:rsidP="007761F5">
            <w:pPr>
              <w:jc w:val="center"/>
              <w:rPr>
                <w:sz w:val="20"/>
                <w:highlight w:val="yellow"/>
              </w:rPr>
            </w:pPr>
          </w:p>
        </w:tc>
      </w:tr>
      <w:tr w:rsidR="007761F5" w:rsidRPr="00014C49" w:rsidTr="00E75CA2">
        <w:trPr>
          <w:jc w:val="center"/>
        </w:trPr>
        <w:tc>
          <w:tcPr>
            <w:tcW w:w="8720" w:type="dxa"/>
            <w:gridSpan w:val="4"/>
            <w:tcBorders>
              <w:bottom w:val="single" w:sz="4" w:space="0" w:color="auto"/>
            </w:tcBorders>
            <w:shd w:val="clear" w:color="auto" w:fill="A6A6A6"/>
          </w:tcPr>
          <w:p w:rsidR="007761F5" w:rsidRPr="00CE7DEF" w:rsidRDefault="007761F5" w:rsidP="007761F5">
            <w:pPr>
              <w:jc w:val="center"/>
              <w:rPr>
                <w:b/>
                <w:szCs w:val="21"/>
              </w:rPr>
            </w:pPr>
            <w:r w:rsidRPr="00CE7DEF">
              <w:rPr>
                <w:b/>
                <w:szCs w:val="21"/>
              </w:rPr>
              <w:t>Registered Users</w:t>
            </w:r>
          </w:p>
        </w:tc>
      </w:tr>
      <w:tr w:rsidR="007761F5" w:rsidRPr="00014C49" w:rsidTr="00E75CA2">
        <w:trPr>
          <w:jc w:val="center"/>
        </w:trPr>
        <w:tc>
          <w:tcPr>
            <w:tcW w:w="2376" w:type="dxa"/>
            <w:tcBorders>
              <w:bottom w:val="single" w:sz="4" w:space="0" w:color="auto"/>
            </w:tcBorders>
            <w:shd w:val="clear" w:color="auto" w:fill="F2F2F2"/>
          </w:tcPr>
          <w:p w:rsidR="007761F5" w:rsidRPr="00CE7DEF" w:rsidRDefault="007761F5" w:rsidP="007761F5">
            <w:pPr>
              <w:rPr>
                <w:sz w:val="20"/>
              </w:rPr>
            </w:pPr>
          </w:p>
        </w:tc>
        <w:tc>
          <w:tcPr>
            <w:tcW w:w="2268" w:type="dxa"/>
            <w:tcBorders>
              <w:bottom w:val="single" w:sz="4" w:space="0" w:color="auto"/>
            </w:tcBorders>
            <w:shd w:val="clear" w:color="auto" w:fill="F2F2F2"/>
          </w:tcPr>
          <w:p w:rsidR="007761F5" w:rsidRPr="00CE7DEF" w:rsidRDefault="007761F5" w:rsidP="007761F5">
            <w:pPr>
              <w:jc w:val="center"/>
              <w:rPr>
                <w:sz w:val="20"/>
              </w:rPr>
            </w:pPr>
            <w:r w:rsidRPr="00CE7DEF">
              <w:rPr>
                <w:b/>
                <w:sz w:val="20"/>
              </w:rPr>
              <w:t># in 2012</w:t>
            </w:r>
          </w:p>
        </w:tc>
        <w:tc>
          <w:tcPr>
            <w:tcW w:w="2127" w:type="dxa"/>
            <w:tcBorders>
              <w:bottom w:val="single" w:sz="4" w:space="0" w:color="auto"/>
            </w:tcBorders>
            <w:shd w:val="clear" w:color="auto" w:fill="F2F2F2"/>
          </w:tcPr>
          <w:p w:rsidR="007761F5" w:rsidRPr="00CE7DEF" w:rsidRDefault="007761F5" w:rsidP="007761F5">
            <w:pPr>
              <w:jc w:val="center"/>
              <w:rPr>
                <w:b/>
                <w:sz w:val="20"/>
              </w:rPr>
            </w:pPr>
            <w:r w:rsidRPr="00CE7DEF">
              <w:rPr>
                <w:b/>
                <w:sz w:val="20"/>
              </w:rPr>
              <w:t>% Increase in 2012</w:t>
            </w:r>
          </w:p>
        </w:tc>
        <w:tc>
          <w:tcPr>
            <w:tcW w:w="1949" w:type="dxa"/>
            <w:tcBorders>
              <w:bottom w:val="single" w:sz="4" w:space="0" w:color="auto"/>
            </w:tcBorders>
            <w:shd w:val="clear" w:color="auto" w:fill="F2F2F2"/>
          </w:tcPr>
          <w:p w:rsidR="007761F5" w:rsidRPr="00CE7DEF" w:rsidRDefault="007761F5" w:rsidP="007761F5">
            <w:pPr>
              <w:jc w:val="center"/>
              <w:rPr>
                <w:sz w:val="20"/>
              </w:rPr>
            </w:pPr>
            <w:r w:rsidRPr="00CE7DEF">
              <w:rPr>
                <w:b/>
                <w:sz w:val="20"/>
              </w:rPr>
              <w:t># in 2012</w:t>
            </w:r>
          </w:p>
        </w:tc>
      </w:tr>
      <w:tr w:rsidR="007761F5" w:rsidRPr="00014C49" w:rsidTr="00E75CA2">
        <w:trPr>
          <w:jc w:val="center"/>
        </w:trPr>
        <w:tc>
          <w:tcPr>
            <w:tcW w:w="2376" w:type="dxa"/>
            <w:tcBorders>
              <w:bottom w:val="single" w:sz="4" w:space="0" w:color="auto"/>
            </w:tcBorders>
            <w:shd w:val="clear" w:color="auto" w:fill="F2F2F2"/>
          </w:tcPr>
          <w:p w:rsidR="007761F5" w:rsidRPr="00CE7DEF" w:rsidRDefault="007761F5" w:rsidP="007761F5">
            <w:pPr>
              <w:rPr>
                <w:b/>
                <w:sz w:val="20"/>
              </w:rPr>
            </w:pPr>
            <w:r w:rsidRPr="00CE7DEF">
              <w:rPr>
                <w:b/>
                <w:sz w:val="20"/>
              </w:rPr>
              <w:t>Total Users</w:t>
            </w:r>
          </w:p>
        </w:tc>
        <w:tc>
          <w:tcPr>
            <w:tcW w:w="2268" w:type="dxa"/>
            <w:tcBorders>
              <w:bottom w:val="single" w:sz="4" w:space="0" w:color="auto"/>
            </w:tcBorders>
          </w:tcPr>
          <w:p w:rsidR="007761F5" w:rsidRPr="00014C49" w:rsidRDefault="007761F5" w:rsidP="007761F5">
            <w:pPr>
              <w:jc w:val="center"/>
              <w:rPr>
                <w:sz w:val="20"/>
                <w:highlight w:val="yellow"/>
              </w:rPr>
            </w:pPr>
            <w:r w:rsidRPr="00761D16">
              <w:rPr>
                <w:sz w:val="20"/>
              </w:rPr>
              <w:t>1126</w:t>
            </w:r>
          </w:p>
        </w:tc>
        <w:tc>
          <w:tcPr>
            <w:tcW w:w="2127" w:type="dxa"/>
            <w:tcBorders>
              <w:bottom w:val="single" w:sz="4" w:space="0" w:color="auto"/>
            </w:tcBorders>
          </w:tcPr>
          <w:p w:rsidR="007761F5" w:rsidRPr="00761D16" w:rsidRDefault="007761F5" w:rsidP="007761F5">
            <w:pPr>
              <w:jc w:val="center"/>
              <w:rPr>
                <w:sz w:val="20"/>
              </w:rPr>
            </w:pPr>
            <w:r w:rsidRPr="00761D16">
              <w:rPr>
                <w:sz w:val="20"/>
              </w:rPr>
              <w:t>07.9%</w:t>
            </w:r>
          </w:p>
        </w:tc>
        <w:tc>
          <w:tcPr>
            <w:tcW w:w="1949" w:type="dxa"/>
            <w:tcBorders>
              <w:bottom w:val="single" w:sz="4" w:space="0" w:color="auto"/>
            </w:tcBorders>
          </w:tcPr>
          <w:p w:rsidR="007761F5" w:rsidRPr="00014C49" w:rsidRDefault="007761F5" w:rsidP="007761F5">
            <w:pPr>
              <w:jc w:val="center"/>
              <w:rPr>
                <w:sz w:val="20"/>
                <w:highlight w:val="yellow"/>
              </w:rPr>
            </w:pPr>
            <w:r w:rsidRPr="0025564C">
              <w:rPr>
                <w:sz w:val="20"/>
              </w:rPr>
              <w:t>89</w:t>
            </w:r>
          </w:p>
        </w:tc>
      </w:tr>
    </w:tbl>
    <w:p w:rsidR="007761F5" w:rsidRPr="00014C49" w:rsidRDefault="007761F5" w:rsidP="007761F5">
      <w:pPr>
        <w:rPr>
          <w:highlight w:val="yellow"/>
        </w:rPr>
      </w:pPr>
    </w:p>
    <w:p w:rsidR="007761F5" w:rsidRPr="00CE7DEF" w:rsidRDefault="007761F5" w:rsidP="00E75CA2">
      <w:pPr>
        <w:pStyle w:val="NewPara"/>
        <w:numPr>
          <w:ilvl w:val="0"/>
          <w:numId w:val="17"/>
        </w:numPr>
      </w:pPr>
      <w:r w:rsidRPr="00CE7DEF">
        <w:t>Table 3 provides statistics on the amount of new and updated information on the IPP by both countries and the Secretariat. This shows a steady growth in information made available by some NPPOs in meeting their information exchange obligations as stipulated in the IPPC, but the total number of countries reporting has unfortunately not increased.</w:t>
      </w:r>
    </w:p>
    <w:p w:rsidR="007761F5" w:rsidRPr="00014C49" w:rsidRDefault="007761F5" w:rsidP="007761F5">
      <w:pPr>
        <w:rPr>
          <w:highlight w:val="yellow"/>
        </w:rPr>
      </w:pPr>
    </w:p>
    <w:p w:rsidR="007761F5" w:rsidRDefault="007761F5" w:rsidP="00E75CA2">
      <w:pPr>
        <w:pStyle w:val="IPPArial"/>
        <w:jc w:val="center"/>
        <w:rPr>
          <w:b/>
          <w:bCs/>
          <w:szCs w:val="22"/>
        </w:rPr>
      </w:pPr>
      <w:r w:rsidRPr="00E75CA2">
        <w:rPr>
          <w:b/>
          <w:bCs/>
          <w:szCs w:val="22"/>
        </w:rPr>
        <w:t>Table 3: New and updated phytosanitary information maintained by NPPOs</w:t>
      </w:r>
      <w:r w:rsidR="00E75CA2">
        <w:rPr>
          <w:b/>
          <w:bCs/>
          <w:szCs w:val="22"/>
        </w:rPr>
        <w:t xml:space="preserve"> and the Secretariat in the IPP</w:t>
      </w:r>
    </w:p>
    <w:p w:rsidR="00E75CA2" w:rsidRPr="00E75CA2" w:rsidRDefault="00E75CA2" w:rsidP="00E75CA2">
      <w:pPr>
        <w:pStyle w:val="IPPArial"/>
        <w:jc w:val="cente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843"/>
        <w:gridCol w:w="1701"/>
        <w:gridCol w:w="1524"/>
      </w:tblGrid>
      <w:tr w:rsidR="007761F5" w:rsidRPr="00014C49" w:rsidTr="007761F5">
        <w:tc>
          <w:tcPr>
            <w:tcW w:w="8612" w:type="dxa"/>
            <w:gridSpan w:val="5"/>
            <w:tcBorders>
              <w:bottom w:val="single" w:sz="4" w:space="0" w:color="auto"/>
            </w:tcBorders>
            <w:shd w:val="clear" w:color="auto" w:fill="A6A6A6"/>
          </w:tcPr>
          <w:p w:rsidR="007761F5" w:rsidRPr="004728B9" w:rsidRDefault="007761F5" w:rsidP="007761F5">
            <w:pPr>
              <w:jc w:val="center"/>
              <w:rPr>
                <w:b/>
              </w:rPr>
            </w:pPr>
            <w:r w:rsidRPr="004728B9">
              <w:rPr>
                <w:b/>
              </w:rPr>
              <w:t>Updates/change on IPP</w:t>
            </w:r>
          </w:p>
        </w:tc>
      </w:tr>
      <w:tr w:rsidR="007761F5" w:rsidRPr="00014C49" w:rsidTr="007761F5">
        <w:tc>
          <w:tcPr>
            <w:tcW w:w="1843" w:type="dxa"/>
            <w:shd w:val="clear" w:color="auto" w:fill="F2F2F2"/>
          </w:tcPr>
          <w:p w:rsidR="007761F5" w:rsidRPr="00014C49" w:rsidRDefault="007761F5" w:rsidP="007761F5">
            <w:pPr>
              <w:jc w:val="center"/>
              <w:rPr>
                <w:b/>
                <w:highlight w:val="yellow"/>
              </w:rPr>
            </w:pPr>
          </w:p>
        </w:tc>
        <w:tc>
          <w:tcPr>
            <w:tcW w:w="1701" w:type="dxa"/>
            <w:shd w:val="clear" w:color="auto" w:fill="F2F2F2"/>
            <w:vAlign w:val="center"/>
          </w:tcPr>
          <w:p w:rsidR="007761F5" w:rsidRPr="004728B9" w:rsidRDefault="007761F5" w:rsidP="007761F5">
            <w:pPr>
              <w:jc w:val="center"/>
              <w:rPr>
                <w:b/>
              </w:rPr>
            </w:pPr>
            <w:r w:rsidRPr="004728B9">
              <w:rPr>
                <w:b/>
              </w:rPr>
              <w:t># in 2011</w:t>
            </w:r>
          </w:p>
        </w:tc>
        <w:tc>
          <w:tcPr>
            <w:tcW w:w="1843" w:type="dxa"/>
            <w:shd w:val="clear" w:color="auto" w:fill="F2F2F2"/>
            <w:vAlign w:val="center"/>
          </w:tcPr>
          <w:p w:rsidR="007761F5" w:rsidRPr="004728B9" w:rsidRDefault="007761F5" w:rsidP="007761F5">
            <w:pPr>
              <w:jc w:val="center"/>
              <w:rPr>
                <w:b/>
              </w:rPr>
            </w:pPr>
            <w:r w:rsidRPr="004728B9">
              <w:rPr>
                <w:b/>
              </w:rPr>
              <w:t>% Increase / decrease</w:t>
            </w:r>
          </w:p>
        </w:tc>
        <w:tc>
          <w:tcPr>
            <w:tcW w:w="1701" w:type="dxa"/>
            <w:shd w:val="clear" w:color="auto" w:fill="F2F2F2"/>
            <w:vAlign w:val="center"/>
          </w:tcPr>
          <w:p w:rsidR="007761F5" w:rsidRPr="004728B9" w:rsidRDefault="007761F5" w:rsidP="007761F5">
            <w:pPr>
              <w:jc w:val="center"/>
              <w:rPr>
                <w:b/>
              </w:rPr>
            </w:pPr>
            <w:r w:rsidRPr="004728B9">
              <w:rPr>
                <w:b/>
              </w:rPr>
              <w:t xml:space="preserve"># </w:t>
            </w:r>
            <w:r>
              <w:rPr>
                <w:b/>
              </w:rPr>
              <w:t>to</w:t>
            </w:r>
            <w:r w:rsidRPr="004728B9">
              <w:rPr>
                <w:b/>
              </w:rPr>
              <w:t xml:space="preserve"> </w:t>
            </w:r>
            <w:r>
              <w:rPr>
                <w:b/>
              </w:rPr>
              <w:t xml:space="preserve">1 Oct. </w:t>
            </w:r>
            <w:r w:rsidRPr="004728B9">
              <w:rPr>
                <w:b/>
              </w:rPr>
              <w:t>201</w:t>
            </w:r>
            <w:r>
              <w:rPr>
                <w:b/>
              </w:rPr>
              <w:t>2</w:t>
            </w:r>
          </w:p>
        </w:tc>
        <w:tc>
          <w:tcPr>
            <w:tcW w:w="1524" w:type="dxa"/>
            <w:shd w:val="clear" w:color="auto" w:fill="F2F2F2"/>
            <w:vAlign w:val="center"/>
          </w:tcPr>
          <w:p w:rsidR="007761F5" w:rsidRPr="004728B9" w:rsidRDefault="007761F5" w:rsidP="007761F5">
            <w:pPr>
              <w:jc w:val="center"/>
              <w:rPr>
                <w:b/>
              </w:rPr>
            </w:pPr>
            <w:r w:rsidRPr="004728B9">
              <w:rPr>
                <w:b/>
              </w:rPr>
              <w:t>Total</w:t>
            </w:r>
          </w:p>
        </w:tc>
      </w:tr>
      <w:tr w:rsidR="007761F5" w:rsidRPr="00014C49" w:rsidTr="007761F5">
        <w:tc>
          <w:tcPr>
            <w:tcW w:w="1843" w:type="dxa"/>
            <w:shd w:val="clear" w:color="auto" w:fill="F2F2F2"/>
          </w:tcPr>
          <w:p w:rsidR="007761F5" w:rsidRPr="004728B9" w:rsidRDefault="007761F5" w:rsidP="007761F5">
            <w:pPr>
              <w:rPr>
                <w:b/>
              </w:rPr>
            </w:pPr>
            <w:r w:rsidRPr="004728B9">
              <w:rPr>
                <w:b/>
              </w:rPr>
              <w:t>Countries</w:t>
            </w:r>
          </w:p>
        </w:tc>
        <w:tc>
          <w:tcPr>
            <w:tcW w:w="6769" w:type="dxa"/>
            <w:gridSpan w:val="4"/>
          </w:tcPr>
          <w:p w:rsidR="007761F5" w:rsidRPr="00014C49" w:rsidRDefault="007761F5" w:rsidP="007761F5">
            <w:pPr>
              <w:rPr>
                <w:highlight w:val="yellow"/>
              </w:rPr>
            </w:pPr>
          </w:p>
        </w:tc>
      </w:tr>
      <w:tr w:rsidR="007761F5" w:rsidRPr="00014C49" w:rsidTr="007761F5">
        <w:tc>
          <w:tcPr>
            <w:tcW w:w="1843" w:type="dxa"/>
            <w:shd w:val="clear" w:color="auto" w:fill="F2F2F2"/>
          </w:tcPr>
          <w:p w:rsidR="007761F5" w:rsidRPr="004728B9" w:rsidRDefault="007761F5" w:rsidP="007761F5">
            <w:pPr>
              <w:jc w:val="right"/>
              <w:rPr>
                <w:b/>
              </w:rPr>
            </w:pPr>
            <w:r w:rsidRPr="004728B9">
              <w:rPr>
                <w:b/>
              </w:rPr>
              <w:t>New</w:t>
            </w:r>
          </w:p>
        </w:tc>
        <w:tc>
          <w:tcPr>
            <w:tcW w:w="1701" w:type="dxa"/>
          </w:tcPr>
          <w:p w:rsidR="007761F5" w:rsidRPr="0025564C" w:rsidRDefault="007761F5" w:rsidP="007761F5">
            <w:pPr>
              <w:jc w:val="center"/>
            </w:pPr>
            <w:r w:rsidRPr="0025564C">
              <w:t>227</w:t>
            </w:r>
          </w:p>
        </w:tc>
        <w:tc>
          <w:tcPr>
            <w:tcW w:w="1843" w:type="dxa"/>
          </w:tcPr>
          <w:p w:rsidR="007761F5" w:rsidRPr="00E11453" w:rsidRDefault="007761F5" w:rsidP="007761F5">
            <w:pPr>
              <w:jc w:val="center"/>
            </w:pPr>
            <w:r w:rsidRPr="00E11453">
              <w:t>13.0%</w:t>
            </w:r>
          </w:p>
        </w:tc>
        <w:tc>
          <w:tcPr>
            <w:tcW w:w="1701" w:type="dxa"/>
          </w:tcPr>
          <w:p w:rsidR="007761F5" w:rsidRPr="0025564C" w:rsidRDefault="007761F5" w:rsidP="007761F5">
            <w:pPr>
              <w:jc w:val="center"/>
            </w:pPr>
            <w:r w:rsidRPr="0025564C">
              <w:t>229</w:t>
            </w:r>
          </w:p>
        </w:tc>
        <w:tc>
          <w:tcPr>
            <w:tcW w:w="1524" w:type="dxa"/>
          </w:tcPr>
          <w:p w:rsidR="007761F5" w:rsidRPr="0025564C" w:rsidRDefault="007761F5" w:rsidP="007761F5">
            <w:pPr>
              <w:jc w:val="center"/>
            </w:pPr>
            <w:r w:rsidRPr="0025564C">
              <w:t>1761</w:t>
            </w:r>
          </w:p>
        </w:tc>
      </w:tr>
      <w:tr w:rsidR="007761F5" w:rsidRPr="00014C49" w:rsidTr="007761F5">
        <w:tc>
          <w:tcPr>
            <w:tcW w:w="1843" w:type="dxa"/>
            <w:tcBorders>
              <w:bottom w:val="single" w:sz="4" w:space="0" w:color="auto"/>
            </w:tcBorders>
            <w:shd w:val="clear" w:color="auto" w:fill="F2F2F2"/>
          </w:tcPr>
          <w:p w:rsidR="007761F5" w:rsidRPr="004728B9" w:rsidRDefault="007761F5" w:rsidP="007761F5">
            <w:pPr>
              <w:jc w:val="right"/>
              <w:rPr>
                <w:b/>
              </w:rPr>
            </w:pPr>
            <w:r w:rsidRPr="004728B9">
              <w:rPr>
                <w:b/>
              </w:rPr>
              <w:t>updates</w:t>
            </w:r>
          </w:p>
        </w:tc>
        <w:tc>
          <w:tcPr>
            <w:tcW w:w="1701" w:type="dxa"/>
            <w:tcBorders>
              <w:bottom w:val="single" w:sz="4" w:space="0" w:color="auto"/>
            </w:tcBorders>
          </w:tcPr>
          <w:p w:rsidR="007761F5" w:rsidRPr="0025564C" w:rsidRDefault="007761F5" w:rsidP="007761F5">
            <w:pPr>
              <w:jc w:val="center"/>
            </w:pPr>
            <w:r w:rsidRPr="0025564C">
              <w:t>178</w:t>
            </w:r>
          </w:p>
        </w:tc>
        <w:tc>
          <w:tcPr>
            <w:tcW w:w="1843" w:type="dxa"/>
            <w:tcBorders>
              <w:bottom w:val="single" w:sz="4" w:space="0" w:color="auto"/>
            </w:tcBorders>
          </w:tcPr>
          <w:p w:rsidR="007761F5" w:rsidRPr="00014C49" w:rsidRDefault="007761F5" w:rsidP="007761F5">
            <w:pPr>
              <w:jc w:val="center"/>
              <w:rPr>
                <w:highlight w:val="yellow"/>
              </w:rPr>
            </w:pPr>
            <w:r w:rsidRPr="00E11453">
              <w:t>24.2%</w:t>
            </w:r>
          </w:p>
        </w:tc>
        <w:tc>
          <w:tcPr>
            <w:tcW w:w="1701" w:type="dxa"/>
            <w:tcBorders>
              <w:bottom w:val="single" w:sz="4" w:space="0" w:color="auto"/>
            </w:tcBorders>
          </w:tcPr>
          <w:p w:rsidR="007761F5" w:rsidRPr="0025564C" w:rsidRDefault="007761F5" w:rsidP="007761F5">
            <w:pPr>
              <w:jc w:val="center"/>
            </w:pPr>
            <w:r w:rsidRPr="0025564C">
              <w:t>191</w:t>
            </w:r>
          </w:p>
        </w:tc>
        <w:tc>
          <w:tcPr>
            <w:tcW w:w="1524" w:type="dxa"/>
            <w:tcBorders>
              <w:bottom w:val="single" w:sz="4" w:space="0" w:color="auto"/>
            </w:tcBorders>
          </w:tcPr>
          <w:p w:rsidR="007761F5" w:rsidRPr="0025564C" w:rsidRDefault="007761F5" w:rsidP="007761F5">
            <w:pPr>
              <w:jc w:val="center"/>
            </w:pPr>
            <w:r w:rsidRPr="0025564C">
              <w:t>790</w:t>
            </w:r>
          </w:p>
        </w:tc>
      </w:tr>
      <w:tr w:rsidR="007761F5" w:rsidRPr="00014C49" w:rsidTr="007761F5">
        <w:tc>
          <w:tcPr>
            <w:tcW w:w="1843" w:type="dxa"/>
            <w:tcBorders>
              <w:bottom w:val="single" w:sz="4" w:space="0" w:color="auto"/>
            </w:tcBorders>
            <w:shd w:val="clear" w:color="auto" w:fill="F2F2F2"/>
          </w:tcPr>
          <w:p w:rsidR="007761F5" w:rsidRPr="004728B9" w:rsidRDefault="007761F5" w:rsidP="007761F5">
            <w:pPr>
              <w:rPr>
                <w:b/>
              </w:rPr>
            </w:pPr>
            <w:r w:rsidRPr="004728B9">
              <w:rPr>
                <w:b/>
              </w:rPr>
              <w:t>Secretariat</w:t>
            </w:r>
          </w:p>
        </w:tc>
        <w:tc>
          <w:tcPr>
            <w:tcW w:w="6769" w:type="dxa"/>
            <w:gridSpan w:val="4"/>
            <w:tcBorders>
              <w:bottom w:val="single" w:sz="4" w:space="0" w:color="auto"/>
            </w:tcBorders>
          </w:tcPr>
          <w:p w:rsidR="007761F5" w:rsidRPr="0025564C" w:rsidRDefault="007761F5" w:rsidP="007761F5">
            <w:pPr>
              <w:jc w:val="center"/>
            </w:pPr>
          </w:p>
        </w:tc>
      </w:tr>
      <w:tr w:rsidR="007761F5" w:rsidRPr="00014C49" w:rsidTr="007761F5">
        <w:tc>
          <w:tcPr>
            <w:tcW w:w="1843" w:type="dxa"/>
            <w:tcBorders>
              <w:bottom w:val="single" w:sz="4" w:space="0" w:color="auto"/>
            </w:tcBorders>
            <w:shd w:val="clear" w:color="auto" w:fill="F2F2F2"/>
          </w:tcPr>
          <w:p w:rsidR="007761F5" w:rsidRPr="004728B9" w:rsidRDefault="007761F5" w:rsidP="007761F5">
            <w:pPr>
              <w:jc w:val="right"/>
              <w:rPr>
                <w:b/>
              </w:rPr>
            </w:pPr>
            <w:r w:rsidRPr="004728B9">
              <w:rPr>
                <w:b/>
              </w:rPr>
              <w:t>New</w:t>
            </w:r>
          </w:p>
        </w:tc>
        <w:tc>
          <w:tcPr>
            <w:tcW w:w="1701" w:type="dxa"/>
            <w:tcBorders>
              <w:bottom w:val="single" w:sz="4" w:space="0" w:color="auto"/>
            </w:tcBorders>
          </w:tcPr>
          <w:p w:rsidR="007761F5" w:rsidRPr="0025564C" w:rsidRDefault="007761F5" w:rsidP="007761F5">
            <w:pPr>
              <w:jc w:val="center"/>
            </w:pPr>
            <w:r w:rsidRPr="0025564C">
              <w:t>450</w:t>
            </w:r>
          </w:p>
        </w:tc>
        <w:tc>
          <w:tcPr>
            <w:tcW w:w="1843" w:type="dxa"/>
            <w:tcBorders>
              <w:bottom w:val="single" w:sz="4" w:space="0" w:color="auto"/>
            </w:tcBorders>
          </w:tcPr>
          <w:p w:rsidR="007761F5" w:rsidRPr="00E11453" w:rsidRDefault="007761F5" w:rsidP="007761F5">
            <w:pPr>
              <w:jc w:val="center"/>
            </w:pPr>
            <w:r w:rsidRPr="00E11453">
              <w:t>18.7%</w:t>
            </w:r>
          </w:p>
        </w:tc>
        <w:tc>
          <w:tcPr>
            <w:tcW w:w="1701" w:type="dxa"/>
            <w:tcBorders>
              <w:bottom w:val="single" w:sz="4" w:space="0" w:color="auto"/>
            </w:tcBorders>
          </w:tcPr>
          <w:p w:rsidR="007761F5" w:rsidRPr="0025564C" w:rsidRDefault="007761F5" w:rsidP="007761F5">
            <w:pPr>
              <w:jc w:val="center"/>
            </w:pPr>
            <w:r w:rsidRPr="0025564C">
              <w:t>446</w:t>
            </w:r>
          </w:p>
        </w:tc>
        <w:tc>
          <w:tcPr>
            <w:tcW w:w="1524" w:type="dxa"/>
            <w:tcBorders>
              <w:bottom w:val="single" w:sz="4" w:space="0" w:color="auto"/>
            </w:tcBorders>
          </w:tcPr>
          <w:p w:rsidR="007761F5" w:rsidRPr="0025564C" w:rsidRDefault="007761F5" w:rsidP="007761F5">
            <w:pPr>
              <w:jc w:val="center"/>
            </w:pPr>
            <w:r w:rsidRPr="0025564C">
              <w:t>3502</w:t>
            </w:r>
          </w:p>
        </w:tc>
      </w:tr>
      <w:tr w:rsidR="007761F5" w:rsidRPr="00014C49" w:rsidTr="007761F5">
        <w:tc>
          <w:tcPr>
            <w:tcW w:w="1843" w:type="dxa"/>
            <w:tcBorders>
              <w:bottom w:val="single" w:sz="4" w:space="0" w:color="auto"/>
            </w:tcBorders>
            <w:shd w:val="clear" w:color="auto" w:fill="F2F2F2"/>
          </w:tcPr>
          <w:p w:rsidR="007761F5" w:rsidRPr="004728B9" w:rsidRDefault="007761F5" w:rsidP="007761F5">
            <w:pPr>
              <w:jc w:val="right"/>
              <w:rPr>
                <w:b/>
              </w:rPr>
            </w:pPr>
            <w:r w:rsidRPr="004728B9">
              <w:rPr>
                <w:b/>
              </w:rPr>
              <w:t>updates</w:t>
            </w:r>
          </w:p>
        </w:tc>
        <w:tc>
          <w:tcPr>
            <w:tcW w:w="1701" w:type="dxa"/>
            <w:tcBorders>
              <w:bottom w:val="single" w:sz="4" w:space="0" w:color="auto"/>
            </w:tcBorders>
          </w:tcPr>
          <w:p w:rsidR="007761F5" w:rsidRPr="0025564C" w:rsidRDefault="007761F5" w:rsidP="007761F5">
            <w:pPr>
              <w:jc w:val="center"/>
            </w:pPr>
            <w:r w:rsidRPr="0025564C">
              <w:t>283</w:t>
            </w:r>
          </w:p>
        </w:tc>
        <w:tc>
          <w:tcPr>
            <w:tcW w:w="1843" w:type="dxa"/>
            <w:tcBorders>
              <w:bottom w:val="single" w:sz="4" w:space="0" w:color="auto"/>
            </w:tcBorders>
          </w:tcPr>
          <w:p w:rsidR="007761F5" w:rsidRPr="00E11453" w:rsidRDefault="007761F5" w:rsidP="007761F5">
            <w:pPr>
              <w:jc w:val="center"/>
            </w:pPr>
            <w:r w:rsidRPr="00E11453">
              <w:t>8.0%</w:t>
            </w:r>
          </w:p>
        </w:tc>
        <w:tc>
          <w:tcPr>
            <w:tcW w:w="1701" w:type="dxa"/>
            <w:tcBorders>
              <w:bottom w:val="single" w:sz="4" w:space="0" w:color="auto"/>
            </w:tcBorders>
          </w:tcPr>
          <w:p w:rsidR="007761F5" w:rsidRPr="0025564C" w:rsidRDefault="007761F5" w:rsidP="007761F5">
            <w:pPr>
              <w:jc w:val="center"/>
            </w:pPr>
            <w:r w:rsidRPr="0025564C">
              <w:t>190</w:t>
            </w:r>
          </w:p>
        </w:tc>
        <w:tc>
          <w:tcPr>
            <w:tcW w:w="1524" w:type="dxa"/>
            <w:tcBorders>
              <w:bottom w:val="single" w:sz="4" w:space="0" w:color="auto"/>
            </w:tcBorders>
          </w:tcPr>
          <w:p w:rsidR="007761F5" w:rsidRPr="0025564C" w:rsidRDefault="007761F5" w:rsidP="007761F5">
            <w:pPr>
              <w:jc w:val="center"/>
            </w:pPr>
            <w:r w:rsidRPr="0025564C">
              <w:t>2380</w:t>
            </w:r>
          </w:p>
        </w:tc>
      </w:tr>
    </w:tbl>
    <w:p w:rsidR="007761F5" w:rsidRPr="00014C49" w:rsidRDefault="007761F5" w:rsidP="007761F5">
      <w:pPr>
        <w:rPr>
          <w:highlight w:val="yellow"/>
        </w:rPr>
      </w:pPr>
    </w:p>
    <w:p w:rsidR="007761F5" w:rsidRPr="006B5762" w:rsidRDefault="007761F5" w:rsidP="00E75CA2">
      <w:pPr>
        <w:pStyle w:val="NewPara"/>
        <w:numPr>
          <w:ilvl w:val="0"/>
          <w:numId w:val="17"/>
        </w:numPr>
      </w:pPr>
      <w:r w:rsidRPr="006B5762">
        <w:t>General usage statistics continue to show growth that was supported by migration to new hardware and software platforms. There was an increase of 32 percent in the number of visits to the website, a 123 percent increase in page views, and 147 percent increase in the volume of information viewed or downloaded. There is a healthy and consistent 24 percent of users that spent more than 2 minutes on the website, i.e. they are presumed to be regular users or from the phytosanitary community.</w:t>
      </w:r>
    </w:p>
    <w:p w:rsidR="007761F5" w:rsidRPr="006B5762" w:rsidRDefault="007761F5" w:rsidP="00E75CA2">
      <w:pPr>
        <w:pStyle w:val="NewPara"/>
        <w:numPr>
          <w:ilvl w:val="0"/>
          <w:numId w:val="17"/>
        </w:numPr>
        <w:spacing w:after="180"/>
      </w:pPr>
      <w:r w:rsidRPr="006B5762">
        <w:t>The IPPC is now communicating with a broader phytosanitary community to increase awareness and profile using social media tools:</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ayout w:type="fixed"/>
        <w:tblLook w:val="04A0"/>
      </w:tblPr>
      <w:tblGrid>
        <w:gridCol w:w="1242"/>
        <w:gridCol w:w="2126"/>
        <w:gridCol w:w="5210"/>
      </w:tblGrid>
      <w:tr w:rsidR="007761F5" w:rsidRPr="006B5762" w:rsidTr="007761F5">
        <w:trPr>
          <w:jc w:val="center"/>
        </w:trPr>
        <w:tc>
          <w:tcPr>
            <w:tcW w:w="1242" w:type="dxa"/>
          </w:tcPr>
          <w:p w:rsidR="007761F5" w:rsidRPr="006B5762" w:rsidRDefault="007761F5" w:rsidP="007761F5">
            <w:pPr>
              <w:tabs>
                <w:tab w:val="center" w:pos="4536"/>
                <w:tab w:val="right" w:pos="9072"/>
              </w:tabs>
              <w:rPr>
                <w:sz w:val="20"/>
                <w:szCs w:val="20"/>
              </w:rPr>
            </w:pPr>
            <w:r w:rsidRPr="006B5762">
              <w:rPr>
                <w:b/>
                <w:sz w:val="20"/>
                <w:szCs w:val="20"/>
              </w:rPr>
              <w:t>Facebook</w:t>
            </w:r>
          </w:p>
        </w:tc>
        <w:tc>
          <w:tcPr>
            <w:tcW w:w="2126" w:type="dxa"/>
          </w:tcPr>
          <w:p w:rsidR="007761F5" w:rsidRPr="006B5762" w:rsidRDefault="007761F5" w:rsidP="007761F5">
            <w:pPr>
              <w:tabs>
                <w:tab w:val="center" w:pos="4536"/>
                <w:tab w:val="right" w:pos="9072"/>
              </w:tabs>
              <w:rPr>
                <w:sz w:val="20"/>
                <w:szCs w:val="20"/>
              </w:rPr>
            </w:pPr>
            <w:r w:rsidRPr="006B5762">
              <w:rPr>
                <w:sz w:val="20"/>
                <w:szCs w:val="20"/>
              </w:rPr>
              <w:t>broader IPPC news interaction forum</w:t>
            </w:r>
          </w:p>
        </w:tc>
        <w:tc>
          <w:tcPr>
            <w:tcW w:w="5210" w:type="dxa"/>
          </w:tcPr>
          <w:p w:rsidR="007761F5" w:rsidRPr="006B5762" w:rsidRDefault="007C3C98" w:rsidP="007761F5">
            <w:pPr>
              <w:tabs>
                <w:tab w:val="center" w:pos="4536"/>
                <w:tab w:val="right" w:pos="9072"/>
              </w:tabs>
              <w:rPr>
                <w:sz w:val="20"/>
                <w:szCs w:val="20"/>
              </w:rPr>
            </w:pPr>
            <w:hyperlink r:id="rId18" w:history="1">
              <w:r w:rsidR="007761F5" w:rsidRPr="006B5762">
                <w:rPr>
                  <w:rStyle w:val="Hyperlink"/>
                  <w:sz w:val="20"/>
                </w:rPr>
                <w:t>http://www.facebook.com/pages/IPPC-News/113230338690380</w:t>
              </w:r>
            </w:hyperlink>
          </w:p>
        </w:tc>
      </w:tr>
      <w:tr w:rsidR="007761F5" w:rsidRPr="006B5762" w:rsidTr="007761F5">
        <w:trPr>
          <w:jc w:val="center"/>
        </w:trPr>
        <w:tc>
          <w:tcPr>
            <w:tcW w:w="1242" w:type="dxa"/>
          </w:tcPr>
          <w:p w:rsidR="007761F5" w:rsidRPr="006B5762" w:rsidRDefault="007761F5" w:rsidP="007761F5">
            <w:pPr>
              <w:tabs>
                <w:tab w:val="center" w:pos="4536"/>
                <w:tab w:val="right" w:pos="9072"/>
              </w:tabs>
              <w:rPr>
                <w:sz w:val="20"/>
                <w:szCs w:val="20"/>
              </w:rPr>
            </w:pPr>
            <w:r w:rsidRPr="006B5762">
              <w:rPr>
                <w:b/>
                <w:sz w:val="20"/>
                <w:szCs w:val="20"/>
              </w:rPr>
              <w:t>Twitter</w:t>
            </w:r>
          </w:p>
        </w:tc>
        <w:tc>
          <w:tcPr>
            <w:tcW w:w="2126" w:type="dxa"/>
          </w:tcPr>
          <w:p w:rsidR="007761F5" w:rsidRPr="006B5762" w:rsidRDefault="007761F5" w:rsidP="007761F5">
            <w:pPr>
              <w:tabs>
                <w:tab w:val="center" w:pos="4536"/>
                <w:tab w:val="right" w:pos="9072"/>
              </w:tabs>
              <w:rPr>
                <w:sz w:val="20"/>
                <w:szCs w:val="20"/>
              </w:rPr>
            </w:pPr>
            <w:r w:rsidRPr="006B5762">
              <w:rPr>
                <w:sz w:val="20"/>
                <w:szCs w:val="20"/>
              </w:rPr>
              <w:t>IPPC news service linked to other social media accounts</w:t>
            </w:r>
          </w:p>
        </w:tc>
        <w:tc>
          <w:tcPr>
            <w:tcW w:w="5210" w:type="dxa"/>
          </w:tcPr>
          <w:p w:rsidR="007761F5" w:rsidRPr="006B5762" w:rsidRDefault="007C3C98" w:rsidP="007761F5">
            <w:pPr>
              <w:tabs>
                <w:tab w:val="center" w:pos="4536"/>
                <w:tab w:val="right" w:pos="9072"/>
              </w:tabs>
              <w:rPr>
                <w:sz w:val="20"/>
              </w:rPr>
            </w:pPr>
            <w:hyperlink r:id="rId19" w:history="1">
              <w:r w:rsidR="007761F5" w:rsidRPr="006B5762">
                <w:rPr>
                  <w:rStyle w:val="Hyperlink"/>
                  <w:sz w:val="20"/>
                </w:rPr>
                <w:t>www.twitter.com/ippcnews</w:t>
              </w:r>
            </w:hyperlink>
          </w:p>
          <w:p w:rsidR="007761F5" w:rsidRPr="006B5762" w:rsidRDefault="007761F5" w:rsidP="007761F5">
            <w:pPr>
              <w:tabs>
                <w:tab w:val="center" w:pos="4536"/>
                <w:tab w:val="right" w:pos="9072"/>
              </w:tabs>
              <w:rPr>
                <w:sz w:val="20"/>
                <w:szCs w:val="20"/>
              </w:rPr>
            </w:pPr>
          </w:p>
        </w:tc>
      </w:tr>
      <w:tr w:rsidR="007761F5" w:rsidRPr="006B5762" w:rsidTr="007761F5">
        <w:trPr>
          <w:jc w:val="center"/>
        </w:trPr>
        <w:tc>
          <w:tcPr>
            <w:tcW w:w="1242" w:type="dxa"/>
          </w:tcPr>
          <w:p w:rsidR="007761F5" w:rsidRPr="006B5762" w:rsidRDefault="007761F5" w:rsidP="007761F5">
            <w:pPr>
              <w:tabs>
                <w:tab w:val="center" w:pos="4536"/>
                <w:tab w:val="right" w:pos="9072"/>
              </w:tabs>
              <w:rPr>
                <w:sz w:val="20"/>
                <w:szCs w:val="20"/>
              </w:rPr>
            </w:pPr>
            <w:r w:rsidRPr="006B5762">
              <w:rPr>
                <w:b/>
                <w:sz w:val="20"/>
                <w:szCs w:val="20"/>
              </w:rPr>
              <w:t>LinkedIn</w:t>
            </w:r>
          </w:p>
        </w:tc>
        <w:tc>
          <w:tcPr>
            <w:tcW w:w="2126" w:type="dxa"/>
          </w:tcPr>
          <w:p w:rsidR="007761F5" w:rsidRPr="006B5762" w:rsidRDefault="007761F5" w:rsidP="007761F5">
            <w:pPr>
              <w:tabs>
                <w:tab w:val="center" w:pos="4536"/>
                <w:tab w:val="right" w:pos="9072"/>
              </w:tabs>
              <w:rPr>
                <w:sz w:val="20"/>
                <w:szCs w:val="20"/>
              </w:rPr>
            </w:pPr>
            <w:r w:rsidRPr="006B5762">
              <w:rPr>
                <w:sz w:val="20"/>
                <w:szCs w:val="20"/>
              </w:rPr>
              <w:t>IPPC interface for professionals</w:t>
            </w:r>
          </w:p>
        </w:tc>
        <w:tc>
          <w:tcPr>
            <w:tcW w:w="5210" w:type="dxa"/>
          </w:tcPr>
          <w:p w:rsidR="007761F5" w:rsidRPr="006B5762" w:rsidRDefault="007C3C98" w:rsidP="007761F5">
            <w:pPr>
              <w:tabs>
                <w:tab w:val="center" w:pos="4536"/>
                <w:tab w:val="right" w:pos="9072"/>
              </w:tabs>
              <w:rPr>
                <w:sz w:val="20"/>
                <w:szCs w:val="20"/>
              </w:rPr>
            </w:pPr>
            <w:hyperlink r:id="rId20" w:history="1">
              <w:r w:rsidR="007761F5" w:rsidRPr="006B5762">
                <w:rPr>
                  <w:rStyle w:val="Hyperlink"/>
                  <w:sz w:val="20"/>
                </w:rPr>
                <w:t>www.linkedin.com/groups/IPPC-International-Plant-Protection-Convention-3175642?home=&amp;gid=3175642&amp;trk=anet_ug_hm</w:t>
              </w:r>
            </w:hyperlink>
          </w:p>
        </w:tc>
      </w:tr>
      <w:tr w:rsidR="007761F5" w:rsidRPr="006B5762" w:rsidTr="007761F5">
        <w:trPr>
          <w:jc w:val="center"/>
        </w:trPr>
        <w:tc>
          <w:tcPr>
            <w:tcW w:w="1242" w:type="dxa"/>
          </w:tcPr>
          <w:p w:rsidR="007761F5" w:rsidRPr="006B5762" w:rsidRDefault="007761F5" w:rsidP="007761F5">
            <w:pPr>
              <w:tabs>
                <w:tab w:val="center" w:pos="4536"/>
                <w:tab w:val="right" w:pos="9072"/>
              </w:tabs>
              <w:rPr>
                <w:sz w:val="20"/>
                <w:szCs w:val="20"/>
              </w:rPr>
            </w:pPr>
            <w:r w:rsidRPr="006B5762">
              <w:rPr>
                <w:b/>
                <w:sz w:val="20"/>
                <w:szCs w:val="20"/>
              </w:rPr>
              <w:t>Flickr</w:t>
            </w:r>
          </w:p>
        </w:tc>
        <w:tc>
          <w:tcPr>
            <w:tcW w:w="2126" w:type="dxa"/>
          </w:tcPr>
          <w:p w:rsidR="007761F5" w:rsidRPr="006B5762" w:rsidRDefault="007761F5" w:rsidP="007761F5">
            <w:pPr>
              <w:tabs>
                <w:tab w:val="center" w:pos="4536"/>
                <w:tab w:val="right" w:pos="9072"/>
              </w:tabs>
              <w:rPr>
                <w:sz w:val="20"/>
                <w:szCs w:val="20"/>
              </w:rPr>
            </w:pPr>
            <w:r w:rsidRPr="006B5762">
              <w:rPr>
                <w:sz w:val="20"/>
                <w:szCs w:val="20"/>
              </w:rPr>
              <w:t>IPPC image database</w:t>
            </w:r>
          </w:p>
        </w:tc>
        <w:tc>
          <w:tcPr>
            <w:tcW w:w="5210" w:type="dxa"/>
          </w:tcPr>
          <w:p w:rsidR="007761F5" w:rsidRPr="006B5762" w:rsidRDefault="007C3C98" w:rsidP="007761F5">
            <w:pPr>
              <w:tabs>
                <w:tab w:val="center" w:pos="4536"/>
                <w:tab w:val="right" w:pos="9072"/>
              </w:tabs>
              <w:rPr>
                <w:sz w:val="20"/>
                <w:szCs w:val="20"/>
              </w:rPr>
            </w:pPr>
            <w:hyperlink r:id="rId21" w:tgtFrame="_blank" w:history="1">
              <w:r w:rsidR="007761F5" w:rsidRPr="006B5762">
                <w:rPr>
                  <w:rStyle w:val="Hyperlink"/>
                  <w:sz w:val="20"/>
                </w:rPr>
                <w:t>www.flickr.com/groups/international_plant_protection_convention/</w:t>
              </w:r>
            </w:hyperlink>
          </w:p>
        </w:tc>
      </w:tr>
    </w:tbl>
    <w:p w:rsidR="007761F5" w:rsidRDefault="007761F5" w:rsidP="007761F5">
      <w:pPr>
        <w:ind w:left="142"/>
      </w:pPr>
    </w:p>
    <w:p w:rsidR="007761F5" w:rsidRPr="00E75CA2" w:rsidRDefault="007761F5" w:rsidP="00E75CA2">
      <w:pPr>
        <w:pStyle w:val="ListParagraph"/>
        <w:numPr>
          <w:ilvl w:val="0"/>
          <w:numId w:val="17"/>
        </w:numPr>
        <w:rPr>
          <w:b/>
        </w:rPr>
      </w:pPr>
      <w:r w:rsidRPr="006B5762">
        <w:t xml:space="preserve">Please join and </w:t>
      </w:r>
      <w:r w:rsidRPr="00E75CA2">
        <w:rPr>
          <w:u w:val="single"/>
        </w:rPr>
        <w:t>participate</w:t>
      </w:r>
      <w:r w:rsidRPr="006B5762">
        <w:t xml:space="preserve"> </w:t>
      </w:r>
      <w:r>
        <w:t xml:space="preserve">(by posting information and comments on other posts) </w:t>
      </w:r>
      <w:r w:rsidRPr="006B5762">
        <w:t xml:space="preserve">in these phytosanitary communities and encourage others to do the same. </w:t>
      </w:r>
    </w:p>
    <w:p w:rsidR="006527F0" w:rsidRDefault="007C3C98" w:rsidP="00E75CA2">
      <w:pPr>
        <w:pStyle w:val="NewPara"/>
        <w:numPr>
          <w:ilvl w:val="0"/>
          <w:numId w:val="24"/>
        </w:numPr>
      </w:pPr>
      <w:r w:rsidRPr="007C3C98">
        <w:t>Knowledge and information management support across all objectives continues to increase as reflected in Table 7.</w:t>
      </w:r>
    </w:p>
    <w:p w:rsidR="007761F5" w:rsidRPr="00B92407" w:rsidRDefault="007761F5" w:rsidP="007761F5">
      <w:pPr>
        <w:rPr>
          <w:b/>
        </w:rPr>
      </w:pPr>
      <w:r w:rsidRPr="00B92407">
        <w:rPr>
          <w:b/>
        </w:rPr>
        <w:t xml:space="preserve">Activities supporting all IPPC </w:t>
      </w:r>
      <w:r w:rsidR="00000D08">
        <w:rPr>
          <w:b/>
        </w:rPr>
        <w:t>Strategic Objectives:</w:t>
      </w:r>
    </w:p>
    <w:p w:rsidR="006527F0" w:rsidRDefault="007761F5" w:rsidP="00E75CA2">
      <w:pPr>
        <w:pStyle w:val="NewPara"/>
        <w:numPr>
          <w:ilvl w:val="0"/>
          <w:numId w:val="24"/>
        </w:numPr>
      </w:pPr>
      <w:r w:rsidRPr="00B92407">
        <w:t xml:space="preserve">In regard to the operation and maintenance of the IPPC website, the International Phytosanitary Portal (IPP: </w:t>
      </w:r>
      <w:hyperlink r:id="rId22" w:history="1">
        <w:r w:rsidRPr="00453261">
          <w:rPr>
            <w:rStyle w:val="Hyperlink"/>
          </w:rPr>
          <w:t>www.ippc.int</w:t>
        </w:r>
      </w:hyperlink>
      <w:r w:rsidRPr="00B92407">
        <w:t>), the following tasks have been completed for the various IPPC goals in 201</w:t>
      </w:r>
      <w:r>
        <w:t>2</w:t>
      </w:r>
      <w:r w:rsidRPr="00B92407">
        <w:t>:</w:t>
      </w:r>
    </w:p>
    <w:p w:rsidR="007761F5" w:rsidRPr="00B92407" w:rsidRDefault="007761F5" w:rsidP="007761F5">
      <w:pPr>
        <w:pStyle w:val="IPPHeading3"/>
      </w:pPr>
      <w:r w:rsidRPr="00B92407">
        <w:t xml:space="preserve">General </w:t>
      </w:r>
    </w:p>
    <w:p w:rsidR="007761F5" w:rsidRPr="00B92407" w:rsidRDefault="007761F5" w:rsidP="00625091">
      <w:pPr>
        <w:pStyle w:val="IPPBullet1"/>
      </w:pPr>
      <w:r w:rsidRPr="00B92407">
        <w:t xml:space="preserve">Migrating </w:t>
      </w:r>
      <w:r w:rsidR="008A47CE">
        <w:t>entir</w:t>
      </w:r>
      <w:r w:rsidRPr="00B92407">
        <w:t>e IPPC website/s to the Drupal Content Management System (CMS) a</w:t>
      </w:r>
      <w:r>
        <w:t>s</w:t>
      </w:r>
      <w:r w:rsidRPr="00B92407">
        <w:t xml:space="preserve"> the current Typo 3 is not able to adequately </w:t>
      </w:r>
      <w:r>
        <w:t>deliver</w:t>
      </w:r>
      <w:r w:rsidRPr="00B92407">
        <w:t xml:space="preserve"> the </w:t>
      </w:r>
      <w:r>
        <w:t xml:space="preserve">web </w:t>
      </w:r>
      <w:r w:rsidRPr="00B92407">
        <w:t xml:space="preserve">IPPC </w:t>
      </w:r>
      <w:r>
        <w:t>requirements.</w:t>
      </w:r>
    </w:p>
    <w:p w:rsidR="007761F5" w:rsidRPr="00B92407" w:rsidRDefault="007761F5" w:rsidP="00625091">
      <w:pPr>
        <w:pStyle w:val="IPPBullet1"/>
      </w:pPr>
      <w:r w:rsidRPr="00B92407">
        <w:t>Maintenance: bugs fixed and minor improvements in user interface.</w:t>
      </w:r>
    </w:p>
    <w:p w:rsidR="007761F5" w:rsidRPr="00B92407" w:rsidRDefault="007761F5" w:rsidP="00625091">
      <w:pPr>
        <w:pStyle w:val="IPPBullet1"/>
      </w:pPr>
      <w:r w:rsidRPr="00B92407">
        <w:t>Discussion forums maintained and new ones established.</w:t>
      </w:r>
    </w:p>
    <w:p w:rsidR="007761F5" w:rsidRPr="00B92407" w:rsidRDefault="007761F5" w:rsidP="00625091">
      <w:pPr>
        <w:pStyle w:val="IPPBullet1"/>
      </w:pPr>
      <w:r w:rsidRPr="00B92407">
        <w:t>All software updated and new software security checks introduced.</w:t>
      </w:r>
    </w:p>
    <w:p w:rsidR="007761F5" w:rsidRPr="00B92407" w:rsidRDefault="007761F5" w:rsidP="00625091">
      <w:pPr>
        <w:pStyle w:val="IPPBullet1"/>
      </w:pPr>
      <w:r w:rsidRPr="00B92407">
        <w:t>Ongoing translation of navigation text maintained in 6 FAO languages.</w:t>
      </w:r>
    </w:p>
    <w:p w:rsidR="007761F5" w:rsidRPr="00B92407" w:rsidRDefault="007761F5" w:rsidP="00625091">
      <w:pPr>
        <w:pStyle w:val="IPPBullet1"/>
      </w:pPr>
      <w:r w:rsidRPr="00B92407">
        <w:t>Survey tools maintained.</w:t>
      </w:r>
    </w:p>
    <w:p w:rsidR="007761F5" w:rsidRPr="00B92407" w:rsidRDefault="007761F5" w:rsidP="00625091">
      <w:pPr>
        <w:pStyle w:val="IPPBullet1Last"/>
      </w:pPr>
      <w:r w:rsidRPr="00B92407">
        <w:t>Provided technical support for calls, e-decisions, polls, forums, permissions and work areas.</w:t>
      </w:r>
    </w:p>
    <w:p w:rsidR="007761F5" w:rsidRPr="003D24A9" w:rsidRDefault="007761F5" w:rsidP="00625091">
      <w:pPr>
        <w:pStyle w:val="IPPBullet1"/>
      </w:pPr>
      <w:r w:rsidRPr="003D24A9">
        <w:t>Routine support provided for updates: NPPO Official Contact Points, NPPO Editors, RPPO contact points, responded to user queries, managed user accounts, etc</w:t>
      </w:r>
      <w:r w:rsidR="00000D08">
        <w:t>.</w:t>
      </w:r>
    </w:p>
    <w:p w:rsidR="007761F5" w:rsidRPr="003D24A9" w:rsidRDefault="007761F5" w:rsidP="00625091">
      <w:pPr>
        <w:pStyle w:val="IPPBullet1Last"/>
      </w:pPr>
      <w:r w:rsidRPr="003D24A9">
        <w:t>User and Editor Manual maintained.</w:t>
      </w:r>
    </w:p>
    <w:p w:rsidR="007761F5" w:rsidRPr="003D24A9" w:rsidRDefault="007761F5" w:rsidP="00625091">
      <w:pPr>
        <w:pStyle w:val="IPPBullet1Last"/>
      </w:pPr>
      <w:r w:rsidRPr="003D24A9">
        <w:t>The Online Comment System (OCS)</w:t>
      </w:r>
      <w:r>
        <w:t>,</w:t>
      </w:r>
      <w:r w:rsidRPr="003D24A9">
        <w:t xml:space="preserve"> launched </w:t>
      </w:r>
      <w:r>
        <w:t>in</w:t>
      </w:r>
      <w:r w:rsidRPr="003D24A9">
        <w:t xml:space="preserve"> June 2011</w:t>
      </w:r>
      <w:r>
        <w:t>,</w:t>
      </w:r>
      <w:r w:rsidRPr="003D24A9">
        <w:t xml:space="preserve"> for member consultation on draft ISPMs continues to be a great success</w:t>
      </w:r>
      <w:r w:rsidR="008A47CE">
        <w:t xml:space="preserve">; in fact, </w:t>
      </w:r>
      <w:r>
        <w:t xml:space="preserve">a greater number of countries are using it than in 2011. </w:t>
      </w:r>
      <w:r w:rsidRPr="003D24A9">
        <w:t>It continues to be used during regional workshops held t</w:t>
      </w:r>
      <w:r>
        <w:t>o review draft ISPMs.</w:t>
      </w:r>
    </w:p>
    <w:p w:rsidR="007761F5" w:rsidRPr="003D24A9" w:rsidRDefault="007761F5" w:rsidP="00625091">
      <w:pPr>
        <w:pStyle w:val="IPPBullet1Last"/>
      </w:pPr>
      <w:r w:rsidRPr="003D24A9">
        <w:t xml:space="preserve">Some members and international organizations have expressed an interest utilizing the OCS for their own commenting purposes. Codex Alimentarius is in the final stages of modifying the system for their own use.  </w:t>
      </w:r>
    </w:p>
    <w:p w:rsidR="007761F5" w:rsidRPr="00B62657" w:rsidRDefault="007761F5" w:rsidP="00625091">
      <w:pPr>
        <w:pStyle w:val="IPPBullet1"/>
      </w:pPr>
      <w:r w:rsidRPr="00B62657">
        <w:t>Provided technical support for updating pages, surveys and calls.</w:t>
      </w:r>
    </w:p>
    <w:p w:rsidR="007761F5" w:rsidRDefault="007761F5" w:rsidP="00625091">
      <w:pPr>
        <w:pStyle w:val="IPPBullet1Last"/>
      </w:pPr>
      <w:r w:rsidRPr="00B62657">
        <w:t>PCE (Phytosanitary Capacity Evaluation) updated based on user feedback.</w:t>
      </w:r>
    </w:p>
    <w:p w:rsidR="007761F5" w:rsidRDefault="007761F5" w:rsidP="00E75CA2">
      <w:pPr>
        <w:pStyle w:val="IPPBullet1Last"/>
      </w:pPr>
      <w:r>
        <w:t>The Phytosanitary Resources website (</w:t>
      </w:r>
      <w:hyperlink r:id="rId23" w:history="1">
        <w:r w:rsidR="004A3AE1" w:rsidRPr="00960261">
          <w:rPr>
            <w:rStyle w:val="Hyperlink"/>
          </w:rPr>
          <w:t>www.phytosanitary.info</w:t>
        </w:r>
      </w:hyperlink>
      <w:r>
        <w:t>) is of increasing importance and engagement with countries is growing. In addition to a number of key publications, this site now contains:</w:t>
      </w:r>
    </w:p>
    <w:p w:rsidR="007761F5" w:rsidRDefault="007761F5" w:rsidP="00FF15BF">
      <w:pPr>
        <w:pStyle w:val="ListParagraph"/>
        <w:numPr>
          <w:ilvl w:val="1"/>
          <w:numId w:val="12"/>
        </w:numPr>
        <w:jc w:val="left"/>
      </w:pPr>
      <w:r w:rsidRPr="00B62657">
        <w:t>IPPC E-learning Course on Pest Risk Analysis</w:t>
      </w:r>
      <w:r>
        <w:t xml:space="preserve"> </w:t>
      </w:r>
      <w:r w:rsidRPr="00B62657">
        <w:t>(PRA)</w:t>
      </w:r>
      <w:r>
        <w:t xml:space="preserve">: </w:t>
      </w:r>
      <w:hyperlink r:id="rId24" w:history="1">
        <w:r w:rsidRPr="00453261">
          <w:rPr>
            <w:rStyle w:val="Hyperlink"/>
          </w:rPr>
          <w:t>http://www.phytosanitary.info/2012/mar/13/ippc-e-learning-course-pest-risk-analysispra/</w:t>
        </w:r>
      </w:hyperlink>
    </w:p>
    <w:p w:rsidR="007761F5" w:rsidRDefault="007761F5" w:rsidP="00FF15BF">
      <w:pPr>
        <w:pStyle w:val="ListParagraph"/>
        <w:numPr>
          <w:ilvl w:val="1"/>
          <w:numId w:val="12"/>
        </w:numPr>
        <w:jc w:val="left"/>
      </w:pPr>
      <w:r w:rsidRPr="00F239F6">
        <w:t>Phytosanitary Capacity Development Projects Database</w:t>
      </w:r>
      <w:r>
        <w:t xml:space="preserve">: </w:t>
      </w:r>
      <w:hyperlink r:id="rId25" w:history="1">
        <w:r w:rsidRPr="00453261">
          <w:rPr>
            <w:rStyle w:val="Hyperlink"/>
          </w:rPr>
          <w:t>http://projects.phytosanitary.info/</w:t>
        </w:r>
      </w:hyperlink>
    </w:p>
    <w:p w:rsidR="007761F5" w:rsidRDefault="007761F5" w:rsidP="00FF15BF">
      <w:pPr>
        <w:pStyle w:val="ListParagraph"/>
        <w:numPr>
          <w:ilvl w:val="1"/>
          <w:numId w:val="12"/>
        </w:numPr>
        <w:jc w:val="left"/>
      </w:pPr>
      <w:r w:rsidRPr="00F239F6">
        <w:t>Phytosanitary Capacity Development Activities Database</w:t>
      </w:r>
      <w:r>
        <w:t xml:space="preserve">: </w:t>
      </w:r>
      <w:hyperlink r:id="rId26" w:history="1">
        <w:r w:rsidRPr="00453261">
          <w:rPr>
            <w:rStyle w:val="Hyperlink"/>
          </w:rPr>
          <w:t>http://activities.phytosanitary.info/</w:t>
        </w:r>
      </w:hyperlink>
    </w:p>
    <w:p w:rsidR="007761F5" w:rsidRPr="00B62657" w:rsidRDefault="007761F5" w:rsidP="00FF15BF">
      <w:pPr>
        <w:pStyle w:val="ListParagraph"/>
        <w:numPr>
          <w:ilvl w:val="1"/>
          <w:numId w:val="12"/>
        </w:numPr>
        <w:jc w:val="left"/>
      </w:pPr>
      <w:r w:rsidRPr="00F239F6">
        <w:t>Phytosanitary Capacity Development Roster of Consultants</w:t>
      </w:r>
      <w:r>
        <w:t xml:space="preserve">: </w:t>
      </w:r>
      <w:hyperlink r:id="rId27" w:history="1">
        <w:r w:rsidRPr="00453261">
          <w:rPr>
            <w:rStyle w:val="Hyperlink"/>
          </w:rPr>
          <w:t>http://consultants.phytosanitary.info/</w:t>
        </w:r>
      </w:hyperlink>
    </w:p>
    <w:p w:rsidR="007761F5" w:rsidRPr="00B62657" w:rsidRDefault="007761F5" w:rsidP="007761F5"/>
    <w:p w:rsidR="007761F5" w:rsidRPr="00B62657" w:rsidRDefault="004A3AE1" w:rsidP="00625091">
      <w:pPr>
        <w:pStyle w:val="IPPBullet1Last"/>
        <w:rPr>
          <w:sz w:val="20"/>
          <w:szCs w:val="20"/>
        </w:rPr>
      </w:pPr>
      <w:r>
        <w:t xml:space="preserve">The </w:t>
      </w:r>
      <w:r w:rsidR="007761F5" w:rsidRPr="00B62657">
        <w:t>APPPC website </w:t>
      </w:r>
      <w:hyperlink r:id="rId28" w:history="1">
        <w:r w:rsidR="007761F5" w:rsidRPr="00B62657">
          <w:rPr>
            <w:rStyle w:val="Hyperlink"/>
          </w:rPr>
          <w:t>http://www.apppc.org</w:t>
        </w:r>
      </w:hyperlink>
      <w:r w:rsidR="007761F5" w:rsidRPr="00B62657">
        <w:t xml:space="preserve"> is autonomously run by APPPC and the infrastructure now available for other RPPOs – </w:t>
      </w:r>
      <w:r>
        <w:t xml:space="preserve">The Secretariat is engaged in discussions with </w:t>
      </w:r>
      <w:r w:rsidR="007761F5" w:rsidRPr="00B62657">
        <w:t xml:space="preserve">NEPPO about </w:t>
      </w:r>
      <w:r>
        <w:t xml:space="preserve">the </w:t>
      </w:r>
      <w:r w:rsidR="007761F5" w:rsidRPr="00B62657">
        <w:t xml:space="preserve">possible use. </w:t>
      </w:r>
      <w:r>
        <w:t xml:space="preserve"> </w:t>
      </w:r>
      <w:r w:rsidR="007761F5" w:rsidRPr="00B62657">
        <w:t>Providing ongoing maintenance support.</w:t>
      </w:r>
    </w:p>
    <w:p w:rsidR="007761F5" w:rsidRPr="0092592A" w:rsidRDefault="007761F5" w:rsidP="00625091">
      <w:pPr>
        <w:pStyle w:val="IPPBullet1"/>
      </w:pPr>
      <w:r w:rsidRPr="0092592A">
        <w:t>Implementation Review and Support System (IRSS) page established.</w:t>
      </w:r>
    </w:p>
    <w:p w:rsidR="007761F5" w:rsidRPr="0092592A" w:rsidRDefault="004A3AE1" w:rsidP="00625091">
      <w:pPr>
        <w:pStyle w:val="IPPBullet1Last"/>
      </w:pPr>
      <w:r>
        <w:t xml:space="preserve">The page is </w:t>
      </w:r>
      <w:r w:rsidRPr="005C405E">
        <w:t>undergoing continual improvements, which will include the Helpdesk facility.</w:t>
      </w:r>
      <w:r w:rsidR="007761F5" w:rsidRPr="0092592A">
        <w:t xml:space="preserve"> </w:t>
      </w:r>
    </w:p>
    <w:p w:rsidR="008A47CE" w:rsidRDefault="007761F5" w:rsidP="00660ED7">
      <w:pPr>
        <w:pStyle w:val="IPPNumberedList"/>
        <w:numPr>
          <w:ilvl w:val="0"/>
          <w:numId w:val="27"/>
        </w:numPr>
        <w:ind w:left="709"/>
        <w:jc w:val="left"/>
      </w:pPr>
      <w:r w:rsidRPr="005C405E">
        <w:t>Activities related to the development of new and additional products for the Secretariat required significant amounts of time during the past year. They are difficult to represent in the text of this document as they are yet to be completed. Nevertheless, the amount of effort and time related to development activities is considerable and this is noted here in order to acknowledge the efforts of the Secretariat in this regard.</w:t>
      </w:r>
    </w:p>
    <w:p w:rsidR="00625091" w:rsidRPr="008A47CE" w:rsidRDefault="008A47CE" w:rsidP="00E75CA2">
      <w:pPr>
        <w:pStyle w:val="IPPNumberedList"/>
        <w:numPr>
          <w:ilvl w:val="0"/>
          <w:numId w:val="0"/>
        </w:numPr>
        <w:spacing w:before="360"/>
        <w:jc w:val="left"/>
        <w:rPr>
          <w:sz w:val="24"/>
        </w:rPr>
      </w:pPr>
      <w:r w:rsidRPr="008A47CE">
        <w:rPr>
          <w:b/>
          <w:sz w:val="24"/>
          <w:u w:val="single"/>
        </w:rPr>
        <w:t>Dispute Settlement</w:t>
      </w:r>
      <w:r w:rsidR="00C467D6">
        <w:rPr>
          <w:b/>
          <w:sz w:val="24"/>
          <w:u w:val="single"/>
        </w:rPr>
        <w:t xml:space="preserve"> (Objectives C and X) </w:t>
      </w:r>
      <w:r w:rsidRPr="008A47CE">
        <w:rPr>
          <w:b/>
          <w:sz w:val="24"/>
          <w:u w:val="single"/>
        </w:rPr>
        <w:t xml:space="preserve"> </w:t>
      </w:r>
    </w:p>
    <w:p w:rsidR="006527F0" w:rsidRDefault="005547EE" w:rsidP="004A2F2B">
      <w:pPr>
        <w:pStyle w:val="NewPara"/>
        <w:numPr>
          <w:ilvl w:val="0"/>
          <w:numId w:val="28"/>
        </w:numPr>
      </w:pPr>
      <w:r w:rsidRPr="005547EE">
        <w:t>Due to resource constraints, the Secretariat has not been in a position to completely support this activity as initially agreed.</w:t>
      </w:r>
    </w:p>
    <w:p w:rsidR="006527F0" w:rsidRDefault="005547EE" w:rsidP="004A2F2B">
      <w:pPr>
        <w:pStyle w:val="NewPara"/>
        <w:numPr>
          <w:ilvl w:val="0"/>
          <w:numId w:val="28"/>
        </w:numPr>
      </w:pPr>
      <w:r w:rsidRPr="005547EE">
        <w:t>There is one outstanding official phytosanitary dispute that has still not been addressed. An initial discussion between parties was held in March 2011 but this was not followed up with formal consultations as agreed.</w:t>
      </w:r>
    </w:p>
    <w:p w:rsidR="006527F0" w:rsidRDefault="005547EE" w:rsidP="004A2F2B">
      <w:pPr>
        <w:pStyle w:val="NewPara"/>
        <w:numPr>
          <w:ilvl w:val="0"/>
          <w:numId w:val="28"/>
        </w:numPr>
      </w:pPr>
      <w:r w:rsidRPr="005547EE">
        <w:t>The SBDS met in March, 2012.</w:t>
      </w:r>
    </w:p>
    <w:p w:rsidR="006527F0" w:rsidRDefault="005547EE" w:rsidP="004A2F2B">
      <w:pPr>
        <w:pStyle w:val="NewPara"/>
        <w:numPr>
          <w:ilvl w:val="0"/>
          <w:numId w:val="28"/>
        </w:numPr>
      </w:pPr>
      <w:r w:rsidRPr="005547EE">
        <w:t>There were no informal consultations of phytosanitary disputes in 2012.</w:t>
      </w:r>
    </w:p>
    <w:p w:rsidR="006527F0" w:rsidRDefault="005547EE" w:rsidP="004A2F2B">
      <w:pPr>
        <w:pStyle w:val="NewPara"/>
        <w:numPr>
          <w:ilvl w:val="0"/>
          <w:numId w:val="28"/>
        </w:numPr>
      </w:pPr>
      <w:r w:rsidRPr="005547EE">
        <w:t>The SBDS was unable to meet in August 2012 as planned due to limited resources to service this meeting.</w:t>
      </w:r>
    </w:p>
    <w:p w:rsidR="00C467D6" w:rsidRDefault="00C467D6" w:rsidP="00C467D6">
      <w:pPr>
        <w:pStyle w:val="IPPNumberedList"/>
        <w:numPr>
          <w:ilvl w:val="0"/>
          <w:numId w:val="0"/>
        </w:numPr>
        <w:ind w:left="1134"/>
      </w:pPr>
    </w:p>
    <w:p w:rsidR="008A47CE" w:rsidRPr="008A47CE" w:rsidRDefault="008A47CE" w:rsidP="008A47CE">
      <w:pPr>
        <w:pStyle w:val="IPPNumberedList"/>
        <w:numPr>
          <w:ilvl w:val="0"/>
          <w:numId w:val="0"/>
        </w:numPr>
        <w:rPr>
          <w:b/>
          <w:sz w:val="24"/>
          <w:u w:val="single"/>
        </w:rPr>
      </w:pPr>
      <w:r w:rsidRPr="008A47CE">
        <w:rPr>
          <w:b/>
          <w:sz w:val="24"/>
          <w:u w:val="single"/>
        </w:rPr>
        <w:t>Capacity Development</w:t>
      </w:r>
      <w:r>
        <w:rPr>
          <w:b/>
          <w:sz w:val="24"/>
          <w:u w:val="single"/>
        </w:rPr>
        <w:t xml:space="preserve"> (Ob</w:t>
      </w:r>
      <w:r w:rsidR="00C467D6">
        <w:rPr>
          <w:b/>
          <w:sz w:val="24"/>
          <w:u w:val="single"/>
        </w:rPr>
        <w:t>jectives D and X)</w:t>
      </w:r>
    </w:p>
    <w:p w:rsidR="00625091" w:rsidRDefault="005547EE" w:rsidP="00660ED7">
      <w:pPr>
        <w:pStyle w:val="NewPara"/>
        <w:numPr>
          <w:ilvl w:val="0"/>
          <w:numId w:val="29"/>
        </w:numPr>
      </w:pPr>
      <w:r w:rsidRPr="005547EE">
        <w:t>The terms of reference and Rules of Procedure for a Capacity Development Committee were adopted at CPM-7 (2012). A call for candidates was released in July 2012 and  nominations are being reviewed by the Bureau</w:t>
      </w:r>
      <w:r w:rsidR="00C467D6">
        <w:t xml:space="preserve"> </w:t>
      </w:r>
      <w:r w:rsidRPr="005547EE">
        <w:t xml:space="preserve">to attend the first meeting in December 2012.  </w:t>
      </w:r>
    </w:p>
    <w:p w:rsidR="006527F0" w:rsidRDefault="005547EE" w:rsidP="00660ED7">
      <w:pPr>
        <w:pStyle w:val="NewPara"/>
        <w:numPr>
          <w:ilvl w:val="0"/>
          <w:numId w:val="29"/>
        </w:numPr>
      </w:pPr>
      <w:r w:rsidRPr="005547EE">
        <w:t>In response to the adoption of the Capacity Building Strategy (CPM-5 (2010) and through the guidance provided by the Expert Working Group on Capacity Development (EWG CD)</w:t>
      </w:r>
      <w:r w:rsidR="00C467D6">
        <w:t>,</w:t>
      </w:r>
      <w:r w:rsidRPr="005547EE">
        <w:t xml:space="preserve"> significant progress continues to be made in implementing this strategy which has also increased the visibility and level of activity of the work under </w:t>
      </w:r>
      <w:r w:rsidR="00C467D6">
        <w:t>Objective D</w:t>
      </w:r>
      <w:r w:rsidRPr="005547EE">
        <w:t xml:space="preserve">. </w:t>
      </w:r>
      <w:r w:rsidR="00C848E2">
        <w:t>Concrete efforts in terms of communication and awareness</w:t>
      </w:r>
      <w:r w:rsidR="00C467D6">
        <w:t>-</w:t>
      </w:r>
      <w:r w:rsidR="00C848E2">
        <w:t>raisin</w:t>
      </w:r>
      <w:r w:rsidR="00E77DCD">
        <w:t>g are being currently performed.</w:t>
      </w:r>
    </w:p>
    <w:p w:rsidR="006527F0" w:rsidRDefault="00C848E2" w:rsidP="00660ED7">
      <w:pPr>
        <w:pStyle w:val="NewPara"/>
        <w:numPr>
          <w:ilvl w:val="0"/>
          <w:numId w:val="29"/>
        </w:numPr>
      </w:pPr>
      <w:r>
        <w:t xml:space="preserve">Various </w:t>
      </w:r>
      <w:r w:rsidR="005547EE" w:rsidRPr="005547EE">
        <w:t>collaborative activities with other teams in FAO (i.e. food safety, seed and pesticide and forestry groups) and with various other organizations or partnerships (i.e.  IICA, Standard Trade Development Facility (STDF) and Inter-American Development Bank (IDB))</w:t>
      </w:r>
      <w:r>
        <w:t xml:space="preserve"> were undertaken in 2012.</w:t>
      </w:r>
    </w:p>
    <w:p w:rsidR="006527F0" w:rsidRDefault="00C848E2" w:rsidP="00660ED7">
      <w:pPr>
        <w:pStyle w:val="NewPara"/>
        <w:numPr>
          <w:ilvl w:val="0"/>
          <w:numId w:val="30"/>
        </w:numPr>
      </w:pPr>
      <w:r>
        <w:t>A PRA E-learning training course was developed in cooperation with IICA</w:t>
      </w:r>
      <w:r w:rsidR="004A3AE1">
        <w:t>,</w:t>
      </w:r>
      <w:r>
        <w:t xml:space="preserve"> based </w:t>
      </w:r>
      <w:r w:rsidR="004A3AE1">
        <w:t>o</w:t>
      </w:r>
      <w:r>
        <w:t>n developments by the IAGPRA. This resource is available in English and Spanish and has been used in the framework of the previously mentioned collaborative efforts.</w:t>
      </w:r>
    </w:p>
    <w:p w:rsidR="00660ED7" w:rsidRDefault="00660ED7" w:rsidP="00660ED7">
      <w:pPr>
        <w:pStyle w:val="NewPara"/>
        <w:numPr>
          <w:ilvl w:val="0"/>
          <w:numId w:val="31"/>
        </w:numPr>
      </w:pPr>
      <w:r w:rsidRPr="005547EE">
        <w:t>A call to all IPPC contracting parties, Regional Plant Protection</w:t>
      </w:r>
      <w:r>
        <w:t xml:space="preserve"> </w:t>
      </w:r>
      <w:r w:rsidRPr="005547EE">
        <w:t>Organizations and relevant organizations was made for currently available technical resources and to authorize their use by the IPPC. The call yielded around 300 phytosanitary technical resources.</w:t>
      </w:r>
    </w:p>
    <w:p w:rsidR="00660ED7" w:rsidRDefault="00660ED7" w:rsidP="00660ED7">
      <w:pPr>
        <w:pStyle w:val="NewPara"/>
        <w:numPr>
          <w:ilvl w:val="0"/>
          <w:numId w:val="31"/>
        </w:numPr>
        <w:rPr>
          <w:rFonts w:eastAsia="Times New Roman" w:cs="Arial Narrow"/>
          <w:color w:val="221E1F"/>
        </w:rPr>
      </w:pPr>
      <w:r w:rsidRPr="005547EE">
        <w:t>The phytosanitary technical resources web site was established to make all these technical resources available to the world’s plant protection community. After simple registration, anyone is able to contribute phytosanitary technical resources for consideration as a global resource.</w:t>
      </w:r>
      <w:r>
        <w:rPr>
          <w:rStyle w:val="A3"/>
        </w:rPr>
        <w:t xml:space="preserve"> </w:t>
      </w:r>
    </w:p>
    <w:p w:rsidR="00660ED7" w:rsidRDefault="00660ED7" w:rsidP="00660ED7">
      <w:pPr>
        <w:pStyle w:val="NewPara"/>
        <w:numPr>
          <w:ilvl w:val="0"/>
          <w:numId w:val="31"/>
        </w:numPr>
      </w:pPr>
      <w:r>
        <w:t xml:space="preserve">The </w:t>
      </w:r>
      <w:r w:rsidRPr="005547EE">
        <w:t>global project “Global Phytosanitary Manuals, Standard Procedures and Training Kits”, funded by the Standard</w:t>
      </w:r>
      <w:r>
        <w:t>s</w:t>
      </w:r>
      <w:r w:rsidRPr="005547EE">
        <w:t xml:space="preserve"> and Trade Development Facility, is being implemented by the IPPC Secretariat (2012-2014). The objective of this project is to develop a stable foundation of internal systems for plant health which will improve ability for productive trade relationships and ultimately food security in developing countries. </w:t>
      </w:r>
    </w:p>
    <w:p w:rsidR="00660ED7" w:rsidRDefault="00660ED7" w:rsidP="00660ED7">
      <w:pPr>
        <w:pStyle w:val="NewPara"/>
        <w:numPr>
          <w:ilvl w:val="0"/>
          <w:numId w:val="31"/>
        </w:numPr>
        <w:rPr>
          <w:rFonts w:eastAsia="Times New Roman" w:cs="Arial Narrow"/>
          <w:color w:val="221E1F"/>
        </w:rPr>
      </w:pPr>
      <w:r w:rsidRPr="005547EE">
        <w:t>This project will develop 20 phytosanitary technical resources to support an effective imple</w:t>
      </w:r>
      <w:r w:rsidRPr="005547EE">
        <w:softHyphen/>
        <w:t>mentation of the IPPC and its standards by countries. These resources will help National Plant Protection Organizations fulfil their roles and responsibilities to improve/maintain ex</w:t>
      </w:r>
      <w:r w:rsidRPr="005547EE">
        <w:softHyphen/>
        <w:t>ternal market access and/or support national import and export certification programmes.</w:t>
      </w:r>
      <w:r>
        <w:rPr>
          <w:rStyle w:val="A3"/>
        </w:rPr>
        <w:t xml:space="preserve"> </w:t>
      </w:r>
    </w:p>
    <w:p w:rsidR="00625091" w:rsidRDefault="00AA5D9D" w:rsidP="00660ED7">
      <w:pPr>
        <w:pStyle w:val="NewPara"/>
        <w:numPr>
          <w:ilvl w:val="0"/>
          <w:numId w:val="32"/>
        </w:numPr>
        <w:ind w:left="709"/>
      </w:pPr>
      <w:r>
        <w:t xml:space="preserve">Two project proposals have been </w:t>
      </w:r>
      <w:r w:rsidR="00C848E2">
        <w:t xml:space="preserve">developed under the initiative of the EWG CD and </w:t>
      </w:r>
      <w:r>
        <w:t xml:space="preserve">presented by IPPC member countries to the STDF, with the support of </w:t>
      </w:r>
      <w:r w:rsidR="00C848E2">
        <w:t xml:space="preserve">several </w:t>
      </w:r>
      <w:r>
        <w:t>other developed</w:t>
      </w:r>
      <w:r w:rsidR="00C848E2">
        <w:t xml:space="preserve"> and developing</w:t>
      </w:r>
      <w:r>
        <w:t xml:space="preserve"> countries (</w:t>
      </w:r>
      <w:r w:rsidR="005547EE" w:rsidRPr="005547EE">
        <w:t>Training of Trainers for Phytosanitary Capacity Development and Training of Phytosanitary Capacity Evaluation (PCE) Facilitators</w:t>
      </w:r>
      <w:r>
        <w:t>) and are in the pr</w:t>
      </w:r>
      <w:r w:rsidR="00C848E2">
        <w:t xml:space="preserve">ocess to be considered by this </w:t>
      </w:r>
      <w:r>
        <w:t>partnership.</w:t>
      </w:r>
      <w:r w:rsidR="00C848E2">
        <w:t xml:space="preserve"> In both, the IPPC Secretariat is proposed as the implementation agency.</w:t>
      </w:r>
    </w:p>
    <w:p w:rsidR="00625091" w:rsidRDefault="005547EE" w:rsidP="00660ED7">
      <w:pPr>
        <w:pStyle w:val="NewPara"/>
        <w:numPr>
          <w:ilvl w:val="0"/>
          <w:numId w:val="33"/>
        </w:numPr>
      </w:pPr>
      <w:r w:rsidRPr="005547EE">
        <w:t xml:space="preserve">Seven workshops on the review of draft ISPMS were held in 2012. </w:t>
      </w:r>
    </w:p>
    <w:p w:rsidR="00625091" w:rsidRDefault="00197ABC" w:rsidP="00660ED7">
      <w:pPr>
        <w:pStyle w:val="NewPara"/>
        <w:numPr>
          <w:ilvl w:val="0"/>
          <w:numId w:val="33"/>
        </w:numPr>
      </w:pPr>
      <w:r>
        <w:t xml:space="preserve">One workshop on surveillance is being organized </w:t>
      </w:r>
      <w:r w:rsidR="00AA5D9D">
        <w:t xml:space="preserve">jointly with the APPPC and with financial support from Korea, in </w:t>
      </w:r>
      <w:r>
        <w:t>October 2012</w:t>
      </w:r>
      <w:r w:rsidR="00AA5D9D">
        <w:t>,</w:t>
      </w:r>
      <w:r>
        <w:t xml:space="preserve"> </w:t>
      </w:r>
      <w:r w:rsidR="00AA5D9D">
        <w:t xml:space="preserve">to develop the necessary guidance to support the productions of technical resources after the </w:t>
      </w:r>
      <w:r w:rsidR="00C848E2">
        <w:t xml:space="preserve">gaps and needs identification </w:t>
      </w:r>
      <w:r w:rsidR="00AA5D9D">
        <w:t>on surveillance performed by the IRSS.</w:t>
      </w:r>
    </w:p>
    <w:p w:rsidR="00625091" w:rsidRDefault="00AA5D9D" w:rsidP="00660ED7">
      <w:pPr>
        <w:pStyle w:val="NewPara"/>
        <w:numPr>
          <w:ilvl w:val="0"/>
          <w:numId w:val="33"/>
        </w:numPr>
      </w:pPr>
      <w:r>
        <w:t>Five support actions to facilitate application</w:t>
      </w:r>
      <w:r w:rsidR="001E14EB">
        <w:t xml:space="preserve"> of the PCE</w:t>
      </w:r>
      <w:r>
        <w:t xml:space="preserve"> have been undertaken t</w:t>
      </w:r>
      <w:r w:rsidR="001E14EB">
        <w:t>hrough</w:t>
      </w:r>
      <w:r>
        <w:t xml:space="preserve"> October 2012. The lists of requests for support involve currently more than 25 other countries</w:t>
      </w:r>
    </w:p>
    <w:p w:rsidR="00625091" w:rsidRDefault="005547EE" w:rsidP="00660ED7">
      <w:pPr>
        <w:pStyle w:val="NewPara"/>
        <w:numPr>
          <w:ilvl w:val="0"/>
          <w:numId w:val="33"/>
        </w:numPr>
      </w:pPr>
      <w:r w:rsidRPr="005547EE">
        <w:t xml:space="preserve">The IPPC Secretariat supported the WTO-SPS technical assistance programme through direct participation of </w:t>
      </w:r>
      <w:r w:rsidR="001E14EB">
        <w:t>S</w:t>
      </w:r>
      <w:r w:rsidRPr="005547EE">
        <w:t>ecretariat and bureau members</w:t>
      </w:r>
      <w:r w:rsidR="001E14EB">
        <w:t xml:space="preserve">, as well as with the </w:t>
      </w:r>
      <w:r w:rsidRPr="005547EE">
        <w:t xml:space="preserve">provision of technical materials for the workshops and an advanced SPS course. </w:t>
      </w:r>
    </w:p>
    <w:p w:rsidR="00625091" w:rsidRDefault="00E77DCD" w:rsidP="00660ED7">
      <w:pPr>
        <w:pStyle w:val="NewPara"/>
        <w:numPr>
          <w:ilvl w:val="0"/>
          <w:numId w:val="33"/>
        </w:numPr>
      </w:pPr>
      <w:r>
        <w:t xml:space="preserve">The IPPC Secretariat </w:t>
      </w:r>
      <w:r w:rsidR="001E14EB">
        <w:t xml:space="preserve">has </w:t>
      </w:r>
      <w:r>
        <w:t>undertaken missions (Palestine mission on SPS issues) and actions (Legal study on the COMESA Green Pass and further collaborative actions) as part of an SPS team in FAO.</w:t>
      </w:r>
    </w:p>
    <w:p w:rsidR="00625091" w:rsidRDefault="00197ABC" w:rsidP="00660ED7">
      <w:pPr>
        <w:pStyle w:val="NewPara"/>
        <w:numPr>
          <w:ilvl w:val="0"/>
          <w:numId w:val="33"/>
        </w:numPr>
        <w:rPr>
          <w:b/>
        </w:rPr>
      </w:pPr>
      <w:r>
        <w:t>The CD are</w:t>
      </w:r>
      <w:r w:rsidR="00AA5D9D">
        <w:t>a</w:t>
      </w:r>
      <w:r>
        <w:t xml:space="preserve"> is collaborating with the development of e-</w:t>
      </w:r>
      <w:r w:rsidR="00E77DCD">
        <w:t>learning</w:t>
      </w:r>
      <w:r>
        <w:t xml:space="preserve"> materials on the </w:t>
      </w:r>
      <w:r w:rsidR="001E14EB">
        <w:t>g</w:t>
      </w:r>
      <w:r>
        <w:t>uide to implementation of international standards in the forestry sector.</w:t>
      </w:r>
    </w:p>
    <w:p w:rsidR="00625091" w:rsidRPr="006A297F" w:rsidRDefault="005547EE">
      <w:pPr>
        <w:pStyle w:val="IPPHeading2"/>
        <w:rPr>
          <w:u w:val="single"/>
        </w:rPr>
      </w:pPr>
      <w:r w:rsidRPr="006A297F">
        <w:rPr>
          <w:u w:val="single"/>
        </w:rPr>
        <w:t>Strategic planning</w:t>
      </w:r>
      <w:r w:rsidR="003835DC" w:rsidRPr="003835DC">
        <w:rPr>
          <w:u w:val="single"/>
        </w:rPr>
        <w:t xml:space="preserve"> </w:t>
      </w:r>
      <w:r w:rsidR="003835DC">
        <w:rPr>
          <w:u w:val="single"/>
        </w:rPr>
        <w:t>(Objectives C, X and Y)</w:t>
      </w:r>
    </w:p>
    <w:p w:rsidR="006527F0" w:rsidRDefault="005547EE" w:rsidP="00660ED7">
      <w:pPr>
        <w:pStyle w:val="NewPara"/>
        <w:numPr>
          <w:ilvl w:val="0"/>
          <w:numId w:val="34"/>
        </w:numPr>
      </w:pPr>
      <w:r w:rsidRPr="005C405E">
        <w:t xml:space="preserve">The IPPC strategic framework, a resource mobilization strategy, and capacity building work plan were adopted in CPM7, and a communication strategy was </w:t>
      </w:r>
      <w:r w:rsidR="005C405E">
        <w:rPr>
          <w:b/>
        </w:rPr>
        <w:t>r</w:t>
      </w:r>
      <w:r w:rsidR="004C0787" w:rsidRPr="005C405E">
        <w:t>evised</w:t>
      </w:r>
      <w:r w:rsidR="004C0787" w:rsidRPr="00D33F77">
        <w:t xml:space="preserve"> based on discussions in CPM</w:t>
      </w:r>
      <w:r w:rsidR="004C0787">
        <w:t>7</w:t>
      </w:r>
      <w:r w:rsidR="004C0787" w:rsidRPr="00D33F77">
        <w:t xml:space="preserve"> and Bureau meetings. </w:t>
      </w:r>
    </w:p>
    <w:p w:rsidR="006527F0" w:rsidRDefault="00F37D45" w:rsidP="00660ED7">
      <w:pPr>
        <w:pStyle w:val="NewPara"/>
        <w:numPr>
          <w:ilvl w:val="0"/>
          <w:numId w:val="34"/>
        </w:numPr>
      </w:pPr>
      <w:r>
        <w:t xml:space="preserve">In addition, a communications strategy and workplan have been prepared for </w:t>
      </w:r>
      <w:r w:rsidR="0023535B">
        <w:t xml:space="preserve">review and </w:t>
      </w:r>
      <w:r>
        <w:t>discussion at the October 2012 meeting of the Strategic Planning Group (SPG)</w:t>
      </w:r>
    </w:p>
    <w:p w:rsidR="00625091" w:rsidRPr="006A297F" w:rsidRDefault="004C0787">
      <w:pPr>
        <w:pStyle w:val="IPPHeading2"/>
        <w:rPr>
          <w:u w:val="single"/>
        </w:rPr>
      </w:pPr>
      <w:r w:rsidRPr="006A297F">
        <w:rPr>
          <w:u w:val="single"/>
        </w:rPr>
        <w:t>Advocacy</w:t>
      </w:r>
      <w:r w:rsidR="003835DC">
        <w:rPr>
          <w:u w:val="single"/>
        </w:rPr>
        <w:t xml:space="preserve"> (Objectives C, X and Y)</w:t>
      </w:r>
    </w:p>
    <w:p w:rsidR="00660ED7" w:rsidRDefault="003C7DE0" w:rsidP="00660ED7">
      <w:pPr>
        <w:pStyle w:val="NewPara"/>
        <w:numPr>
          <w:ilvl w:val="0"/>
          <w:numId w:val="35"/>
        </w:numPr>
        <w:spacing w:after="240"/>
        <w:ind w:left="709" w:hanging="357"/>
      </w:pPr>
      <w:r w:rsidRPr="001E3416">
        <w:t xml:space="preserve">There was a significant effort by the </w:t>
      </w:r>
      <w:r w:rsidR="001E14EB">
        <w:t>entire</w:t>
      </w:r>
      <w:r w:rsidRPr="001E3416">
        <w:t xml:space="preserve"> Secretariat in 2012 to generate advocacy material to increase awareness of our activities and to support resource mobilization efforts. Efforts to expand the </w:t>
      </w:r>
      <w:r>
        <w:t>amount of information available</w:t>
      </w:r>
      <w:r w:rsidRPr="001E3416">
        <w:t xml:space="preserve"> are ongoing and steps have been taken to ensure advocacy material is more freely available and updated regularly.</w:t>
      </w:r>
    </w:p>
    <w:p w:rsidR="00660ED7" w:rsidRDefault="00660ED7">
      <w:pPr>
        <w:jc w:val="left"/>
        <w:rPr>
          <w:rFonts w:eastAsia="Calibri" w:cs="Akhbar MT"/>
          <w:szCs w:val="30"/>
        </w:rPr>
      </w:pPr>
      <w:r>
        <w:br w:type="page"/>
      </w:r>
    </w:p>
    <w:p w:rsidR="006527F0" w:rsidRDefault="006527F0" w:rsidP="00660ED7">
      <w:pPr>
        <w:pStyle w:val="NewPara"/>
        <w:numPr>
          <w:ilvl w:val="0"/>
          <w:numId w:val="0"/>
        </w:numPr>
        <w:spacing w:after="240"/>
        <w:ind w:left="709"/>
      </w:pPr>
    </w:p>
    <w:p w:rsidR="006527F0" w:rsidRPr="00660ED7" w:rsidRDefault="003C7DE0" w:rsidP="00660ED7">
      <w:pPr>
        <w:pStyle w:val="NewPara"/>
        <w:numPr>
          <w:ilvl w:val="0"/>
          <w:numId w:val="0"/>
        </w:numPr>
        <w:spacing w:after="240"/>
        <w:ind w:left="142"/>
        <w:jc w:val="center"/>
        <w:rPr>
          <w:rFonts w:ascii="Arial" w:hAnsi="Arial" w:cs="Arial"/>
          <w:b/>
          <w:sz w:val="18"/>
          <w:szCs w:val="18"/>
        </w:rPr>
      </w:pPr>
      <w:r w:rsidRPr="00660ED7">
        <w:rPr>
          <w:rFonts w:ascii="Arial" w:hAnsi="Arial" w:cs="Arial"/>
          <w:b/>
          <w:sz w:val="18"/>
          <w:szCs w:val="18"/>
        </w:rPr>
        <w:t xml:space="preserve">Table </w:t>
      </w:r>
      <w:r w:rsidR="00D33557" w:rsidRPr="00660ED7">
        <w:rPr>
          <w:rFonts w:ascii="Arial" w:hAnsi="Arial" w:cs="Arial"/>
          <w:b/>
          <w:sz w:val="18"/>
          <w:szCs w:val="18"/>
        </w:rPr>
        <w:t>4</w:t>
      </w:r>
      <w:r w:rsidRPr="00660ED7">
        <w:rPr>
          <w:rFonts w:ascii="Arial" w:hAnsi="Arial" w:cs="Arial"/>
          <w:b/>
          <w:sz w:val="18"/>
          <w:szCs w:val="18"/>
        </w:rPr>
        <w:t>: Summarizes the total number of news articles and other advocacy material published by the Secretariat over the past 4 years (* = being revised).</w:t>
      </w:r>
    </w:p>
    <w:tbl>
      <w:tblPr>
        <w:tblStyle w:val="TableGrid"/>
        <w:tblW w:w="0" w:type="auto"/>
        <w:tblLook w:val="04A0"/>
      </w:tblPr>
      <w:tblGrid>
        <w:gridCol w:w="1625"/>
        <w:gridCol w:w="2316"/>
        <w:gridCol w:w="1238"/>
        <w:gridCol w:w="1372"/>
        <w:gridCol w:w="1371"/>
        <w:gridCol w:w="1344"/>
      </w:tblGrid>
      <w:tr w:rsidR="003C7DE0" w:rsidRPr="00660ED7" w:rsidTr="00625091">
        <w:tc>
          <w:tcPr>
            <w:tcW w:w="1653" w:type="dxa"/>
            <w:vMerge w:val="restart"/>
            <w:shd w:val="clear" w:color="auto" w:fill="EAF1DD" w:themeFill="accent3" w:themeFillTint="33"/>
            <w:vAlign w:val="center"/>
          </w:tcPr>
          <w:p w:rsidR="006527F0" w:rsidRPr="00660ED7" w:rsidRDefault="006527F0">
            <w:pPr>
              <w:pStyle w:val="NewPara"/>
              <w:numPr>
                <w:ilvl w:val="0"/>
                <w:numId w:val="0"/>
              </w:numPr>
              <w:rPr>
                <w:rFonts w:ascii="Arial" w:hAnsi="Arial" w:cs="Arial"/>
                <w:sz w:val="18"/>
                <w:szCs w:val="18"/>
              </w:rPr>
            </w:pPr>
          </w:p>
        </w:tc>
        <w:tc>
          <w:tcPr>
            <w:tcW w:w="2424" w:type="dxa"/>
            <w:vMerge w:val="restart"/>
            <w:shd w:val="clear" w:color="auto" w:fill="EAF1DD" w:themeFill="accent3" w:themeFillTint="33"/>
            <w:vAlign w:val="center"/>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Link</w:t>
            </w:r>
          </w:p>
        </w:tc>
        <w:tc>
          <w:tcPr>
            <w:tcW w:w="5499" w:type="dxa"/>
            <w:gridSpan w:val="4"/>
            <w:shd w:val="clear" w:color="auto" w:fill="EAF1DD" w:themeFill="accent3" w:themeFillTint="33"/>
            <w:vAlign w:val="center"/>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New number of articles / items</w:t>
            </w:r>
          </w:p>
        </w:tc>
      </w:tr>
      <w:tr w:rsidR="003C7DE0" w:rsidRPr="00660ED7" w:rsidTr="00625091">
        <w:tc>
          <w:tcPr>
            <w:tcW w:w="1653" w:type="dxa"/>
            <w:vMerge/>
            <w:shd w:val="clear" w:color="auto" w:fill="EAF1DD" w:themeFill="accent3" w:themeFillTint="33"/>
          </w:tcPr>
          <w:p w:rsidR="006527F0" w:rsidRPr="00660ED7" w:rsidRDefault="006527F0">
            <w:pPr>
              <w:pStyle w:val="NewPara"/>
              <w:numPr>
                <w:ilvl w:val="0"/>
                <w:numId w:val="0"/>
              </w:numPr>
              <w:rPr>
                <w:rFonts w:ascii="Arial" w:hAnsi="Arial" w:cs="Arial"/>
                <w:sz w:val="18"/>
                <w:szCs w:val="18"/>
              </w:rPr>
            </w:pPr>
          </w:p>
        </w:tc>
        <w:tc>
          <w:tcPr>
            <w:tcW w:w="2424" w:type="dxa"/>
            <w:vMerge/>
            <w:shd w:val="clear" w:color="auto" w:fill="EAF1DD" w:themeFill="accent3" w:themeFillTint="33"/>
          </w:tcPr>
          <w:p w:rsidR="006527F0" w:rsidRPr="00660ED7" w:rsidRDefault="006527F0" w:rsidP="00660ED7">
            <w:pPr>
              <w:pStyle w:val="NewPara"/>
              <w:numPr>
                <w:ilvl w:val="0"/>
                <w:numId w:val="0"/>
              </w:numPr>
              <w:jc w:val="center"/>
              <w:rPr>
                <w:rFonts w:ascii="Arial" w:hAnsi="Arial" w:cs="Arial"/>
                <w:sz w:val="18"/>
                <w:szCs w:val="18"/>
              </w:rPr>
            </w:pPr>
          </w:p>
        </w:tc>
        <w:tc>
          <w:tcPr>
            <w:tcW w:w="1276" w:type="dxa"/>
            <w:shd w:val="clear" w:color="auto" w:fill="EAF1DD" w:themeFill="accent3" w:themeFillTint="33"/>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2009</w:t>
            </w:r>
          </w:p>
        </w:tc>
        <w:tc>
          <w:tcPr>
            <w:tcW w:w="1418" w:type="dxa"/>
            <w:shd w:val="clear" w:color="auto" w:fill="EAF1DD" w:themeFill="accent3" w:themeFillTint="33"/>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2010</w:t>
            </w:r>
          </w:p>
        </w:tc>
        <w:tc>
          <w:tcPr>
            <w:tcW w:w="1417" w:type="dxa"/>
            <w:shd w:val="clear" w:color="auto" w:fill="EAF1DD" w:themeFill="accent3" w:themeFillTint="33"/>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2011</w:t>
            </w:r>
          </w:p>
        </w:tc>
        <w:tc>
          <w:tcPr>
            <w:tcW w:w="1388" w:type="dxa"/>
            <w:shd w:val="clear" w:color="auto" w:fill="EAF1DD" w:themeFill="accent3" w:themeFillTint="33"/>
          </w:tcPr>
          <w:p w:rsidR="006527F0" w:rsidRPr="00660ED7" w:rsidRDefault="003C7DE0" w:rsidP="00660ED7">
            <w:pPr>
              <w:pStyle w:val="NewPara"/>
              <w:numPr>
                <w:ilvl w:val="0"/>
                <w:numId w:val="0"/>
              </w:numPr>
              <w:jc w:val="center"/>
              <w:rPr>
                <w:rFonts w:ascii="Arial" w:hAnsi="Arial" w:cs="Arial"/>
                <w:sz w:val="18"/>
                <w:szCs w:val="18"/>
              </w:rPr>
            </w:pPr>
            <w:r w:rsidRPr="00660ED7">
              <w:rPr>
                <w:rFonts w:ascii="Arial" w:hAnsi="Arial" w:cs="Arial"/>
                <w:sz w:val="18"/>
                <w:szCs w:val="18"/>
              </w:rPr>
              <w:t>Oct 2012</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News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33</w:t>
            </w:r>
          </w:p>
        </w:tc>
        <w:tc>
          <w:tcPr>
            <w:tcW w:w="141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92</w:t>
            </w:r>
          </w:p>
        </w:tc>
        <w:tc>
          <w:tcPr>
            <w:tcW w:w="1417"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67</w:t>
            </w: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53</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Press release</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6527F0">
            <w:pPr>
              <w:pStyle w:val="NewPara"/>
              <w:numPr>
                <w:ilvl w:val="0"/>
                <w:numId w:val="0"/>
              </w:numPr>
              <w:rPr>
                <w:rFonts w:ascii="Arial" w:hAnsi="Arial" w:cs="Arial"/>
                <w:sz w:val="18"/>
                <w:szCs w:val="18"/>
              </w:rPr>
            </w:pP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1</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Videos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6527F0">
            <w:pPr>
              <w:pStyle w:val="NewPara"/>
              <w:numPr>
                <w:ilvl w:val="0"/>
                <w:numId w:val="0"/>
              </w:numPr>
              <w:rPr>
                <w:rFonts w:ascii="Arial" w:hAnsi="Arial" w:cs="Arial"/>
                <w:sz w:val="18"/>
                <w:szCs w:val="18"/>
              </w:rPr>
            </w:pP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1</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Factsheets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3</w:t>
            </w: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5</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Flyers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6527F0">
            <w:pPr>
              <w:pStyle w:val="NewPara"/>
              <w:numPr>
                <w:ilvl w:val="0"/>
                <w:numId w:val="0"/>
              </w:numPr>
              <w:rPr>
                <w:rFonts w:ascii="Arial" w:hAnsi="Arial" w:cs="Arial"/>
                <w:sz w:val="18"/>
                <w:szCs w:val="18"/>
              </w:rPr>
            </w:pP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4</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Brochures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6527F0">
            <w:pPr>
              <w:pStyle w:val="NewPara"/>
              <w:numPr>
                <w:ilvl w:val="0"/>
                <w:numId w:val="0"/>
              </w:numPr>
              <w:rPr>
                <w:rFonts w:ascii="Arial" w:hAnsi="Arial" w:cs="Arial"/>
                <w:sz w:val="18"/>
                <w:szCs w:val="18"/>
              </w:rPr>
            </w:pP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1*</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Publications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6527F0">
            <w:pPr>
              <w:pStyle w:val="NewPara"/>
              <w:numPr>
                <w:ilvl w:val="0"/>
                <w:numId w:val="0"/>
              </w:numPr>
              <w:rPr>
                <w:rFonts w:ascii="Arial" w:hAnsi="Arial" w:cs="Arial"/>
                <w:sz w:val="18"/>
                <w:szCs w:val="18"/>
              </w:rPr>
            </w:pP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4</w:t>
            </w:r>
          </w:p>
        </w:tc>
      </w:tr>
      <w:tr w:rsidR="003C7DE0" w:rsidRPr="00660ED7" w:rsidTr="00625091">
        <w:tc>
          <w:tcPr>
            <w:tcW w:w="1653" w:type="dxa"/>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Posters</w:t>
            </w:r>
          </w:p>
        </w:tc>
        <w:tc>
          <w:tcPr>
            <w:tcW w:w="2424" w:type="dxa"/>
            <w:vAlign w:val="center"/>
          </w:tcPr>
          <w:p w:rsidR="006527F0" w:rsidRPr="00660ED7" w:rsidRDefault="006527F0">
            <w:pPr>
              <w:pStyle w:val="NewPara"/>
              <w:numPr>
                <w:ilvl w:val="0"/>
                <w:numId w:val="0"/>
              </w:numPr>
              <w:rPr>
                <w:rFonts w:ascii="Arial" w:hAnsi="Arial" w:cs="Arial"/>
                <w:sz w:val="18"/>
                <w:szCs w:val="18"/>
              </w:rPr>
            </w:pPr>
          </w:p>
        </w:tc>
        <w:tc>
          <w:tcPr>
            <w:tcW w:w="1276" w:type="dxa"/>
            <w:vAlign w:val="center"/>
          </w:tcPr>
          <w:p w:rsidR="006527F0" w:rsidRPr="00660ED7" w:rsidRDefault="006527F0">
            <w:pPr>
              <w:pStyle w:val="NewPara"/>
              <w:numPr>
                <w:ilvl w:val="0"/>
                <w:numId w:val="0"/>
              </w:numPr>
              <w:rPr>
                <w:rFonts w:ascii="Arial" w:hAnsi="Arial" w:cs="Arial"/>
                <w:sz w:val="18"/>
                <w:szCs w:val="18"/>
              </w:rPr>
            </w:pPr>
          </w:p>
        </w:tc>
        <w:tc>
          <w:tcPr>
            <w:tcW w:w="1418" w:type="dxa"/>
            <w:vAlign w:val="center"/>
          </w:tcPr>
          <w:p w:rsidR="006527F0" w:rsidRPr="00660ED7" w:rsidRDefault="006527F0">
            <w:pPr>
              <w:pStyle w:val="NewPara"/>
              <w:numPr>
                <w:ilvl w:val="0"/>
                <w:numId w:val="0"/>
              </w:numPr>
              <w:rPr>
                <w:rFonts w:ascii="Arial" w:hAnsi="Arial" w:cs="Arial"/>
                <w:sz w:val="18"/>
                <w:szCs w:val="18"/>
              </w:rPr>
            </w:pPr>
          </w:p>
        </w:tc>
        <w:tc>
          <w:tcPr>
            <w:tcW w:w="1417"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1</w:t>
            </w:r>
          </w:p>
        </w:tc>
        <w:tc>
          <w:tcPr>
            <w:tcW w:w="1388" w:type="dxa"/>
            <w:vAlign w:val="center"/>
          </w:tcPr>
          <w:p w:rsidR="006527F0" w:rsidRPr="00660ED7" w:rsidRDefault="003C7DE0">
            <w:pPr>
              <w:pStyle w:val="NewPara"/>
              <w:numPr>
                <w:ilvl w:val="0"/>
                <w:numId w:val="0"/>
              </w:numPr>
              <w:rPr>
                <w:rFonts w:ascii="Arial" w:hAnsi="Arial" w:cs="Arial"/>
                <w:sz w:val="18"/>
                <w:szCs w:val="18"/>
              </w:rPr>
            </w:pPr>
            <w:r w:rsidRPr="00660ED7">
              <w:rPr>
                <w:rFonts w:ascii="Arial" w:hAnsi="Arial" w:cs="Arial"/>
                <w:sz w:val="18"/>
                <w:szCs w:val="18"/>
              </w:rPr>
              <w:t>1</w:t>
            </w:r>
          </w:p>
        </w:tc>
      </w:tr>
    </w:tbl>
    <w:p w:rsidR="006527F0" w:rsidRDefault="006527F0" w:rsidP="00660ED7">
      <w:pPr>
        <w:pStyle w:val="NewPara"/>
        <w:numPr>
          <w:ilvl w:val="0"/>
          <w:numId w:val="0"/>
        </w:numPr>
        <w:ind w:left="720"/>
      </w:pPr>
    </w:p>
    <w:p w:rsidR="003C7DE0" w:rsidRPr="001B6019" w:rsidRDefault="003C7DE0" w:rsidP="00660ED7">
      <w:pPr>
        <w:pStyle w:val="IPPBullet1Last"/>
        <w:tabs>
          <w:tab w:val="clear" w:pos="567"/>
          <w:tab w:val="num" w:pos="851"/>
        </w:tabs>
        <w:ind w:left="709" w:hanging="425"/>
      </w:pPr>
      <w:r w:rsidRPr="001B6019">
        <w:t>IPPC advocacy material, in FAO languages</w:t>
      </w:r>
      <w:r>
        <w:t xml:space="preserve"> when available</w:t>
      </w:r>
      <w:r w:rsidRPr="001B6019">
        <w:t>, is available through:</w:t>
      </w:r>
    </w:p>
    <w:p w:rsidR="003C7DE0" w:rsidRDefault="003C7DE0" w:rsidP="00660ED7">
      <w:pPr>
        <w:pStyle w:val="IPPBullet1Last"/>
        <w:tabs>
          <w:tab w:val="clear" w:pos="567"/>
          <w:tab w:val="num" w:pos="851"/>
        </w:tabs>
        <w:ind w:left="709" w:hanging="425"/>
      </w:pPr>
      <w:r w:rsidRPr="001B6019">
        <w:t xml:space="preserve">IPP: </w:t>
      </w:r>
      <w:hyperlink r:id="rId29" w:history="1">
        <w:r w:rsidRPr="00453261">
          <w:rPr>
            <w:rStyle w:val="Hyperlink"/>
          </w:rPr>
          <w:t>https://www.ippc.int/index.php?id=6&amp;L=0</w:t>
        </w:r>
      </w:hyperlink>
    </w:p>
    <w:p w:rsidR="003C7DE0" w:rsidRPr="00625091" w:rsidRDefault="003C7DE0" w:rsidP="00660ED7">
      <w:pPr>
        <w:pStyle w:val="IPPBullet1Last"/>
        <w:tabs>
          <w:tab w:val="clear" w:pos="567"/>
          <w:tab w:val="num" w:pos="851"/>
        </w:tabs>
        <w:ind w:left="709" w:hanging="425"/>
      </w:pPr>
      <w:r w:rsidRPr="00625091">
        <w:t>IPPC 60</w:t>
      </w:r>
      <w:r w:rsidRPr="00625091">
        <w:rPr>
          <w:vertAlign w:val="superscript"/>
        </w:rPr>
        <w:t>th</w:t>
      </w:r>
      <w:r w:rsidRPr="00625091">
        <w:t xml:space="preserve"> anniversary website: </w:t>
      </w:r>
      <w:hyperlink r:id="rId30" w:history="1">
        <w:r w:rsidRPr="00625091">
          <w:rPr>
            <w:rStyle w:val="Hyperlink"/>
          </w:rPr>
          <w:t>https://www.ippc.int/60years/media/</w:t>
        </w:r>
      </w:hyperlink>
      <w:r w:rsidRPr="00625091">
        <w:t>.</w:t>
      </w:r>
    </w:p>
    <w:p w:rsidR="00625091" w:rsidRPr="006A297F" w:rsidRDefault="004C0787">
      <w:pPr>
        <w:pStyle w:val="IPPHeading2"/>
        <w:rPr>
          <w:u w:val="single"/>
        </w:rPr>
      </w:pPr>
      <w:r w:rsidRPr="006A297F">
        <w:rPr>
          <w:u w:val="single"/>
        </w:rPr>
        <w:t>Staffing</w:t>
      </w:r>
      <w:r w:rsidR="003835DC">
        <w:rPr>
          <w:u w:val="single"/>
        </w:rPr>
        <w:t xml:space="preserve"> (Objective Y)</w:t>
      </w:r>
    </w:p>
    <w:p w:rsidR="006527F0" w:rsidRDefault="004C0787" w:rsidP="00660ED7">
      <w:pPr>
        <w:pStyle w:val="NewPara"/>
        <w:numPr>
          <w:ilvl w:val="0"/>
          <w:numId w:val="36"/>
        </w:numPr>
      </w:pPr>
      <w:r w:rsidRPr="002624C6">
        <w:t xml:space="preserve">In </w:t>
      </w:r>
      <w:r>
        <w:t>2012,</w:t>
      </w:r>
      <w:r w:rsidRPr="002624C6">
        <w:t xml:space="preserve"> </w:t>
      </w:r>
      <w:r>
        <w:t xml:space="preserve">significant efforts were made to fill </w:t>
      </w:r>
      <w:r w:rsidRPr="002624C6">
        <w:t xml:space="preserve">the vacant regular programme post of the </w:t>
      </w:r>
      <w:r>
        <w:t>assistant standard officer</w:t>
      </w:r>
      <w:r w:rsidRPr="002624C6">
        <w:t>.</w:t>
      </w:r>
      <w:r>
        <w:t xml:space="preserve">  While forced to hold the process due to FAO decisions of freezing recruitment, finally the offer was made to and accepted by a candidate (to be appointed shortly).</w:t>
      </w:r>
    </w:p>
    <w:p w:rsidR="006527F0" w:rsidRDefault="004C0787" w:rsidP="00660ED7">
      <w:pPr>
        <w:pStyle w:val="NewPara"/>
        <w:numPr>
          <w:ilvl w:val="0"/>
          <w:numId w:val="36"/>
        </w:numPr>
      </w:pPr>
      <w:r>
        <w:t>Within the budget available, various short term staff members were recruited and interns/volunteers contributed to the IPPC activities in their capacity.</w:t>
      </w:r>
    </w:p>
    <w:p w:rsidR="00625091" w:rsidRPr="006A297F" w:rsidRDefault="004C0787">
      <w:pPr>
        <w:pStyle w:val="IPPHeading2"/>
        <w:rPr>
          <w:u w:val="single"/>
        </w:rPr>
      </w:pPr>
      <w:r w:rsidRPr="006A297F">
        <w:rPr>
          <w:u w:val="single"/>
        </w:rPr>
        <w:t>Reporting and in-kind contributions from contracting parties and organizations</w:t>
      </w:r>
      <w:r w:rsidR="003835DC">
        <w:rPr>
          <w:u w:val="single"/>
        </w:rPr>
        <w:t xml:space="preserve"> (Objectives X and Y)</w:t>
      </w:r>
    </w:p>
    <w:p w:rsidR="00660ED7" w:rsidRDefault="004C0787" w:rsidP="00660ED7">
      <w:pPr>
        <w:pStyle w:val="ListParagraph"/>
        <w:numPr>
          <w:ilvl w:val="0"/>
          <w:numId w:val="37"/>
        </w:numPr>
        <w:ind w:left="851"/>
      </w:pPr>
      <w:r w:rsidRPr="002624C6">
        <w:t xml:space="preserve">The IPPC Secretariat would like to recognize the donations to the Trust Fund for the IPPC which </w:t>
      </w:r>
      <w:r w:rsidR="00625091">
        <w:t xml:space="preserve">are also noted </w:t>
      </w:r>
      <w:r w:rsidRPr="002624C6">
        <w:t>in the Financial Report for 20</w:t>
      </w:r>
      <w:r>
        <w:t>12</w:t>
      </w:r>
      <w:r w:rsidRPr="002624C6">
        <w:t>.</w:t>
      </w:r>
      <w:r>
        <w:t xml:space="preserve">  </w:t>
      </w:r>
      <w:r w:rsidRPr="002624C6">
        <w:t>The IPPC Secretariat would also like to recognize the generous in-kind support provided</w:t>
      </w:r>
      <w:r w:rsidR="00625091">
        <w:t xml:space="preserve"> and w</w:t>
      </w:r>
      <w:r w:rsidR="00014C49">
        <w:t>hich are shown in</w:t>
      </w:r>
      <w:r w:rsidR="00660ED7">
        <w:t xml:space="preserve"> Tabel 5.</w:t>
      </w:r>
    </w:p>
    <w:p w:rsidR="00660ED7" w:rsidRDefault="00660ED7">
      <w:pPr>
        <w:ind w:left="720"/>
        <w:rPr>
          <w:b/>
          <w:szCs w:val="22"/>
        </w:rPr>
      </w:pPr>
    </w:p>
    <w:p w:rsidR="00660ED7" w:rsidRDefault="00660ED7">
      <w:pPr>
        <w:jc w:val="left"/>
        <w:rPr>
          <w:rFonts w:ascii="Arial" w:hAnsi="Arial" w:cs="Arial"/>
          <w:b/>
          <w:sz w:val="18"/>
          <w:szCs w:val="18"/>
        </w:rPr>
      </w:pPr>
      <w:r>
        <w:rPr>
          <w:rFonts w:ascii="Arial" w:hAnsi="Arial" w:cs="Arial"/>
          <w:b/>
          <w:sz w:val="18"/>
          <w:szCs w:val="18"/>
        </w:rPr>
        <w:br w:type="page"/>
      </w:r>
    </w:p>
    <w:p w:rsidR="006527F0" w:rsidRPr="00660ED7" w:rsidRDefault="007C3C98" w:rsidP="00660ED7">
      <w:pPr>
        <w:spacing w:after="120"/>
        <w:ind w:left="720"/>
        <w:jc w:val="center"/>
        <w:rPr>
          <w:rFonts w:ascii="Arial" w:hAnsi="Arial" w:cs="Arial"/>
          <w:b/>
          <w:sz w:val="18"/>
          <w:szCs w:val="18"/>
        </w:rPr>
      </w:pPr>
      <w:r w:rsidRPr="00660ED7">
        <w:rPr>
          <w:rFonts w:ascii="Arial" w:hAnsi="Arial" w:cs="Arial"/>
          <w:b/>
          <w:sz w:val="18"/>
          <w:szCs w:val="18"/>
        </w:rPr>
        <w:t>Table 5:  Financial and</w:t>
      </w:r>
      <w:r w:rsidRPr="00660ED7">
        <w:rPr>
          <w:rFonts w:ascii="Arial" w:hAnsi="Arial" w:cs="Arial"/>
          <w:sz w:val="18"/>
          <w:szCs w:val="18"/>
        </w:rPr>
        <w:t xml:space="preserve"> </w:t>
      </w:r>
      <w:r w:rsidRPr="00660ED7">
        <w:rPr>
          <w:rFonts w:ascii="Arial" w:hAnsi="Arial" w:cs="Arial"/>
          <w:b/>
          <w:sz w:val="18"/>
          <w:szCs w:val="18"/>
        </w:rPr>
        <w:t>in-kind contributions to support the IPPC work programme (Jan - September 2012)</w:t>
      </w:r>
    </w:p>
    <w:tbl>
      <w:tblPr>
        <w:tblW w:w="9219" w:type="dxa"/>
        <w:tblInd w:w="103" w:type="dxa"/>
        <w:tblLook w:val="04A0"/>
      </w:tblPr>
      <w:tblGrid>
        <w:gridCol w:w="2557"/>
        <w:gridCol w:w="2523"/>
        <w:gridCol w:w="4139"/>
      </w:tblGrid>
      <w:tr w:rsidR="00C9528E" w:rsidRPr="0039415B" w:rsidTr="00C9528E">
        <w:trPr>
          <w:trHeight w:val="600"/>
        </w:trPr>
        <w:tc>
          <w:tcPr>
            <w:tcW w:w="2557" w:type="dxa"/>
            <w:tcBorders>
              <w:top w:val="single" w:sz="4" w:space="0" w:color="auto"/>
              <w:left w:val="single" w:sz="4" w:space="0" w:color="auto"/>
              <w:bottom w:val="single" w:sz="4" w:space="0" w:color="auto"/>
              <w:right w:val="dotted" w:sz="4" w:space="0" w:color="BFBFBF"/>
            </w:tcBorders>
            <w:shd w:val="clear" w:color="000000" w:fill="BFBFBF"/>
          </w:tcPr>
          <w:p w:rsidR="00C9528E" w:rsidRPr="0039415B" w:rsidRDefault="00C9528E" w:rsidP="00C9528E">
            <w:pPr>
              <w:jc w:val="center"/>
              <w:rPr>
                <w:b/>
                <w:bCs/>
                <w:color w:val="000000"/>
              </w:rPr>
            </w:pPr>
            <w:r w:rsidRPr="0039415B">
              <w:rPr>
                <w:b/>
                <w:bCs/>
                <w:color w:val="000000"/>
              </w:rPr>
              <w:t>Contributing Contracting Party/ Organization</w:t>
            </w:r>
          </w:p>
        </w:tc>
        <w:tc>
          <w:tcPr>
            <w:tcW w:w="2523" w:type="dxa"/>
            <w:tcBorders>
              <w:top w:val="single" w:sz="4" w:space="0" w:color="auto"/>
              <w:left w:val="nil"/>
              <w:bottom w:val="single" w:sz="4" w:space="0" w:color="auto"/>
              <w:right w:val="dotted" w:sz="4" w:space="0" w:color="BFBFBF"/>
            </w:tcBorders>
            <w:shd w:val="clear" w:color="000000" w:fill="BFBFBF"/>
          </w:tcPr>
          <w:p w:rsidR="00C9528E" w:rsidRPr="0039415B" w:rsidRDefault="00C9528E" w:rsidP="00C9528E">
            <w:pPr>
              <w:jc w:val="center"/>
              <w:rPr>
                <w:b/>
                <w:bCs/>
                <w:color w:val="000000"/>
              </w:rPr>
            </w:pPr>
            <w:r w:rsidRPr="0039415B">
              <w:rPr>
                <w:b/>
                <w:bCs/>
                <w:color w:val="000000"/>
              </w:rPr>
              <w:t>Contribution</w:t>
            </w:r>
          </w:p>
        </w:tc>
        <w:tc>
          <w:tcPr>
            <w:tcW w:w="4139" w:type="dxa"/>
            <w:tcBorders>
              <w:top w:val="single" w:sz="4" w:space="0" w:color="auto"/>
              <w:left w:val="nil"/>
              <w:bottom w:val="single" w:sz="4" w:space="0" w:color="auto"/>
              <w:right w:val="single" w:sz="4" w:space="0" w:color="auto"/>
            </w:tcBorders>
            <w:shd w:val="clear" w:color="000000" w:fill="BFBFBF"/>
          </w:tcPr>
          <w:p w:rsidR="00C9528E" w:rsidRPr="0039415B" w:rsidRDefault="00C9528E" w:rsidP="00C9528E">
            <w:pPr>
              <w:jc w:val="center"/>
              <w:rPr>
                <w:b/>
                <w:bCs/>
                <w:color w:val="000000"/>
              </w:rPr>
            </w:pPr>
            <w:r w:rsidRPr="0039415B">
              <w:rPr>
                <w:b/>
                <w:bCs/>
                <w:color w:val="000000"/>
              </w:rPr>
              <w:t>Use of the contribution</w:t>
            </w:r>
          </w:p>
        </w:tc>
      </w:tr>
      <w:tr w:rsidR="00C9528E" w:rsidRPr="0039415B" w:rsidTr="00C9528E">
        <w:trPr>
          <w:trHeight w:val="211"/>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C9528E" w:rsidRPr="0039415B" w:rsidRDefault="00C9528E" w:rsidP="00C9528E">
            <w:pPr>
              <w:rPr>
                <w:b/>
              </w:rPr>
            </w:pPr>
            <w:r w:rsidRPr="0039415B">
              <w:rPr>
                <w:b/>
              </w:rPr>
              <w:t>Countries</w:t>
            </w:r>
          </w:p>
        </w:tc>
      </w:tr>
      <w:tr w:rsidR="00C9528E" w:rsidRPr="0039415B" w:rsidTr="00C9528E">
        <w:trPr>
          <w:trHeight w:val="139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Australia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Trust fund for meeting and activities related to capacity development</w:t>
            </w:r>
            <w:r>
              <w:t xml:space="preserve">, information exchange </w:t>
            </w:r>
            <w:r w:rsidRPr="0039415B">
              <w:t>and standard setting</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Support to the EWG CD  and 2 consultants for the Capacity Development (including information exchange)</w:t>
            </w:r>
            <w:r w:rsidRPr="0039415B">
              <w:t xml:space="preserve"> and </w:t>
            </w:r>
            <w:r>
              <w:t xml:space="preserve">1 for </w:t>
            </w:r>
            <w:r w:rsidRPr="0039415B">
              <w:t>standard setting</w:t>
            </w:r>
          </w:p>
        </w:tc>
      </w:tr>
      <w:tr w:rsidR="00C9528E" w:rsidRPr="0039415B" w:rsidTr="00C9528E">
        <w:trPr>
          <w:trHeight w:val="626"/>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Brazil</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Hosting and financing of workshop</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Upcoming ePhyto Workshop</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Canada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standard setting support (part time: 25%) </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China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Translation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IPP, Chinese</w:t>
            </w:r>
          </w:p>
        </w:tc>
      </w:tr>
      <w:tr w:rsidR="00C9528E" w:rsidRPr="0039415B" w:rsidTr="00C9528E">
        <w:trPr>
          <w:trHeight w:val="549"/>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EU</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Trust Fund for </w:t>
            </w:r>
            <w:r>
              <w:t>participation</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Travel assistance for participations to various meetings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EU</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Trust Fund for IRSS programme</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Implementation of IRSS programme including consultant recruitment</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France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Del="00B528EA" w:rsidRDefault="00C9528E" w:rsidP="00C9528E">
            <w:r w:rsidRPr="0039415B">
              <w:t>1 staff to support standard setting [</w:t>
            </w:r>
            <w:r>
              <w:t xml:space="preserve">26 months </w:t>
            </w:r>
            <w:r w:rsidRPr="0039415B">
              <w:t>from March</w:t>
            </w:r>
            <w:r>
              <w:t xml:space="preserve"> 2012</w:t>
            </w:r>
            <w:r w:rsidRPr="0039415B">
              <w:t>]</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1 staff to support standard setting (until March) and 2 staff for CPM-7 preparation (2 weeks) </w:t>
            </w:r>
          </w:p>
        </w:tc>
      </w:tr>
      <w:tr w:rsidR="00C9528E" w:rsidRPr="0039415B" w:rsidDel="00B528EA" w:rsidTr="00C9528E">
        <w:trPr>
          <w:trHeight w:val="382"/>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Trust fund for 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1 staff to support capacity development (4 years from coming November)</w:t>
            </w:r>
          </w:p>
        </w:tc>
      </w:tr>
      <w:tr w:rsidR="00C9528E" w:rsidRPr="0039415B" w:rsidDel="00B528EA" w:rsidTr="00C9528E">
        <w:trPr>
          <w:trHeight w:val="382"/>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Arrangement associated with CPM</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Event support</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TPPT meeting arrangements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New Zealand</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standard setting support (part time: 5% </w:t>
            </w:r>
            <w:r>
              <w:t xml:space="preserve">through August 2012 </w:t>
            </w:r>
            <w:r w:rsidRPr="0039415B">
              <w:t xml:space="preserve">and 10%) </w:t>
            </w:r>
          </w:p>
        </w:tc>
      </w:tr>
      <w:tr w:rsidR="00C9528E" w:rsidRPr="0039415B" w:rsidTr="00C9528E">
        <w:trPr>
          <w:trHeight w:val="91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Republic of Korea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Meeting host and  funds for some participant travel</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rPr>
                <w:color w:val="000000"/>
              </w:rPr>
              <w:t xml:space="preserve">Regional workshop on draft ISPMs, coming IRSS related symposium </w:t>
            </w:r>
          </w:p>
        </w:tc>
      </w:tr>
      <w:tr w:rsidR="00C9528E" w:rsidRPr="0039415B" w:rsidTr="00C9528E">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Russian Federation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Meeting host  and</w:t>
            </w:r>
            <w:r w:rsidRPr="0039415B">
              <w:rPr>
                <w:color w:val="000000"/>
              </w:rPr>
              <w:t xml:space="preserve"> partial funds for some participant travel</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Regional workshop on draft ISPMs, Russian speaking countries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Switzerland</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Trust Fund to support standard setting</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Support EWGs (2)</w:t>
            </w:r>
            <w:r w:rsidRPr="00D56362">
              <w:t xml:space="preserve"> </w:t>
            </w:r>
            <w:r>
              <w:t xml:space="preserve">and </w:t>
            </w:r>
            <w:r w:rsidRPr="00D56362">
              <w:t>TPDP</w:t>
            </w:r>
            <w:r>
              <w:t xml:space="preserve"> annual meetings, and </w:t>
            </w:r>
            <w:r w:rsidRPr="00D56362">
              <w:t>contribute towards</w:t>
            </w:r>
            <w:r>
              <w:t xml:space="preserve"> a</w:t>
            </w:r>
            <w:r w:rsidRPr="00D56362">
              <w:t xml:space="preserve"> part-time assistant</w:t>
            </w:r>
            <w:r>
              <w:t xml:space="preserve"> (2 years)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United Kingdom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A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CPM-7 preparation (2 weeks)</w:t>
            </w:r>
          </w:p>
        </w:tc>
      </w:tr>
      <w:tr w:rsidR="00C9528E" w:rsidRPr="0039415B" w:rsidDel="00C44C44"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Del="00B528EA" w:rsidRDefault="00C9528E" w:rsidP="00C9528E">
            <w:r w:rsidRPr="0039415B">
              <w:t>United States</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Del="00C44C44" w:rsidRDefault="00C9528E" w:rsidP="00C9528E">
            <w:r w:rsidRPr="0039415B">
              <w:rPr>
                <w:color w:val="000000"/>
              </w:rPr>
              <w:t>Trust fund for 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Default="00C9528E" w:rsidP="00C9528E">
            <w:r w:rsidRPr="0039415B">
              <w:t>1 staff to support standard setting under APO programme (until July</w:t>
            </w:r>
            <w:r>
              <w:t xml:space="preserve"> 2012</w:t>
            </w:r>
            <w:r w:rsidRPr="0039415B">
              <w:t>)</w:t>
            </w:r>
          </w:p>
          <w:p w:rsidR="00C9528E" w:rsidRPr="0039415B" w:rsidDel="00C44C44" w:rsidRDefault="00C9528E" w:rsidP="00C9528E"/>
        </w:tc>
      </w:tr>
    </w:tbl>
    <w:p w:rsidR="00660ED7" w:rsidRDefault="00660ED7" w:rsidP="00C9528E"/>
    <w:p w:rsidR="00660ED7" w:rsidRDefault="00660ED7">
      <w:pPr>
        <w:jc w:val="left"/>
      </w:pPr>
      <w:r>
        <w:br w:type="page"/>
      </w:r>
    </w:p>
    <w:p w:rsidR="00C9528E" w:rsidRDefault="00C9528E" w:rsidP="00C9528E"/>
    <w:tbl>
      <w:tblPr>
        <w:tblW w:w="9219" w:type="dxa"/>
        <w:tblInd w:w="103" w:type="dxa"/>
        <w:tblLook w:val="04A0"/>
      </w:tblPr>
      <w:tblGrid>
        <w:gridCol w:w="2557"/>
        <w:gridCol w:w="2523"/>
        <w:gridCol w:w="4139"/>
      </w:tblGrid>
      <w:tr w:rsidR="00C9528E" w:rsidRPr="0039415B" w:rsidTr="00C9528E">
        <w:trPr>
          <w:trHeight w:val="325"/>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C9528E" w:rsidRPr="0039415B" w:rsidRDefault="00C9528E" w:rsidP="00C9528E">
            <w:pPr>
              <w:rPr>
                <w:b/>
              </w:rPr>
            </w:pPr>
            <w:r w:rsidRPr="0039415B">
              <w:rPr>
                <w:b/>
              </w:rPr>
              <w:t>Regional Plant Protection Organizations</w:t>
            </w:r>
          </w:p>
        </w:tc>
      </w:tr>
      <w:tr w:rsidR="00C9528E" w:rsidRPr="0039415B" w:rsidTr="00C9528E">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5A5FCB" w:rsidRDefault="00C9528E" w:rsidP="00C9528E">
            <w:pPr>
              <w:spacing w:after="180"/>
              <w:rPr>
                <w:lang w:val="it-IT"/>
              </w:rPr>
            </w:pPr>
            <w:r w:rsidRPr="005A5FCB">
              <w:rPr>
                <w:szCs w:val="20"/>
                <w:lang w:val="it-IT"/>
              </w:rPr>
              <w:t xml:space="preserve">APPPC, EPPO, IAPSC, PPPO, OIRSA and COSAVE </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Organization assistance</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Regional workshops on draft ISPMs in each region</w:t>
            </w:r>
          </w:p>
        </w:tc>
      </w:tr>
      <w:tr w:rsidR="00C9528E" w:rsidRPr="0039415B" w:rsidTr="00C9528E">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lang w:val="it-IT"/>
              </w:rPr>
            </w:pPr>
            <w:r w:rsidRPr="0039415B">
              <w:rPr>
                <w:lang w:val="it-IT"/>
              </w:rPr>
              <w:t>APPPC</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Organization and 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Regional workshop and coming IRSS related symposium</w:t>
            </w:r>
          </w:p>
        </w:tc>
      </w:tr>
      <w:tr w:rsidR="00C9528E" w:rsidRPr="0039415B" w:rsidTr="00C9528E">
        <w:trPr>
          <w:trHeight w:val="421"/>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OIRSA and COSAVE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 xml:space="preserve">Regional workshops </w:t>
            </w:r>
          </w:p>
        </w:tc>
      </w:tr>
      <w:tr w:rsidR="00C9528E" w:rsidRPr="0039415B" w:rsidTr="00C9528E">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COSAVE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Arrangement associated with CPM</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Event support</w:t>
            </w:r>
          </w:p>
        </w:tc>
      </w:tr>
      <w:tr w:rsidR="00C9528E" w:rsidRPr="0039415B" w:rsidTr="00C9528E">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EPPO</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ePhyto workshop</w:t>
            </w:r>
            <w:r>
              <w:t xml:space="preserve"> + TPDP meeting arrangements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NAPPO</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A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CPM-7 preparation (2 weeks)</w:t>
            </w:r>
          </w:p>
        </w:tc>
      </w:tr>
      <w:tr w:rsidR="00C9528E" w:rsidRPr="0039415B" w:rsidTr="00C9528E">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 xml:space="preserve">PPPO </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t>Organization of the 24</w:t>
            </w:r>
            <w:r w:rsidRPr="00295D0B">
              <w:rPr>
                <w:vertAlign w:val="superscript"/>
              </w:rPr>
              <w:t>th</w:t>
            </w:r>
            <w:r>
              <w:t xml:space="preserve"> TC among RPPOs</w:t>
            </w:r>
          </w:p>
        </w:tc>
      </w:tr>
      <w:tr w:rsidR="00C9528E" w:rsidRPr="0039415B" w:rsidTr="00C9528E">
        <w:trPr>
          <w:trHeight w:val="293"/>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C9528E" w:rsidRPr="0039415B" w:rsidRDefault="00C9528E" w:rsidP="00C9528E">
            <w:pPr>
              <w:rPr>
                <w:b/>
              </w:rPr>
            </w:pPr>
            <w:r w:rsidRPr="0039415B">
              <w:rPr>
                <w:b/>
              </w:rPr>
              <w:t>Organizations</w:t>
            </w:r>
          </w:p>
        </w:tc>
      </w:tr>
      <w:tr w:rsidR="00C9528E" w:rsidRPr="0039415B" w:rsidTr="00C9528E">
        <w:trPr>
          <w:trHeight w:val="946"/>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IICA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Meeting host and 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Regional workshop on draft ISPMs for Latin America</w:t>
            </w:r>
            <w:r>
              <w:t xml:space="preserve"> </w:t>
            </w:r>
            <w:r w:rsidRPr="0039415B">
              <w:t xml:space="preserve"> </w:t>
            </w:r>
          </w:p>
        </w:tc>
      </w:tr>
      <w:tr w:rsidR="00C9528E" w:rsidRPr="0039415B" w:rsidTr="00C9528E">
        <w:trPr>
          <w:trHeight w:val="784"/>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IAEA/FAO Joint division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t>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pPr>
              <w:rPr>
                <w:color w:val="000000"/>
              </w:rPr>
            </w:pPr>
            <w:r w:rsidRPr="0039415B">
              <w:t>standard setting support (part time: 5%</w:t>
            </w:r>
            <w:r>
              <w:t>)</w:t>
            </w:r>
            <w:r w:rsidRPr="0039415B">
              <w:t xml:space="preserve"> </w:t>
            </w:r>
          </w:p>
        </w:tc>
      </w:tr>
      <w:tr w:rsidR="00C9528E" w:rsidRPr="0039415B" w:rsidTr="00C9528E">
        <w:trPr>
          <w:trHeight w:val="272"/>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C9528E" w:rsidRPr="0039415B" w:rsidRDefault="00C9528E" w:rsidP="00C9528E">
            <w:pPr>
              <w:rPr>
                <w:b/>
              </w:rPr>
            </w:pPr>
            <w:r w:rsidRPr="0039415B">
              <w:rPr>
                <w:b/>
              </w:rPr>
              <w:t>Collaborative programmes</w:t>
            </w:r>
          </w:p>
        </w:tc>
      </w:tr>
      <w:tr w:rsidR="00C9528E" w:rsidRPr="0039415B" w:rsidTr="00C9528E">
        <w:trPr>
          <w:trHeight w:val="5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Several contracting parties, regional organizations and international organizations</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9528E" w:rsidRPr="0039415B" w:rsidRDefault="00C9528E" w:rsidP="00C9528E">
            <w:r w:rsidRPr="0039415B">
              <w:t>EWGs, TPs and workshops</w:t>
            </w:r>
          </w:p>
        </w:tc>
      </w:tr>
    </w:tbl>
    <w:p w:rsidR="00C9528E" w:rsidRDefault="00C9528E" w:rsidP="00C9528E">
      <w:pPr>
        <w:rPr>
          <w:b/>
        </w:rPr>
      </w:pPr>
    </w:p>
    <w:p w:rsidR="00625091" w:rsidRDefault="00C9528E" w:rsidP="00E27C5B">
      <w:pPr>
        <w:pStyle w:val="IPPNumberedList"/>
        <w:numPr>
          <w:ilvl w:val="0"/>
          <w:numId w:val="14"/>
        </w:numPr>
      </w:pPr>
      <w:r w:rsidRPr="00C9528E">
        <w:rPr>
          <w:b/>
        </w:rPr>
        <w:br w:type="page"/>
      </w:r>
    </w:p>
    <w:p w:rsidR="00D33557" w:rsidRDefault="00D33557" w:rsidP="00D33557">
      <w:pPr>
        <w:pStyle w:val="IPPNumberedList"/>
        <w:numPr>
          <w:ilvl w:val="0"/>
          <w:numId w:val="0"/>
        </w:numPr>
        <w:ind w:left="567"/>
      </w:pPr>
    </w:p>
    <w:p w:rsidR="006527F0" w:rsidRPr="00660ED7" w:rsidRDefault="002E76D7" w:rsidP="00660ED7">
      <w:pPr>
        <w:pStyle w:val="NewPara"/>
        <w:numPr>
          <w:ilvl w:val="0"/>
          <w:numId w:val="0"/>
        </w:numPr>
        <w:spacing w:after="240"/>
        <w:ind w:left="142"/>
        <w:jc w:val="center"/>
        <w:rPr>
          <w:rFonts w:ascii="Arial" w:hAnsi="Arial" w:cs="Arial"/>
          <w:b/>
          <w:sz w:val="18"/>
          <w:szCs w:val="18"/>
        </w:rPr>
      </w:pPr>
      <w:r w:rsidRPr="00660ED7">
        <w:rPr>
          <w:rFonts w:ascii="Arial" w:hAnsi="Arial" w:cs="Arial"/>
          <w:b/>
          <w:sz w:val="18"/>
          <w:szCs w:val="18"/>
        </w:rPr>
        <w:t>Table</w:t>
      </w:r>
      <w:r w:rsidR="00D33557" w:rsidRPr="00660ED7">
        <w:rPr>
          <w:rFonts w:ascii="Arial" w:hAnsi="Arial" w:cs="Arial"/>
          <w:b/>
          <w:sz w:val="18"/>
          <w:szCs w:val="18"/>
        </w:rPr>
        <w:t xml:space="preserve"> </w:t>
      </w:r>
      <w:r w:rsidR="00C9528E" w:rsidRPr="00660ED7">
        <w:rPr>
          <w:rFonts w:ascii="Arial" w:hAnsi="Arial" w:cs="Arial"/>
          <w:b/>
          <w:sz w:val="18"/>
          <w:szCs w:val="18"/>
        </w:rPr>
        <w:t>6</w:t>
      </w:r>
      <w:r w:rsidR="00660ED7">
        <w:rPr>
          <w:rFonts w:ascii="Arial" w:hAnsi="Arial" w:cs="Arial"/>
          <w:b/>
          <w:sz w:val="18"/>
          <w:szCs w:val="18"/>
        </w:rPr>
        <w:t xml:space="preserve">: </w:t>
      </w:r>
      <w:r w:rsidRPr="00660ED7">
        <w:rPr>
          <w:rFonts w:ascii="Arial" w:hAnsi="Arial" w:cs="Arial"/>
          <w:b/>
          <w:sz w:val="18"/>
          <w:szCs w:val="18"/>
        </w:rPr>
        <w:t>Financial and in-kind contributions to support the</w:t>
      </w:r>
      <w:r w:rsidR="008C39FC">
        <w:rPr>
          <w:rFonts w:ascii="Arial" w:hAnsi="Arial" w:cs="Arial"/>
          <w:b/>
          <w:sz w:val="18"/>
          <w:szCs w:val="18"/>
        </w:rPr>
        <w:t xml:space="preserve"> IPPC work programme (Jan - Sep</w:t>
      </w:r>
      <w:r w:rsidRPr="00660ED7">
        <w:rPr>
          <w:rFonts w:ascii="Arial" w:hAnsi="Arial" w:cs="Arial"/>
          <w:b/>
          <w:sz w:val="18"/>
          <w:szCs w:val="18"/>
        </w:rPr>
        <w:t xml:space="preserve"> 2012)</w:t>
      </w:r>
    </w:p>
    <w:tbl>
      <w:tblPr>
        <w:tblW w:w="9219" w:type="dxa"/>
        <w:tblInd w:w="103" w:type="dxa"/>
        <w:tblLook w:val="04A0"/>
      </w:tblPr>
      <w:tblGrid>
        <w:gridCol w:w="2557"/>
        <w:gridCol w:w="2523"/>
        <w:gridCol w:w="4139"/>
      </w:tblGrid>
      <w:tr w:rsidR="002E76D7" w:rsidRPr="0039415B" w:rsidTr="002E76D7">
        <w:trPr>
          <w:trHeight w:val="600"/>
        </w:trPr>
        <w:tc>
          <w:tcPr>
            <w:tcW w:w="2557" w:type="dxa"/>
            <w:tcBorders>
              <w:top w:val="single" w:sz="4" w:space="0" w:color="auto"/>
              <w:left w:val="single" w:sz="4" w:space="0" w:color="auto"/>
              <w:bottom w:val="single" w:sz="4" w:space="0" w:color="auto"/>
              <w:right w:val="dotted" w:sz="4" w:space="0" w:color="BFBFBF"/>
            </w:tcBorders>
            <w:shd w:val="clear" w:color="000000" w:fill="BFBFBF"/>
          </w:tcPr>
          <w:p w:rsidR="002E76D7" w:rsidRPr="0039415B" w:rsidRDefault="002E76D7" w:rsidP="002E76D7">
            <w:pPr>
              <w:jc w:val="center"/>
              <w:rPr>
                <w:b/>
                <w:bCs/>
                <w:color w:val="000000"/>
              </w:rPr>
            </w:pPr>
            <w:r w:rsidRPr="0039415B">
              <w:rPr>
                <w:b/>
                <w:bCs/>
                <w:color w:val="000000"/>
              </w:rPr>
              <w:t>Contributing Contracting Party/ Organization</w:t>
            </w:r>
          </w:p>
        </w:tc>
        <w:tc>
          <w:tcPr>
            <w:tcW w:w="2523" w:type="dxa"/>
            <w:tcBorders>
              <w:top w:val="single" w:sz="4" w:space="0" w:color="auto"/>
              <w:left w:val="nil"/>
              <w:bottom w:val="single" w:sz="4" w:space="0" w:color="auto"/>
              <w:right w:val="dotted" w:sz="4" w:space="0" w:color="BFBFBF"/>
            </w:tcBorders>
            <w:shd w:val="clear" w:color="000000" w:fill="BFBFBF"/>
          </w:tcPr>
          <w:p w:rsidR="002E76D7" w:rsidRPr="0039415B" w:rsidRDefault="002E76D7" w:rsidP="002E76D7">
            <w:pPr>
              <w:jc w:val="center"/>
              <w:rPr>
                <w:b/>
                <w:bCs/>
                <w:color w:val="000000"/>
              </w:rPr>
            </w:pPr>
            <w:r w:rsidRPr="0039415B">
              <w:rPr>
                <w:b/>
                <w:bCs/>
                <w:color w:val="000000"/>
              </w:rPr>
              <w:t>Contribution</w:t>
            </w:r>
          </w:p>
        </w:tc>
        <w:tc>
          <w:tcPr>
            <w:tcW w:w="4139" w:type="dxa"/>
            <w:tcBorders>
              <w:top w:val="single" w:sz="4" w:space="0" w:color="auto"/>
              <w:left w:val="nil"/>
              <w:bottom w:val="single" w:sz="4" w:space="0" w:color="auto"/>
              <w:right w:val="single" w:sz="4" w:space="0" w:color="auto"/>
            </w:tcBorders>
            <w:shd w:val="clear" w:color="000000" w:fill="BFBFBF"/>
          </w:tcPr>
          <w:p w:rsidR="002E76D7" w:rsidRPr="0039415B" w:rsidRDefault="002E76D7" w:rsidP="002E76D7">
            <w:pPr>
              <w:jc w:val="center"/>
              <w:rPr>
                <w:b/>
                <w:bCs/>
                <w:color w:val="000000"/>
              </w:rPr>
            </w:pPr>
            <w:r w:rsidRPr="0039415B">
              <w:rPr>
                <w:b/>
                <w:bCs/>
                <w:color w:val="000000"/>
              </w:rPr>
              <w:t>Use of the contribution</w:t>
            </w:r>
          </w:p>
        </w:tc>
      </w:tr>
      <w:tr w:rsidR="002E76D7" w:rsidRPr="0039415B" w:rsidTr="002E76D7">
        <w:trPr>
          <w:trHeight w:val="211"/>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2E76D7" w:rsidRPr="0039415B" w:rsidRDefault="002E76D7" w:rsidP="002E76D7">
            <w:pPr>
              <w:rPr>
                <w:b/>
              </w:rPr>
            </w:pPr>
            <w:r w:rsidRPr="0039415B">
              <w:rPr>
                <w:b/>
              </w:rPr>
              <w:t>Countries</w:t>
            </w:r>
          </w:p>
        </w:tc>
      </w:tr>
      <w:tr w:rsidR="002E76D7" w:rsidRPr="0039415B" w:rsidTr="002E76D7">
        <w:trPr>
          <w:trHeight w:val="139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Australia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Trust fund for meeting and activities related to capacity development</w:t>
            </w:r>
            <w:r>
              <w:t xml:space="preserve">, information exchange </w:t>
            </w:r>
            <w:r w:rsidRPr="0039415B">
              <w:t>and standard setting</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Support to the EWG CD  and 2 consultants for the Capacity Development (including information exchange)</w:t>
            </w:r>
            <w:r w:rsidRPr="0039415B">
              <w:t xml:space="preserve"> and </w:t>
            </w:r>
            <w:r>
              <w:t xml:space="preserve">1 for </w:t>
            </w:r>
            <w:r w:rsidRPr="0039415B">
              <w:t>standard setting</w:t>
            </w:r>
          </w:p>
        </w:tc>
      </w:tr>
      <w:tr w:rsidR="002E76D7" w:rsidRPr="0039415B" w:rsidTr="002E76D7">
        <w:trPr>
          <w:trHeight w:val="626"/>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Brazil</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Hosting and financing of workshop</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Upcoming ePhyto Workshop</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Canada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standard setting support (part time: 25%) </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China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Translation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IPP, Chinese</w:t>
            </w:r>
          </w:p>
        </w:tc>
      </w:tr>
      <w:tr w:rsidR="002E76D7" w:rsidRPr="0039415B" w:rsidTr="002E76D7">
        <w:trPr>
          <w:trHeight w:val="549"/>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EU</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Trust Fund for </w:t>
            </w:r>
            <w:r>
              <w:t>participation</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Travel assistance for participations to various meetings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EU</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Trust Fund for IRSS programme</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Implementation of IRSS programme including consultant recruitment</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France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Del="00B528EA" w:rsidRDefault="002E76D7" w:rsidP="002E76D7">
            <w:r w:rsidRPr="0039415B">
              <w:t>1 staff to support standard setting [</w:t>
            </w:r>
            <w:r>
              <w:t xml:space="preserve">26 months </w:t>
            </w:r>
            <w:r w:rsidRPr="0039415B">
              <w:t>from March</w:t>
            </w:r>
            <w:r>
              <w:t xml:space="preserve"> 2012</w:t>
            </w:r>
            <w:r w:rsidRPr="0039415B">
              <w:t>]</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1 staff to support standard setting (until March) and 2 staff for CPM-7 preparation (2 weeks) </w:t>
            </w:r>
          </w:p>
        </w:tc>
      </w:tr>
      <w:tr w:rsidR="002E76D7" w:rsidRPr="0039415B" w:rsidDel="00B528EA" w:rsidTr="002E76D7">
        <w:trPr>
          <w:trHeight w:val="382"/>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Trust fund for 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1 staff to support capacity development (4 years from coming November)</w:t>
            </w:r>
          </w:p>
        </w:tc>
      </w:tr>
      <w:tr w:rsidR="002E76D7" w:rsidRPr="0039415B" w:rsidDel="00B528EA" w:rsidTr="002E76D7">
        <w:trPr>
          <w:trHeight w:val="382"/>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Arrangement associated with CPM</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Event support</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Japan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TPPT meeting arrangements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New Zealand</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2 staff members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standard setting support (part time: 5% </w:t>
            </w:r>
            <w:r>
              <w:t xml:space="preserve">through August 2012 </w:t>
            </w:r>
            <w:r w:rsidRPr="0039415B">
              <w:t xml:space="preserve">and 10%) </w:t>
            </w:r>
          </w:p>
        </w:tc>
      </w:tr>
      <w:tr w:rsidR="002E76D7" w:rsidRPr="0039415B" w:rsidTr="002E76D7">
        <w:trPr>
          <w:trHeight w:val="91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Republic of Korea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Meeting host and  funds for some participant travel</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rPr>
                <w:color w:val="000000"/>
              </w:rPr>
              <w:t xml:space="preserve">Regional workshop on draft ISPMs, coming IRSS related symposium </w:t>
            </w:r>
          </w:p>
        </w:tc>
      </w:tr>
      <w:tr w:rsidR="002E76D7" w:rsidRPr="0039415B" w:rsidTr="002E76D7">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Russian Federation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Meeting host  and</w:t>
            </w:r>
            <w:r w:rsidRPr="0039415B">
              <w:rPr>
                <w:color w:val="000000"/>
              </w:rPr>
              <w:t xml:space="preserve"> partial funds for some participant travel</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Regional workshop on draft ISPMs, Russian speaking countries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Switzerland</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Trust Fund to support standard setting</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Support EWGs (2)</w:t>
            </w:r>
            <w:r w:rsidRPr="00D56362">
              <w:t xml:space="preserve"> </w:t>
            </w:r>
            <w:r>
              <w:t xml:space="preserve">and </w:t>
            </w:r>
            <w:r w:rsidRPr="00D56362">
              <w:t>TPDP</w:t>
            </w:r>
            <w:r>
              <w:t xml:space="preserve"> annual meetings, and </w:t>
            </w:r>
            <w:r w:rsidRPr="00D56362">
              <w:t>contribute towards</w:t>
            </w:r>
            <w:r>
              <w:t xml:space="preserve"> a</w:t>
            </w:r>
            <w:r w:rsidRPr="00D56362">
              <w:t xml:space="preserve"> part-time assistant</w:t>
            </w:r>
            <w:r>
              <w:t xml:space="preserve"> (2 years)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United Kingdom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A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CPM-7 preparation (2 weeks)</w:t>
            </w:r>
          </w:p>
        </w:tc>
      </w:tr>
      <w:tr w:rsidR="002E76D7" w:rsidRPr="0039415B" w:rsidDel="00C44C44"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Del="00B528EA" w:rsidRDefault="002E76D7" w:rsidP="002E76D7">
            <w:r w:rsidRPr="0039415B">
              <w:t>United States</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Del="00C44C44" w:rsidRDefault="002E76D7" w:rsidP="002E76D7">
            <w:r w:rsidRPr="0039415B">
              <w:rPr>
                <w:color w:val="000000"/>
              </w:rPr>
              <w:t>Trust fund for 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Default="002E76D7" w:rsidP="002E76D7">
            <w:r w:rsidRPr="0039415B">
              <w:t>1 staff to support standard setting under APO programme (until July</w:t>
            </w:r>
            <w:r>
              <w:t xml:space="preserve"> 2012</w:t>
            </w:r>
            <w:r w:rsidRPr="0039415B">
              <w:t>)</w:t>
            </w:r>
          </w:p>
          <w:p w:rsidR="002E76D7" w:rsidRPr="0039415B" w:rsidDel="00C44C44" w:rsidRDefault="002E76D7" w:rsidP="002E76D7"/>
        </w:tc>
      </w:tr>
    </w:tbl>
    <w:p w:rsidR="006527F0" w:rsidRDefault="002E76D7">
      <w:pPr>
        <w:pStyle w:val="NewPara"/>
      </w:pPr>
      <w:r>
        <w:br w:type="page"/>
      </w:r>
    </w:p>
    <w:tbl>
      <w:tblPr>
        <w:tblW w:w="9219" w:type="dxa"/>
        <w:tblInd w:w="103" w:type="dxa"/>
        <w:tblLook w:val="04A0"/>
      </w:tblPr>
      <w:tblGrid>
        <w:gridCol w:w="2557"/>
        <w:gridCol w:w="2523"/>
        <w:gridCol w:w="4139"/>
      </w:tblGrid>
      <w:tr w:rsidR="002E76D7" w:rsidRPr="0039415B" w:rsidTr="002E76D7">
        <w:trPr>
          <w:trHeight w:val="325"/>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2E76D7" w:rsidRPr="0039415B" w:rsidRDefault="002E76D7" w:rsidP="002E76D7">
            <w:pPr>
              <w:rPr>
                <w:b/>
              </w:rPr>
            </w:pPr>
            <w:r w:rsidRPr="0039415B">
              <w:rPr>
                <w:b/>
              </w:rPr>
              <w:t>Regional Plant Protection Organizations</w:t>
            </w:r>
          </w:p>
        </w:tc>
      </w:tr>
      <w:tr w:rsidR="002E76D7" w:rsidRPr="0039415B" w:rsidTr="002E76D7">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5A5FCB" w:rsidRDefault="002E76D7" w:rsidP="002E76D7">
            <w:pPr>
              <w:spacing w:after="180"/>
              <w:rPr>
                <w:lang w:val="it-IT"/>
              </w:rPr>
            </w:pPr>
            <w:r w:rsidRPr="005A5FCB">
              <w:rPr>
                <w:szCs w:val="20"/>
                <w:lang w:val="it-IT"/>
              </w:rPr>
              <w:t xml:space="preserve">APPPC, EPPO, IAPSC, PPPO, OIRSA and COSAVE </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Organization assistance</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Regional workshops on draft ISPMs in each region</w:t>
            </w:r>
          </w:p>
        </w:tc>
      </w:tr>
      <w:tr w:rsidR="002E76D7" w:rsidRPr="0039415B" w:rsidTr="002E76D7">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lang w:val="it-IT"/>
              </w:rPr>
            </w:pPr>
            <w:r w:rsidRPr="0039415B">
              <w:rPr>
                <w:lang w:val="it-IT"/>
              </w:rPr>
              <w:t>APPPC</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Organization and 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Regional workshop and coming IRSS related symposium</w:t>
            </w:r>
          </w:p>
        </w:tc>
      </w:tr>
      <w:tr w:rsidR="002E76D7" w:rsidRPr="0039415B" w:rsidTr="002E76D7">
        <w:trPr>
          <w:trHeight w:val="421"/>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OIRSA and COSAVE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 xml:space="preserve">Regional workshops </w:t>
            </w:r>
          </w:p>
        </w:tc>
      </w:tr>
      <w:tr w:rsidR="002E76D7" w:rsidRPr="0039415B" w:rsidTr="002E76D7">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COSAVE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Arrangement associated with CPM</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Event support</w:t>
            </w:r>
          </w:p>
        </w:tc>
      </w:tr>
      <w:tr w:rsidR="002E76D7" w:rsidRPr="0039415B" w:rsidTr="002E76D7">
        <w:trPr>
          <w:trHeight w:val="6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EPPO</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ePhyto workshop</w:t>
            </w:r>
            <w:r>
              <w:t xml:space="preserve"> + TPDP meeting arrangements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NAPPO</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A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CPM-7 preparation (2 weeks)</w:t>
            </w:r>
          </w:p>
        </w:tc>
      </w:tr>
      <w:tr w:rsidR="002E76D7" w:rsidRPr="0039415B" w:rsidTr="002E76D7">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 xml:space="preserve">PPPO </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t>Organization of the 24</w:t>
            </w:r>
            <w:r w:rsidRPr="00295D0B">
              <w:rPr>
                <w:vertAlign w:val="superscript"/>
              </w:rPr>
              <w:t>th</w:t>
            </w:r>
            <w:r>
              <w:t xml:space="preserve"> TC among RPPOs</w:t>
            </w:r>
          </w:p>
        </w:tc>
      </w:tr>
      <w:tr w:rsidR="002E76D7" w:rsidRPr="0039415B" w:rsidTr="002E76D7">
        <w:trPr>
          <w:trHeight w:val="293"/>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2E76D7" w:rsidRPr="0039415B" w:rsidRDefault="002E76D7" w:rsidP="002E76D7">
            <w:pPr>
              <w:rPr>
                <w:b/>
              </w:rPr>
            </w:pPr>
            <w:r w:rsidRPr="0039415B">
              <w:rPr>
                <w:b/>
              </w:rPr>
              <w:t>Organizations</w:t>
            </w:r>
          </w:p>
        </w:tc>
      </w:tr>
      <w:tr w:rsidR="002E76D7" w:rsidRPr="0039415B" w:rsidTr="002E76D7">
        <w:trPr>
          <w:trHeight w:val="946"/>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IICA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Meeting host and funded some meeting participants</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Regional workshop on draft ISPMs for Latin America</w:t>
            </w:r>
            <w:r>
              <w:t xml:space="preserve"> </w:t>
            </w:r>
            <w:r w:rsidRPr="0039415B">
              <w:t xml:space="preserve"> </w:t>
            </w:r>
          </w:p>
        </w:tc>
      </w:tr>
      <w:tr w:rsidR="002E76D7" w:rsidRPr="0039415B" w:rsidTr="002E76D7">
        <w:trPr>
          <w:trHeight w:val="784"/>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IAEA/FAO Joint division</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t>1 staff member</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pPr>
              <w:rPr>
                <w:color w:val="000000"/>
              </w:rPr>
            </w:pPr>
            <w:r w:rsidRPr="0039415B">
              <w:t>standard setting support (part time: 5%</w:t>
            </w:r>
            <w:r>
              <w:t>)</w:t>
            </w:r>
            <w:r w:rsidRPr="0039415B">
              <w:t xml:space="preserve"> </w:t>
            </w:r>
          </w:p>
        </w:tc>
      </w:tr>
      <w:tr w:rsidR="002E76D7" w:rsidRPr="0039415B" w:rsidTr="002E76D7">
        <w:trPr>
          <w:trHeight w:val="272"/>
        </w:trPr>
        <w:tc>
          <w:tcPr>
            <w:tcW w:w="9219" w:type="dxa"/>
            <w:gridSpan w:val="3"/>
            <w:tcBorders>
              <w:top w:val="single" w:sz="4" w:space="0" w:color="auto"/>
              <w:left w:val="single" w:sz="4" w:space="0" w:color="auto"/>
              <w:bottom w:val="single" w:sz="4" w:space="0" w:color="auto"/>
              <w:right w:val="single" w:sz="4" w:space="0" w:color="auto"/>
            </w:tcBorders>
            <w:shd w:val="clear" w:color="auto" w:fill="F2F2F2"/>
          </w:tcPr>
          <w:p w:rsidR="002E76D7" w:rsidRPr="0039415B" w:rsidRDefault="002E76D7" w:rsidP="002E76D7">
            <w:pPr>
              <w:rPr>
                <w:b/>
              </w:rPr>
            </w:pPr>
            <w:r w:rsidRPr="0039415B">
              <w:rPr>
                <w:b/>
              </w:rPr>
              <w:t>Collaborative programmes</w:t>
            </w:r>
          </w:p>
        </w:tc>
      </w:tr>
      <w:tr w:rsidR="002E76D7" w:rsidRPr="0039415B" w:rsidTr="002E76D7">
        <w:trPr>
          <w:trHeight w:val="500"/>
        </w:trPr>
        <w:tc>
          <w:tcPr>
            <w:tcW w:w="2557"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Several contracting parties, regional organizations and international organizations</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Meeting host</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E76D7" w:rsidRPr="0039415B" w:rsidRDefault="002E76D7" w:rsidP="002E76D7">
            <w:r w:rsidRPr="0039415B">
              <w:t>EWGs, TPs and workshops</w:t>
            </w:r>
          </w:p>
        </w:tc>
      </w:tr>
    </w:tbl>
    <w:p w:rsidR="00625091" w:rsidRPr="006A297F" w:rsidRDefault="00014C49">
      <w:pPr>
        <w:pStyle w:val="IPPHeading2"/>
        <w:rPr>
          <w:u w:val="single"/>
        </w:rPr>
      </w:pPr>
      <w:r w:rsidRPr="006A297F">
        <w:rPr>
          <w:u w:val="single"/>
        </w:rPr>
        <w:t>Status of bodies under Article XIV of the FAO Constitution</w:t>
      </w:r>
      <w:r w:rsidR="003835DC">
        <w:rPr>
          <w:u w:val="single"/>
        </w:rPr>
        <w:t xml:space="preserve"> (Objective Y)</w:t>
      </w:r>
    </w:p>
    <w:p w:rsidR="006527F0" w:rsidRDefault="00014C49" w:rsidP="008C39FC">
      <w:pPr>
        <w:pStyle w:val="NewPara"/>
        <w:numPr>
          <w:ilvl w:val="0"/>
          <w:numId w:val="40"/>
        </w:numPr>
      </w:pPr>
      <w:r w:rsidRPr="00D33F77">
        <w:t xml:space="preserve">Various meetings were held in FAO to discuss the operational autonomy options available for Article XIV bodies.  </w:t>
      </w:r>
      <w:r>
        <w:t>Also, a questionnaire was circulated to FAO member countries and relevant FAO meetings will discuss the results</w:t>
      </w:r>
      <w:r w:rsidR="00F80519">
        <w:t xml:space="preserve">, including a meeting of the Committee on Constitutional and Legal Matters during the week of October 8.  </w:t>
      </w:r>
      <w:r>
        <w:t xml:space="preserve"> </w:t>
      </w:r>
    </w:p>
    <w:p w:rsidR="00625091" w:rsidRPr="006A297F" w:rsidRDefault="00014C49">
      <w:pPr>
        <w:pStyle w:val="IPPHeading2"/>
        <w:rPr>
          <w:rStyle w:val="NroPara"/>
          <w:u w:val="single"/>
        </w:rPr>
      </w:pPr>
      <w:r w:rsidRPr="006A297F">
        <w:rPr>
          <w:rStyle w:val="NroPara"/>
          <w:u w:val="single"/>
        </w:rPr>
        <w:t>Procedural Manual</w:t>
      </w:r>
      <w:r w:rsidR="003835DC">
        <w:rPr>
          <w:rStyle w:val="NroPara"/>
          <w:u w:val="single"/>
        </w:rPr>
        <w:t xml:space="preserve"> (Objective X)</w:t>
      </w:r>
    </w:p>
    <w:p w:rsidR="006527F0" w:rsidRDefault="00014C49" w:rsidP="008C39FC">
      <w:pPr>
        <w:pStyle w:val="NewPara"/>
        <w:numPr>
          <w:ilvl w:val="0"/>
          <w:numId w:val="40"/>
        </w:numPr>
      </w:pPr>
      <w:r w:rsidRPr="00101ADF">
        <w:t xml:space="preserve">The Secretariat </w:t>
      </w:r>
      <w:r>
        <w:t xml:space="preserve">is in the process of </w:t>
      </w:r>
      <w:r w:rsidRPr="00101ADF">
        <w:t>updat</w:t>
      </w:r>
      <w:r>
        <w:t>ing</w:t>
      </w:r>
      <w:r w:rsidRPr="00101ADF">
        <w:t xml:space="preserve"> the IPPC Procedural Manual to </w:t>
      </w:r>
      <w:r>
        <w:t xml:space="preserve">reflect </w:t>
      </w:r>
      <w:r w:rsidRPr="00101ADF">
        <w:t xml:space="preserve">decisions and procedures made up to and including the </w:t>
      </w:r>
      <w:r>
        <w:t>Seventh</w:t>
      </w:r>
      <w:r w:rsidRPr="00101ADF">
        <w:t xml:space="preserve"> Session of the Commission (CPM-</w:t>
      </w:r>
      <w:r>
        <w:t>7</w:t>
      </w:r>
      <w:r w:rsidRPr="00101ADF">
        <w:t xml:space="preserve"> (</w:t>
      </w:r>
      <w:r>
        <w:t>2012</w:t>
      </w:r>
      <w:r w:rsidRPr="00101ADF">
        <w:t xml:space="preserve">)) and the </w:t>
      </w:r>
      <w:r>
        <w:t>May</w:t>
      </w:r>
      <w:r w:rsidRPr="00101ADF">
        <w:t xml:space="preserve"> </w:t>
      </w:r>
      <w:r>
        <w:t>2012</w:t>
      </w:r>
      <w:r w:rsidRPr="00101ADF">
        <w:t xml:space="preserve"> meeting of the</w:t>
      </w:r>
      <w:r>
        <w:t xml:space="preserve"> Standards Committee (SC). The updated </w:t>
      </w:r>
      <w:r w:rsidRPr="00101ADF">
        <w:t xml:space="preserve">manual </w:t>
      </w:r>
      <w:r>
        <w:t>will be</w:t>
      </w:r>
      <w:r w:rsidRPr="00101ADF">
        <w:t xml:space="preserve"> only available electronically in English and is posted on the IPP.</w:t>
      </w:r>
    </w:p>
    <w:p w:rsidR="006527F0" w:rsidRDefault="00014C49" w:rsidP="008C39FC">
      <w:pPr>
        <w:pStyle w:val="NewPara"/>
        <w:numPr>
          <w:ilvl w:val="0"/>
          <w:numId w:val="40"/>
        </w:numPr>
      </w:pPr>
      <w:r w:rsidRPr="00D33F77">
        <w:t xml:space="preserve">The Secretariat was represented at a range of meetings with international and regional </w:t>
      </w:r>
      <w:r w:rsidRPr="005C405E">
        <w:t xml:space="preserve">organizations (See Table 1). </w:t>
      </w:r>
    </w:p>
    <w:p w:rsidR="00625091" w:rsidRPr="006A297F" w:rsidRDefault="00014C49">
      <w:pPr>
        <w:pStyle w:val="IPPHeading1"/>
        <w:rPr>
          <w:u w:val="single"/>
        </w:rPr>
      </w:pPr>
      <w:r w:rsidRPr="006A297F">
        <w:rPr>
          <w:u w:val="single"/>
        </w:rPr>
        <w:t>IRSS</w:t>
      </w:r>
      <w:r w:rsidR="003835DC">
        <w:rPr>
          <w:u w:val="single"/>
        </w:rPr>
        <w:t xml:space="preserve"> (Objective A,</w:t>
      </w:r>
      <w:r w:rsidR="00F80519">
        <w:rPr>
          <w:u w:val="single"/>
        </w:rPr>
        <w:t xml:space="preserve"> </w:t>
      </w:r>
      <w:r w:rsidR="003835DC">
        <w:rPr>
          <w:u w:val="single"/>
        </w:rPr>
        <w:t>B, C, D and X)</w:t>
      </w:r>
      <w:r w:rsidR="00F80519">
        <w:rPr>
          <w:u w:val="single"/>
        </w:rPr>
        <w:t xml:space="preserve"> </w:t>
      </w:r>
    </w:p>
    <w:p w:rsidR="006527F0" w:rsidRDefault="00014C49" w:rsidP="008C39FC">
      <w:pPr>
        <w:pStyle w:val="NewPara"/>
        <w:numPr>
          <w:ilvl w:val="0"/>
          <w:numId w:val="40"/>
        </w:numPr>
      </w:pPr>
      <w:r w:rsidRPr="005C405E">
        <w:t>The first year of the 3-year IRSS cycle was delivered with the establishment of the IRSS webpage</w:t>
      </w:r>
      <w:r w:rsidR="00F80519">
        <w:t>.  The webpage</w:t>
      </w:r>
      <w:r w:rsidR="005C405E" w:rsidRPr="005C405E">
        <w:t xml:space="preserve"> will be undergoing continual improvements, which will include the </w:t>
      </w:r>
      <w:r w:rsidRPr="005C405E">
        <w:t xml:space="preserve">Helpdesk facility. </w:t>
      </w:r>
    </w:p>
    <w:p w:rsidR="006527F0" w:rsidRDefault="00014C49" w:rsidP="008C39FC">
      <w:pPr>
        <w:pStyle w:val="NewPara"/>
        <w:numPr>
          <w:ilvl w:val="0"/>
          <w:numId w:val="40"/>
        </w:numPr>
      </w:pPr>
      <w:r w:rsidRPr="005C405E">
        <w:t>Additional activities conducted included initiating studies on the challenges for impleme</w:t>
      </w:r>
      <w:bookmarkStart w:id="0" w:name="_GoBack"/>
      <w:bookmarkEnd w:id="0"/>
      <w:r w:rsidRPr="005C405E">
        <w:t xml:space="preserve">ntation of ISPM </w:t>
      </w:r>
      <w:r w:rsidR="005C405E" w:rsidRPr="005C405E">
        <w:t>17 and 19, and</w:t>
      </w:r>
      <w:r w:rsidR="005C405E">
        <w:t xml:space="preserve"> the release of the general IPPC</w:t>
      </w:r>
      <w:r w:rsidR="005C405E" w:rsidRPr="005C405E">
        <w:t xml:space="preserve"> survey to the </w:t>
      </w:r>
      <w:r w:rsidR="005C405E">
        <w:t xml:space="preserve">NPPOs.  </w:t>
      </w:r>
    </w:p>
    <w:p w:rsidR="00157345" w:rsidRPr="006A297F" w:rsidRDefault="005547EE" w:rsidP="00157345">
      <w:pPr>
        <w:pStyle w:val="IPPHeading1"/>
        <w:rPr>
          <w:u w:val="single"/>
        </w:rPr>
      </w:pPr>
      <w:r w:rsidRPr="006A297F">
        <w:rPr>
          <w:u w:val="single"/>
        </w:rPr>
        <w:t>ePhyto</w:t>
      </w:r>
      <w:r w:rsidR="003835DC">
        <w:rPr>
          <w:u w:val="single"/>
        </w:rPr>
        <w:t xml:space="preserve"> (Objective C, X and Y)</w:t>
      </w:r>
    </w:p>
    <w:p w:rsidR="006527F0" w:rsidRDefault="003C7DE0" w:rsidP="008C39FC">
      <w:pPr>
        <w:pStyle w:val="NewPara"/>
        <w:numPr>
          <w:ilvl w:val="0"/>
          <w:numId w:val="40"/>
        </w:numPr>
      </w:pPr>
      <w:r w:rsidRPr="005C405E">
        <w:t>Appendix 1 of ISPM 12:2011 has been made available for country consultation. Given the new</w:t>
      </w:r>
      <w:r>
        <w:t xml:space="preserve"> standard setting process, these comments will be discussed in May 2013 with possible adoption of Appendix 1 schedule for 2014 at the earliest.</w:t>
      </w:r>
    </w:p>
    <w:p w:rsidR="006527F0" w:rsidRDefault="003C7DE0" w:rsidP="008C39FC">
      <w:pPr>
        <w:pStyle w:val="NewPara"/>
        <w:numPr>
          <w:ilvl w:val="0"/>
          <w:numId w:val="40"/>
        </w:numPr>
      </w:pPr>
      <w:r>
        <w:t xml:space="preserve">A page to store all information related to ePhyto has been established on the IPP – </w:t>
      </w:r>
      <w:hyperlink r:id="rId31" w:history="1">
        <w:r>
          <w:rPr>
            <w:rStyle w:val="Hyperlink"/>
          </w:rPr>
          <w:t>http://ephyto.ippc.int/</w:t>
        </w:r>
      </w:hyperlink>
      <w:r>
        <w:t xml:space="preserve"> </w:t>
      </w:r>
      <w:r w:rsidR="00F80519">
        <w:t xml:space="preserve"> </w:t>
      </w:r>
      <w:r>
        <w:t>All agreed ePhyto procedures, protocols, XML schema and codes will be made available through this page.</w:t>
      </w:r>
    </w:p>
    <w:p w:rsidR="006527F0" w:rsidRDefault="003C7DE0" w:rsidP="008C39FC">
      <w:pPr>
        <w:pStyle w:val="NewPara"/>
        <w:numPr>
          <w:ilvl w:val="0"/>
          <w:numId w:val="40"/>
        </w:numPr>
      </w:pPr>
      <w:r w:rsidRPr="00E9571D">
        <w:t xml:space="preserve">EPPO hosted on expert working group (EWG) on ePhyto that allowed experts to agree on the final components and code for the ePhyto XML </w:t>
      </w:r>
      <w:r>
        <w:t xml:space="preserve">schema </w:t>
      </w:r>
      <w:r w:rsidRPr="00E9571D">
        <w:t>and communication/security protocols. The report of the EWG will be available in the immediate future.</w:t>
      </w:r>
    </w:p>
    <w:p w:rsidR="006527F0" w:rsidRDefault="003C7DE0" w:rsidP="008C39FC">
      <w:pPr>
        <w:pStyle w:val="NewPara"/>
        <w:numPr>
          <w:ilvl w:val="0"/>
          <w:numId w:val="40"/>
        </w:numPr>
      </w:pPr>
      <w:r w:rsidRPr="00E9571D">
        <w:t>The code lists to be used for ePhyto have been agreed and these are being reviewed as part of the country consultation on Appendix 1 of ISPM 12.</w:t>
      </w:r>
    </w:p>
    <w:p w:rsidR="006527F0" w:rsidRDefault="003C7DE0" w:rsidP="008C39FC">
      <w:pPr>
        <w:pStyle w:val="NewPara"/>
        <w:numPr>
          <w:ilvl w:val="0"/>
          <w:numId w:val="40"/>
        </w:numPr>
      </w:pPr>
      <w:r>
        <w:t>The ePhyto expert continue to test these agree schemas and coding with the objective of introducing them into their ePhyto system in the coming months. This will allow extensive testing and confirmation of all codes and processes by the time ISPM 12:2011 Appendix 1 is adopted.</w:t>
      </w:r>
    </w:p>
    <w:p w:rsidR="006527F0" w:rsidRDefault="003C7DE0" w:rsidP="008C39FC">
      <w:pPr>
        <w:pStyle w:val="NewPara"/>
        <w:numPr>
          <w:ilvl w:val="0"/>
          <w:numId w:val="40"/>
        </w:numPr>
      </w:pPr>
      <w:r>
        <w:t xml:space="preserve">The Secretariat is also involved in the organization of the </w:t>
      </w:r>
      <w:hyperlink r:id="rId32" w:anchor="item" w:history="1">
        <w:r w:rsidRPr="00000BFB">
          <w:rPr>
            <w:rStyle w:val="Hyperlink"/>
          </w:rPr>
          <w:t>ePhyto workshop</w:t>
        </w:r>
      </w:hyperlink>
      <w:r>
        <w:t xml:space="preserve"> to be held 20-22 November 2012 in Vitoria City, Espirito Santo, </w:t>
      </w:r>
      <w:r w:rsidRPr="003C7DE0">
        <w:t>Brazil.</w:t>
      </w:r>
    </w:p>
    <w:p w:rsidR="006527F0" w:rsidRDefault="00014C49" w:rsidP="008C39FC">
      <w:pPr>
        <w:pStyle w:val="NewPara"/>
        <w:numPr>
          <w:ilvl w:val="0"/>
          <w:numId w:val="40"/>
        </w:numPr>
      </w:pPr>
      <w:r w:rsidRPr="00014C49">
        <w:t>The SPG is requested to:</w:t>
      </w:r>
    </w:p>
    <w:p w:rsidR="00705BC8" w:rsidRPr="00014C49" w:rsidRDefault="00157345" w:rsidP="00E27C5B">
      <w:pPr>
        <w:pStyle w:val="NewPara"/>
        <w:numPr>
          <w:ilvl w:val="2"/>
          <w:numId w:val="1"/>
        </w:numPr>
        <w:autoSpaceDE w:val="0"/>
        <w:autoSpaceDN w:val="0"/>
        <w:adjustRightInd w:val="0"/>
        <w:rPr>
          <w:b/>
          <w:bCs/>
        </w:rPr>
      </w:pPr>
      <w:r>
        <w:rPr>
          <w:i/>
        </w:rPr>
        <w:t>n</w:t>
      </w:r>
      <w:r w:rsidR="00014C49" w:rsidRPr="00014C49">
        <w:rPr>
          <w:i/>
        </w:rPr>
        <w:t>ote</w:t>
      </w:r>
      <w:r w:rsidR="00014C49" w:rsidRPr="00014C49">
        <w:t xml:space="preserve"> the </w:t>
      </w:r>
      <w:r>
        <w:t>I</w:t>
      </w:r>
      <w:r w:rsidR="00014C49" w:rsidRPr="00014C49">
        <w:t xml:space="preserve">PPC </w:t>
      </w:r>
      <w:r w:rsidR="00095465" w:rsidRPr="00014C49">
        <w:rPr>
          <w:bCs/>
          <w:szCs w:val="22"/>
        </w:rPr>
        <w:t xml:space="preserve">activities described in the report, and </w:t>
      </w:r>
      <w:r w:rsidR="00095465" w:rsidRPr="008C39FC">
        <w:rPr>
          <w:bCs/>
          <w:i/>
          <w:szCs w:val="22"/>
        </w:rPr>
        <w:t>p</w:t>
      </w:r>
      <w:r w:rsidR="006D59E1" w:rsidRPr="008C39FC">
        <w:rPr>
          <w:bCs/>
          <w:i/>
          <w:szCs w:val="22"/>
        </w:rPr>
        <w:t>rovide comments</w:t>
      </w:r>
      <w:r w:rsidR="006D59E1" w:rsidRPr="00014C49">
        <w:rPr>
          <w:bCs/>
          <w:szCs w:val="22"/>
        </w:rPr>
        <w:t xml:space="preserve"> and feedback</w:t>
      </w:r>
      <w:r w:rsidR="00095465" w:rsidRPr="00014C49">
        <w:rPr>
          <w:bCs/>
          <w:szCs w:val="22"/>
        </w:rPr>
        <w:t xml:space="preserve"> to update it for </w:t>
      </w:r>
      <w:r w:rsidR="00274298" w:rsidRPr="00014C49">
        <w:rPr>
          <w:bCs/>
          <w:szCs w:val="22"/>
        </w:rPr>
        <w:t>CPM-8.</w:t>
      </w:r>
    </w:p>
    <w:sectPr w:rsidR="00705BC8" w:rsidRPr="00014C49" w:rsidSect="00E75CA2">
      <w:headerReference w:type="default" r:id="rId33"/>
      <w:footerReference w:type="default" r:id="rId34"/>
      <w:headerReference w:type="first" r:id="rId35"/>
      <w:footerReference w:type="first" r:id="rId36"/>
      <w:pgSz w:w="11906" w:h="16838"/>
      <w:pgMar w:top="1440" w:right="1416"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D7" w:rsidRDefault="00660ED7" w:rsidP="0035524E">
      <w:r>
        <w:separator/>
      </w:r>
    </w:p>
  </w:endnote>
  <w:endnote w:type="continuationSeparator" w:id="0">
    <w:p w:rsidR="00660ED7" w:rsidRDefault="00660ED7" w:rsidP="00355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khbar MT">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D7" w:rsidRDefault="00660ED7" w:rsidP="00EB3DE8">
    <w:pPr>
      <w:pStyle w:val="IPPFooter"/>
      <w:pBdr>
        <w:top w:val="single" w:sz="4" w:space="1" w:color="auto"/>
      </w:pBdr>
      <w:jc w:val="left"/>
    </w:pP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sidR="00FF15BF">
      <w:rPr>
        <w:b w:val="0"/>
        <w:noProof/>
      </w:rPr>
      <w:t>6</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sidR="00FF15BF">
      <w:rPr>
        <w:b w:val="0"/>
        <w:noProof/>
      </w:rPr>
      <w:t>14</w:t>
    </w:r>
    <w:r w:rsidRPr="00EB3DE8">
      <w:rPr>
        <w:b w:val="0"/>
      </w:rPr>
      <w:fldChar w:fldCharType="end"/>
    </w:r>
    <w:r>
      <w:rPr>
        <w:b w:val="0"/>
      </w:rPr>
      <w:tab/>
      <w:t>International Plant Protection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D7" w:rsidRPr="00EB3DE8" w:rsidRDefault="00660ED7" w:rsidP="00014CB2">
    <w:pPr>
      <w:pStyle w:val="IPPFooter"/>
      <w:pBdr>
        <w:top w:val="single" w:sz="4" w:space="1" w:color="auto"/>
      </w:pBdr>
      <w:rPr>
        <w:b w:val="0"/>
      </w:rPr>
    </w:pPr>
    <w:r>
      <w:rPr>
        <w:b w:val="0"/>
      </w:rPr>
      <w:t>International Plant Protection</w:t>
    </w:r>
    <w:r>
      <w:rPr>
        <w:b w:val="0"/>
      </w:rPr>
      <w:tab/>
    </w: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sidR="008C39FC">
      <w:rPr>
        <w:b w:val="0"/>
        <w:noProof/>
      </w:rPr>
      <w:t>3</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sidR="008C39FC">
      <w:rPr>
        <w:b w:val="0"/>
        <w:noProof/>
      </w:rPr>
      <w:t>14</w:t>
    </w:r>
    <w:r w:rsidRPr="00EB3DE8">
      <w:rPr>
        <w:b w:val="0"/>
      </w:rPr>
      <w:fldChar w:fldCharType="end"/>
    </w:r>
  </w:p>
  <w:p w:rsidR="00660ED7" w:rsidRPr="007012B0" w:rsidRDefault="00660ED7" w:rsidP="00014CB2">
    <w:pPr>
      <w:pStyle w:val="Footer"/>
      <w:jc w:val="right"/>
      <w:rPr>
        <w:rFonts w:ascii="Arial" w:hAnsi="Arial" w:cs="Arial"/>
        <w:b/>
        <w:sz w:val="18"/>
        <w:szCs w:val="18"/>
      </w:rPr>
    </w:pPr>
  </w:p>
  <w:p w:rsidR="00660ED7" w:rsidRDefault="00660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D7" w:rsidRPr="00EB3DE8" w:rsidRDefault="008C39FC" w:rsidP="008C39FC">
    <w:pPr>
      <w:pStyle w:val="IPPFooter"/>
      <w:pBdr>
        <w:top w:val="single" w:sz="4" w:space="1" w:color="auto"/>
      </w:pBdr>
      <w:tabs>
        <w:tab w:val="clear" w:pos="9072"/>
        <w:tab w:val="right" w:pos="13892"/>
      </w:tabs>
      <w:jc w:val="both"/>
      <w:rPr>
        <w:b w:val="0"/>
      </w:rPr>
    </w:pP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sidR="00FF15BF">
      <w:rPr>
        <w:b w:val="0"/>
        <w:noProof/>
      </w:rPr>
      <w:t>1</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sidR="00FF15BF">
      <w:rPr>
        <w:b w:val="0"/>
        <w:noProof/>
      </w:rPr>
      <w:t>14</w:t>
    </w:r>
    <w:r w:rsidRPr="00EB3DE8">
      <w:rPr>
        <w:b w:val="0"/>
      </w:rPr>
      <w:fldChar w:fldCharType="end"/>
    </w:r>
    <w:r>
      <w:rPr>
        <w:b w:val="0"/>
      </w:rPr>
      <w:tab/>
    </w:r>
    <w:r w:rsidRPr="008C39FC">
      <w:rPr>
        <w:b w:val="0"/>
      </w:rPr>
      <w:t xml:space="preserve">International Plant Protection Convention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C" w:rsidRPr="00EB3DE8" w:rsidRDefault="008C39FC" w:rsidP="008C39FC">
    <w:pPr>
      <w:pStyle w:val="IPPFooter"/>
      <w:pBdr>
        <w:top w:val="single" w:sz="4" w:space="1" w:color="auto"/>
      </w:pBdr>
      <w:tabs>
        <w:tab w:val="clear" w:pos="9072"/>
        <w:tab w:val="right" w:pos="13892"/>
      </w:tabs>
      <w:rPr>
        <w:b w:val="0"/>
      </w:rPr>
    </w:pPr>
    <w:r>
      <w:rPr>
        <w:b w:val="0"/>
      </w:rPr>
      <w:t>International Plant Protection</w:t>
    </w:r>
    <w:r>
      <w:rPr>
        <w:b w:val="0"/>
      </w:rPr>
      <w:tab/>
    </w: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sidR="00FF15BF">
      <w:rPr>
        <w:b w:val="0"/>
        <w:noProof/>
      </w:rPr>
      <w:t>3</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sidR="00FF15BF">
      <w:rPr>
        <w:b w:val="0"/>
        <w:noProof/>
      </w:rPr>
      <w:t>14</w:t>
    </w:r>
    <w:r w:rsidRPr="00EB3DE8">
      <w:rPr>
        <w:b w:val="0"/>
      </w:rPr>
      <w:fldChar w:fldCharType="end"/>
    </w:r>
  </w:p>
  <w:p w:rsidR="008C39FC" w:rsidRPr="007012B0" w:rsidRDefault="008C39FC" w:rsidP="00014CB2">
    <w:pPr>
      <w:pStyle w:val="Footer"/>
      <w:jc w:val="right"/>
      <w:rPr>
        <w:rFonts w:ascii="Arial" w:hAnsi="Arial" w:cs="Arial"/>
        <w:b/>
        <w:sz w:val="18"/>
        <w:szCs w:val="18"/>
      </w:rPr>
    </w:pPr>
  </w:p>
  <w:p w:rsidR="008C39FC" w:rsidRDefault="008C39F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BF" w:rsidRPr="00EB3DE8" w:rsidRDefault="00FF15BF" w:rsidP="00FF15BF">
    <w:pPr>
      <w:pStyle w:val="IPPFooter"/>
      <w:pBdr>
        <w:top w:val="single" w:sz="4" w:space="1" w:color="auto"/>
      </w:pBdr>
      <w:rPr>
        <w:b w:val="0"/>
      </w:rPr>
    </w:pPr>
    <w:r>
      <w:rPr>
        <w:b w:val="0"/>
      </w:rPr>
      <w:t>International Plant Protection</w:t>
    </w:r>
    <w:r>
      <w:rPr>
        <w:b w:val="0"/>
      </w:rPr>
      <w:tab/>
    </w: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Pr>
        <w:b w:val="0"/>
        <w:noProof/>
      </w:rPr>
      <w:t>5</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Pr>
        <w:b w:val="0"/>
        <w:noProof/>
      </w:rPr>
      <w:t>14</w:t>
    </w:r>
    <w:r w:rsidRPr="00EB3DE8">
      <w:rPr>
        <w:b w:val="0"/>
      </w:rPr>
      <w:fldChar w:fldCharType="end"/>
    </w:r>
  </w:p>
  <w:p w:rsidR="00FF15BF" w:rsidRPr="007012B0" w:rsidRDefault="00FF15BF" w:rsidP="00014CB2">
    <w:pPr>
      <w:pStyle w:val="Footer"/>
      <w:jc w:val="right"/>
      <w:rPr>
        <w:rFonts w:ascii="Arial" w:hAnsi="Arial" w:cs="Arial"/>
        <w:b/>
        <w:sz w:val="18"/>
        <w:szCs w:val="18"/>
      </w:rPr>
    </w:pPr>
  </w:p>
  <w:p w:rsidR="00FF15BF" w:rsidRDefault="00FF15B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C" w:rsidRPr="00EB3DE8" w:rsidRDefault="008C39FC" w:rsidP="008C39FC">
    <w:pPr>
      <w:pStyle w:val="IPPFooter"/>
      <w:pBdr>
        <w:top w:val="single" w:sz="4" w:space="1" w:color="auto"/>
      </w:pBdr>
      <w:jc w:val="both"/>
      <w:rPr>
        <w:b w:val="0"/>
      </w:rPr>
    </w:pPr>
    <w:r w:rsidRPr="00EB3DE8">
      <w:rPr>
        <w:b w:val="0"/>
      </w:rPr>
      <w:t xml:space="preserve">Page </w:t>
    </w:r>
    <w:r w:rsidRPr="00EB3DE8">
      <w:rPr>
        <w:b w:val="0"/>
      </w:rPr>
      <w:fldChar w:fldCharType="begin"/>
    </w:r>
    <w:r w:rsidRPr="00EB3DE8">
      <w:rPr>
        <w:b w:val="0"/>
      </w:rPr>
      <w:instrText xml:space="preserve"> PAGE </w:instrText>
    </w:r>
    <w:r w:rsidRPr="00EB3DE8">
      <w:rPr>
        <w:b w:val="0"/>
      </w:rPr>
      <w:fldChar w:fldCharType="separate"/>
    </w:r>
    <w:r w:rsidR="00FF15BF">
      <w:rPr>
        <w:b w:val="0"/>
        <w:noProof/>
      </w:rPr>
      <w:t>4</w:t>
    </w:r>
    <w:r w:rsidRPr="00EB3DE8">
      <w:rPr>
        <w:b w:val="0"/>
      </w:rPr>
      <w:fldChar w:fldCharType="end"/>
    </w:r>
    <w:r w:rsidRPr="00EB3DE8">
      <w:rPr>
        <w:b w:val="0"/>
      </w:rPr>
      <w:t xml:space="preserve"> of </w:t>
    </w:r>
    <w:r w:rsidRPr="00EB3DE8">
      <w:rPr>
        <w:b w:val="0"/>
      </w:rPr>
      <w:fldChar w:fldCharType="begin"/>
    </w:r>
    <w:r w:rsidRPr="00EB3DE8">
      <w:rPr>
        <w:b w:val="0"/>
      </w:rPr>
      <w:instrText xml:space="preserve"> NUMPAGES  </w:instrText>
    </w:r>
    <w:r w:rsidRPr="00EB3DE8">
      <w:rPr>
        <w:b w:val="0"/>
      </w:rPr>
      <w:fldChar w:fldCharType="separate"/>
    </w:r>
    <w:r w:rsidR="00FF15BF">
      <w:rPr>
        <w:b w:val="0"/>
        <w:noProof/>
      </w:rPr>
      <w:t>14</w:t>
    </w:r>
    <w:r w:rsidRPr="00EB3DE8">
      <w:rPr>
        <w:b w:val="0"/>
      </w:rPr>
      <w:fldChar w:fldCharType="end"/>
    </w:r>
    <w:r>
      <w:rPr>
        <w:b w:val="0"/>
      </w:rPr>
      <w:tab/>
      <w:t>Intarnational</w:t>
    </w:r>
    <w:r w:rsidRPr="008C39FC">
      <w:rPr>
        <w:b w:val="0"/>
      </w:rPr>
      <w:t xml:space="preserve"> Protection Convention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D7" w:rsidRDefault="00660ED7" w:rsidP="0035524E">
      <w:r>
        <w:separator/>
      </w:r>
    </w:p>
  </w:footnote>
  <w:footnote w:type="continuationSeparator" w:id="0">
    <w:p w:rsidR="00660ED7" w:rsidRDefault="00660ED7" w:rsidP="0035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D7" w:rsidRPr="00EB3DE8" w:rsidRDefault="00660ED7" w:rsidP="00EB3DE8">
    <w:pPr>
      <w:pBdr>
        <w:bottom w:val="single" w:sz="4" w:space="1" w:color="auto"/>
      </w:pBdr>
      <w:tabs>
        <w:tab w:val="right" w:pos="9072"/>
      </w:tabs>
      <w:spacing w:before="240"/>
      <w:rPr>
        <w:rFonts w:ascii="Arial" w:hAnsi="Arial" w:cs="Arial"/>
        <w:i/>
        <w:sz w:val="18"/>
        <w:szCs w:val="18"/>
        <w:lang w:val="en-US"/>
      </w:rPr>
    </w:pPr>
    <w:r w:rsidRPr="00EB3DE8">
      <w:rPr>
        <w:rFonts w:ascii="Arial" w:hAnsi="Arial" w:cs="Arial"/>
        <w:sz w:val="18"/>
        <w:szCs w:val="18"/>
      </w:rPr>
      <w:t>SPG 2012/02</w:t>
    </w:r>
    <w:r>
      <w:rPr>
        <w:rFonts w:ascii="Arial" w:hAnsi="Arial" w:cs="Arial"/>
        <w:sz w:val="18"/>
        <w:szCs w:val="18"/>
      </w:rPr>
      <w:tab/>
    </w:r>
    <w:r w:rsidRPr="00EB3DE8">
      <w:rPr>
        <w:rFonts w:ascii="Arial" w:hAnsi="Arial" w:cs="Arial"/>
        <w:i/>
        <w:sz w:val="18"/>
        <w:szCs w:val="18"/>
        <w:lang w:val="en-US"/>
      </w:rPr>
      <w:t>IPPC Communication Strategy</w:t>
    </w:r>
  </w:p>
  <w:p w:rsidR="00660ED7" w:rsidRPr="00EB3DE8" w:rsidRDefault="00660ED7" w:rsidP="00EB3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D7" w:rsidRDefault="00660ED7">
    <w:pPr>
      <w:tabs>
        <w:tab w:val="left" w:pos="1134"/>
        <w:tab w:val="right" w:pos="9072"/>
      </w:tabs>
      <w:spacing w:before="120"/>
    </w:pPr>
    <w:r>
      <w:rPr>
        <w:noProof/>
        <w:lang w:val="en-US"/>
      </w:rPr>
      <w:drawing>
        <wp:inline distT="0" distB="0" distL="0" distR="0">
          <wp:extent cx="5821033" cy="323812"/>
          <wp:effectExtent l="19050" t="0" r="82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1718" cy="323850"/>
                  </a:xfrm>
                  <a:prstGeom prst="rect">
                    <a:avLst/>
                  </a:prstGeom>
                  <a:noFill/>
                  <a:ln w="9525">
                    <a:noFill/>
                    <a:miter lim="800000"/>
                    <a:headEnd/>
                    <a:tailEnd/>
                  </a:ln>
                </pic:spPr>
              </pic:pic>
            </a:graphicData>
          </a:graphic>
        </wp:inline>
      </w:drawing>
    </w:r>
  </w:p>
  <w:p w:rsidR="00660ED7" w:rsidRDefault="00660ED7">
    <w:pPr>
      <w:tabs>
        <w:tab w:val="left" w:pos="1134"/>
        <w:tab w:val="right" w:pos="9072"/>
      </w:tabs>
      <w:spacing w:before="120"/>
      <w:rPr>
        <w:sz w:val="6"/>
        <w:szCs w:val="6"/>
      </w:rPr>
    </w:pPr>
    <w:r>
      <w:rPr>
        <w:noProof/>
        <w:sz w:val="6"/>
        <w:szCs w:val="6"/>
        <w:lang w:val="en-US"/>
      </w:rPr>
      <w:drawing>
        <wp:anchor distT="0" distB="0" distL="114300" distR="114300" simplePos="0" relativeHeight="251659264" behindDoc="0" locked="0" layoutInCell="1" allowOverlap="1">
          <wp:simplePos x="0" y="0"/>
          <wp:positionH relativeFrom="column">
            <wp:posOffset>36195</wp:posOffset>
          </wp:positionH>
          <wp:positionV relativeFrom="paragraph">
            <wp:posOffset>46990</wp:posOffset>
          </wp:positionV>
          <wp:extent cx="617855" cy="327660"/>
          <wp:effectExtent l="19050" t="0" r="0" b="0"/>
          <wp:wrapSquare wrapText="bothSides"/>
          <wp:docPr id="6"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17855" cy="327660"/>
                  </a:xfrm>
                  <a:prstGeom prst="rect">
                    <a:avLst/>
                  </a:prstGeom>
                  <a:noFill/>
                </pic:spPr>
              </pic:pic>
            </a:graphicData>
          </a:graphic>
        </wp:anchor>
      </w:drawing>
    </w:r>
  </w:p>
  <w:p w:rsidR="00660ED7" w:rsidRDefault="00660ED7">
    <w:pPr>
      <w:pStyle w:val="IPPHeader"/>
    </w:pPr>
    <w:r>
      <w:tab/>
      <w:t xml:space="preserve">International Plant Protection Convention </w:t>
    </w:r>
    <w:r>
      <w:tab/>
      <w:t>SPG 2012/14</w:t>
    </w:r>
    <w:r>
      <w:br/>
    </w:r>
    <w:r>
      <w:rPr>
        <w:i/>
      </w:rPr>
      <w:tab/>
      <w:t>Secretariat Report to SPG</w:t>
    </w:r>
    <w:r w:rsidRPr="0061028F">
      <w:tab/>
    </w:r>
    <w:r w:rsidRPr="0061028F">
      <w:rPr>
        <w:i/>
        <w:iCs/>
      </w:rPr>
      <w:t xml:space="preserve">Agenda item </w:t>
    </w:r>
    <w:r>
      <w:rPr>
        <w:i/>
        <w:iCs/>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C" w:rsidRPr="008C39FC" w:rsidRDefault="008C39FC" w:rsidP="008C39FC">
    <w:pPr>
      <w:pStyle w:val="Header"/>
      <w:pBdr>
        <w:bottom w:val="single" w:sz="4" w:space="1" w:color="auto"/>
      </w:pBdr>
      <w:tabs>
        <w:tab w:val="clear" w:pos="4680"/>
        <w:tab w:val="clear" w:pos="9360"/>
        <w:tab w:val="right" w:pos="13892"/>
      </w:tabs>
      <w:rPr>
        <w:rFonts w:ascii="Arial" w:hAnsi="Arial" w:cs="Arial"/>
        <w:sz w:val="18"/>
        <w:szCs w:val="18"/>
      </w:rPr>
    </w:pPr>
    <w:r w:rsidRPr="008C39FC">
      <w:rPr>
        <w:rFonts w:ascii="Arial" w:hAnsi="Arial" w:cs="Arial"/>
        <w:i/>
        <w:sz w:val="18"/>
        <w:szCs w:val="18"/>
      </w:rPr>
      <w:t>Secretariat Report to SPG</w:t>
    </w:r>
    <w:r w:rsidRPr="008C39FC">
      <w:rPr>
        <w:rFonts w:ascii="Arial" w:hAnsi="Arial" w:cs="Arial"/>
        <w:i/>
        <w:sz w:val="18"/>
        <w:szCs w:val="18"/>
      </w:rPr>
      <w:tab/>
    </w:r>
    <w:r w:rsidRPr="008C39FC">
      <w:rPr>
        <w:rFonts w:ascii="Arial" w:hAnsi="Arial" w:cs="Arial"/>
        <w:sz w:val="18"/>
        <w:szCs w:val="18"/>
      </w:rPr>
      <w:t>SPG 2012/14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C" w:rsidRDefault="008C39FC">
    <w:pPr>
      <w:tabs>
        <w:tab w:val="left" w:pos="1134"/>
        <w:tab w:val="right" w:pos="9072"/>
      </w:tabs>
      <w:spacing w:before="120"/>
      <w:rPr>
        <w:sz w:val="6"/>
        <w:szCs w:val="6"/>
      </w:rPr>
    </w:pPr>
  </w:p>
  <w:p w:rsidR="008C39FC" w:rsidRDefault="008C39FC" w:rsidP="008C39FC">
    <w:pPr>
      <w:pStyle w:val="IPPHeader"/>
      <w:tabs>
        <w:tab w:val="clear" w:pos="1134"/>
        <w:tab w:val="clear" w:pos="9072"/>
        <w:tab w:val="right" w:pos="13892"/>
      </w:tabs>
    </w:pPr>
    <w:r>
      <w:t>SPG 2012/14</w:t>
    </w:r>
    <w:r>
      <w:tab/>
    </w:r>
    <w:r>
      <w:rPr>
        <w:i/>
      </w:rPr>
      <w:t>Secretariat Report to SPG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FA" w:rsidRPr="008C39FC" w:rsidRDefault="00664CFA" w:rsidP="00664CFA">
    <w:pPr>
      <w:pStyle w:val="Header"/>
      <w:pBdr>
        <w:bottom w:val="single" w:sz="4" w:space="1" w:color="auto"/>
      </w:pBdr>
      <w:tabs>
        <w:tab w:val="clear" w:pos="4680"/>
        <w:tab w:val="clear" w:pos="9360"/>
        <w:tab w:val="right" w:pos="9072"/>
      </w:tabs>
      <w:rPr>
        <w:rFonts w:ascii="Arial" w:hAnsi="Arial" w:cs="Arial"/>
        <w:sz w:val="18"/>
        <w:szCs w:val="18"/>
      </w:rPr>
    </w:pPr>
    <w:r w:rsidRPr="008C39FC">
      <w:rPr>
        <w:rFonts w:ascii="Arial" w:hAnsi="Arial" w:cs="Arial"/>
        <w:i/>
        <w:sz w:val="18"/>
        <w:szCs w:val="18"/>
      </w:rPr>
      <w:t>Secretariat Report to SPG</w:t>
    </w:r>
    <w:r w:rsidRPr="008C39FC">
      <w:rPr>
        <w:rFonts w:ascii="Arial" w:hAnsi="Arial" w:cs="Arial"/>
        <w:i/>
        <w:sz w:val="18"/>
        <w:szCs w:val="18"/>
      </w:rPr>
      <w:tab/>
    </w:r>
    <w:r w:rsidRPr="008C39FC">
      <w:rPr>
        <w:rFonts w:ascii="Arial" w:hAnsi="Arial" w:cs="Arial"/>
        <w:sz w:val="18"/>
        <w:szCs w:val="18"/>
      </w:rPr>
      <w:t>SPG 2012/14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C" w:rsidRDefault="008C39FC">
    <w:pPr>
      <w:tabs>
        <w:tab w:val="left" w:pos="1134"/>
        <w:tab w:val="right" w:pos="9072"/>
      </w:tabs>
      <w:spacing w:before="120"/>
      <w:rPr>
        <w:sz w:val="6"/>
        <w:szCs w:val="6"/>
      </w:rPr>
    </w:pPr>
  </w:p>
  <w:p w:rsidR="008C39FC" w:rsidRDefault="008C39FC" w:rsidP="008C39FC">
    <w:pPr>
      <w:pStyle w:val="IPPHeader"/>
      <w:tabs>
        <w:tab w:val="clear" w:pos="1134"/>
      </w:tabs>
    </w:pPr>
    <w:r>
      <w:t>SPG 2012/14</w:t>
    </w:r>
    <w:r>
      <w:tab/>
    </w:r>
    <w:r>
      <w:rPr>
        <w:i/>
      </w:rPr>
      <w:t>Secretariat Report to SPG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446"/>
    <w:multiLevelType w:val="hybridMultilevel"/>
    <w:tmpl w:val="F106303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3592949"/>
    <w:multiLevelType w:val="hybridMultilevel"/>
    <w:tmpl w:val="C292D7EA"/>
    <w:lvl w:ilvl="0" w:tplc="6C3249DA">
      <w:start w:val="1"/>
      <w:numFmt w:val="decimal"/>
      <w:pStyle w:val="IPPNumberedList"/>
      <w:lvlText w:val="[%1]"/>
      <w:lvlJc w:val="left"/>
      <w:pPr>
        <w:tabs>
          <w:tab w:val="num" w:pos="567"/>
        </w:tabs>
        <w:ind w:left="567" w:hanging="567"/>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4175"/>
    <w:multiLevelType w:val="hybridMultilevel"/>
    <w:tmpl w:val="AD226F20"/>
    <w:lvl w:ilvl="0" w:tplc="8446E030">
      <w:start w:val="46"/>
      <w:numFmt w:val="decimal"/>
      <w:lvlText w:val="%1."/>
      <w:lvlJc w:val="left"/>
      <w:pPr>
        <w:ind w:left="100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58B61BF"/>
    <w:multiLevelType w:val="hybridMultilevel"/>
    <w:tmpl w:val="D6D65B64"/>
    <w:lvl w:ilvl="0" w:tplc="0409000F">
      <w:start w:val="1"/>
      <w:numFmt w:val="decimal"/>
      <w:lvlText w:val="%1."/>
      <w:lvlJc w:val="left"/>
      <w:pPr>
        <w:ind w:left="720" w:hanging="72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9386357"/>
    <w:multiLevelType w:val="hybridMultilevel"/>
    <w:tmpl w:val="44C21474"/>
    <w:lvl w:ilvl="0" w:tplc="4A480B0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0D321DF"/>
    <w:multiLevelType w:val="hybridMultilevel"/>
    <w:tmpl w:val="180AA728"/>
    <w:lvl w:ilvl="0" w:tplc="04090015">
      <w:start w:val="2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5F1D85"/>
    <w:multiLevelType w:val="hybridMultilevel"/>
    <w:tmpl w:val="6A98B1BC"/>
    <w:lvl w:ilvl="0" w:tplc="04090001">
      <w:start w:val="1"/>
      <w:numFmt w:val="bullet"/>
      <w:lvlText w:val=""/>
      <w:lvlJc w:val="left"/>
      <w:pPr>
        <w:tabs>
          <w:tab w:val="num" w:pos="1134"/>
        </w:tabs>
        <w:ind w:left="1134" w:hanging="567"/>
      </w:pPr>
      <w:rPr>
        <w:rFonts w:ascii="Symbol" w:hAnsi="Symbol"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4750088"/>
    <w:multiLevelType w:val="hybridMultilevel"/>
    <w:tmpl w:val="ADAC1EE8"/>
    <w:lvl w:ilvl="0" w:tplc="C7CC58D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B73B8"/>
    <w:multiLevelType w:val="multilevel"/>
    <w:tmpl w:val="5E565DD4"/>
    <w:lvl w:ilvl="0">
      <w:start w:val="1"/>
      <w:numFmt w:val="decimal"/>
      <w:lvlText w:val="%1."/>
      <w:lvlJc w:val="left"/>
      <w:pPr>
        <w:ind w:left="720" w:hanging="720"/>
      </w:pPr>
      <w:rPr>
        <w:rFonts w:hint="default"/>
        <w:b w:val="0"/>
        <w:bCs w:val="0"/>
        <w:i/>
        <w:iCs w:val="0"/>
        <w:color w:val="0000FF"/>
        <w:sz w:val="16"/>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7A7124E"/>
    <w:multiLevelType w:val="hybridMultilevel"/>
    <w:tmpl w:val="EE0493D6"/>
    <w:lvl w:ilvl="0" w:tplc="DD78F1E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43670"/>
    <w:multiLevelType w:val="hybridMultilevel"/>
    <w:tmpl w:val="3FF05494"/>
    <w:lvl w:ilvl="0" w:tplc="2B863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6482D"/>
    <w:multiLevelType w:val="hybridMultilevel"/>
    <w:tmpl w:val="9B2EC6AA"/>
    <w:lvl w:ilvl="0" w:tplc="DDBE70D8">
      <w:start w:val="46"/>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67FCD"/>
    <w:multiLevelType w:val="hybridMultilevel"/>
    <w:tmpl w:val="B2E479F6"/>
    <w:lvl w:ilvl="0" w:tplc="4292442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BE4A27"/>
    <w:multiLevelType w:val="hybridMultilevel"/>
    <w:tmpl w:val="EEB8A748"/>
    <w:lvl w:ilvl="0" w:tplc="FF4244FC">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F7EE7"/>
    <w:multiLevelType w:val="hybridMultilevel"/>
    <w:tmpl w:val="7ECA8B72"/>
    <w:lvl w:ilvl="0" w:tplc="F3909380">
      <w:start w:val="2"/>
      <w:numFmt w:val="bullet"/>
      <w:lvlText w:val="-"/>
      <w:lvlJc w:val="left"/>
      <w:pPr>
        <w:ind w:left="360" w:hanging="360"/>
      </w:pPr>
      <w:rPr>
        <w:rFonts w:ascii="Cambria" w:eastAsia="MS ??" w:hAnsi="Cambria" w:hint="default"/>
      </w:rPr>
    </w:lvl>
    <w:lvl w:ilvl="1" w:tplc="04090003">
      <w:start w:val="1"/>
      <w:numFmt w:val="bullet"/>
      <w:lvlText w:val="o"/>
      <w:lvlJc w:val="left"/>
      <w:pPr>
        <w:ind w:left="1080" w:hanging="360"/>
      </w:pPr>
      <w:rPr>
        <w:rFonts w:ascii="Courier New" w:hAnsi="Courier New" w:cs="Courier New" w:hint="default"/>
      </w:rPr>
    </w:lvl>
    <w:lvl w:ilvl="2" w:tplc="2402B1D4">
      <w:start w:val="8"/>
      <w:numFmt w:val="bullet"/>
      <w:lvlText w:val=""/>
      <w:lvlJc w:val="left"/>
      <w:pPr>
        <w:ind w:left="1800" w:hanging="360"/>
      </w:pPr>
      <w:rPr>
        <w:rFonts w:ascii="Symbol" w:eastAsia="Calibri" w:hAnsi="Symbol" w:cs="Akhbar M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20265C"/>
    <w:multiLevelType w:val="hybridMultilevel"/>
    <w:tmpl w:val="805E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83E27"/>
    <w:multiLevelType w:val="hybridMultilevel"/>
    <w:tmpl w:val="DC66C2B6"/>
    <w:lvl w:ilvl="0" w:tplc="47E6D28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nsid w:val="36DA7DDF"/>
    <w:multiLevelType w:val="hybridMultilevel"/>
    <w:tmpl w:val="CBD678E6"/>
    <w:lvl w:ilvl="0" w:tplc="9828DBF6">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74B653E"/>
    <w:multiLevelType w:val="hybridMultilevel"/>
    <w:tmpl w:val="AA946E58"/>
    <w:lvl w:ilvl="0" w:tplc="B552897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7674E"/>
    <w:multiLevelType w:val="hybridMultilevel"/>
    <w:tmpl w:val="A4AE261C"/>
    <w:lvl w:ilvl="0" w:tplc="529A4782">
      <w:start w:val="4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4732B3F"/>
    <w:multiLevelType w:val="hybridMultilevel"/>
    <w:tmpl w:val="045813A8"/>
    <w:lvl w:ilvl="0" w:tplc="C4CA33AE">
      <w:start w:val="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A35333"/>
    <w:multiLevelType w:val="hybridMultilevel"/>
    <w:tmpl w:val="4600D1D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4FA35CA6"/>
    <w:multiLevelType w:val="hybridMultilevel"/>
    <w:tmpl w:val="276A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71A43B1"/>
    <w:multiLevelType w:val="hybridMultilevel"/>
    <w:tmpl w:val="5DDE9FCE"/>
    <w:lvl w:ilvl="0" w:tplc="E7A2BCA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185F43"/>
    <w:multiLevelType w:val="hybridMultilevel"/>
    <w:tmpl w:val="9F6A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17994"/>
    <w:multiLevelType w:val="hybridMultilevel"/>
    <w:tmpl w:val="C422034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FA4880"/>
    <w:multiLevelType w:val="multilevel"/>
    <w:tmpl w:val="79A09232"/>
    <w:lvl w:ilvl="0">
      <w:start w:val="3"/>
      <w:numFmt w:val="decimal"/>
      <w:pStyle w:val="NewPara"/>
      <w:lvlText w:val="[%1]"/>
      <w:lvlJc w:val="left"/>
      <w:pPr>
        <w:ind w:left="862" w:hanging="720"/>
      </w:pPr>
      <w:rPr>
        <w:rFonts w:ascii="Arial" w:hAnsi="Arial" w:cs="Arial" w:hint="default"/>
        <w:b w:val="0"/>
        <w:bCs w:val="0"/>
        <w:i/>
        <w:iCs w:val="0"/>
        <w:color w:val="0000FF"/>
        <w:sz w:val="16"/>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E3FF9"/>
    <w:multiLevelType w:val="hybridMultilevel"/>
    <w:tmpl w:val="D598DF4A"/>
    <w:lvl w:ilvl="0" w:tplc="6AB2BB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564DA"/>
    <w:multiLevelType w:val="hybridMultilevel"/>
    <w:tmpl w:val="A228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D1CFD"/>
    <w:multiLevelType w:val="hybridMultilevel"/>
    <w:tmpl w:val="BC9EB236"/>
    <w:lvl w:ilvl="0" w:tplc="2F726D3A">
      <w:start w:val="43"/>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77D14F6B"/>
    <w:multiLevelType w:val="hybridMultilevel"/>
    <w:tmpl w:val="0C9C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2"/>
  </w:num>
  <w:num w:numId="3">
    <w:abstractNumId w:val="5"/>
  </w:num>
  <w:num w:numId="4">
    <w:abstractNumId w:val="18"/>
  </w:num>
  <w:num w:numId="5">
    <w:abstractNumId w:val="35"/>
  </w:num>
  <w:num w:numId="6">
    <w:abstractNumId w:val="27"/>
  </w:num>
  <w:num w:numId="7">
    <w:abstractNumId w:val="21"/>
  </w:num>
  <w:num w:numId="8">
    <w:abstractNumId w:val="38"/>
  </w:num>
  <w:num w:numId="9">
    <w:abstractNumId w:val="1"/>
  </w:num>
  <w:num w:numId="10">
    <w:abstractNumId w:val="31"/>
  </w:num>
  <w:num w:numId="11">
    <w:abstractNumId w:val="22"/>
  </w:num>
  <w:num w:numId="12">
    <w:abstractNumId w:val="15"/>
  </w:num>
  <w:num w:numId="13">
    <w:abstractNumId w:val="7"/>
  </w:num>
  <w:num w:numId="14">
    <w:abstractNumId w:val="1"/>
    <w:lvlOverride w:ilvl="0">
      <w:startOverride w:val="1"/>
    </w:lvlOverride>
  </w:num>
  <w:num w:numId="15">
    <w:abstractNumId w:val="30"/>
  </w:num>
  <w:num w:numId="16">
    <w:abstractNumId w:val="6"/>
  </w:num>
  <w:num w:numId="17">
    <w:abstractNumId w:val="11"/>
  </w:num>
  <w:num w:numId="18">
    <w:abstractNumId w:val="37"/>
  </w:num>
  <w:num w:numId="19">
    <w:abstractNumId w:val="9"/>
  </w:num>
  <w:num w:numId="20">
    <w:abstractNumId w:val="29"/>
  </w:num>
  <w:num w:numId="21">
    <w:abstractNumId w:val="16"/>
  </w:num>
  <w:num w:numId="22">
    <w:abstractNumId w:val="26"/>
  </w:num>
  <w:num w:numId="23">
    <w:abstractNumId w:val="19"/>
  </w:num>
  <w:num w:numId="24">
    <w:abstractNumId w:val="8"/>
  </w:num>
  <w:num w:numId="25">
    <w:abstractNumId w:val="34"/>
  </w:num>
  <w:num w:numId="26">
    <w:abstractNumId w:val="27"/>
  </w:num>
  <w:num w:numId="27">
    <w:abstractNumId w:val="28"/>
  </w:num>
  <w:num w:numId="28">
    <w:abstractNumId w:val="33"/>
  </w:num>
  <w:num w:numId="29">
    <w:abstractNumId w:val="4"/>
  </w:num>
  <w:num w:numId="30">
    <w:abstractNumId w:val="14"/>
  </w:num>
  <w:num w:numId="31">
    <w:abstractNumId w:val="20"/>
  </w:num>
  <w:num w:numId="32">
    <w:abstractNumId w:val="24"/>
  </w:num>
  <w:num w:numId="33">
    <w:abstractNumId w:val="17"/>
  </w:num>
  <w:num w:numId="34">
    <w:abstractNumId w:val="10"/>
  </w:num>
  <w:num w:numId="35">
    <w:abstractNumId w:val="23"/>
  </w:num>
  <w:num w:numId="36">
    <w:abstractNumId w:val="36"/>
  </w:num>
  <w:num w:numId="37">
    <w:abstractNumId w:val="13"/>
  </w:num>
  <w:num w:numId="38">
    <w:abstractNumId w:val="0"/>
  </w:num>
  <w:num w:numId="39">
    <w:abstractNumId w:val="25"/>
  </w:num>
  <w:num w:numId="40">
    <w:abstractNumId w:val="12"/>
  </w:num>
  <w:num w:numId="4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stylePaneFormatFilter w:val="9721"/>
  <w:defaultTabStop w:val="720"/>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34611A"/>
    <w:rsid w:val="00000D08"/>
    <w:rsid w:val="00000DD7"/>
    <w:rsid w:val="00014C49"/>
    <w:rsid w:val="00014CB2"/>
    <w:rsid w:val="0002102C"/>
    <w:rsid w:val="0002650B"/>
    <w:rsid w:val="00041B73"/>
    <w:rsid w:val="0005229B"/>
    <w:rsid w:val="00085AE3"/>
    <w:rsid w:val="00095465"/>
    <w:rsid w:val="000C2494"/>
    <w:rsid w:val="000C57D3"/>
    <w:rsid w:val="000C730B"/>
    <w:rsid w:val="000E019B"/>
    <w:rsid w:val="000E6F3A"/>
    <w:rsid w:val="00112912"/>
    <w:rsid w:val="00157345"/>
    <w:rsid w:val="0017295E"/>
    <w:rsid w:val="00183BBE"/>
    <w:rsid w:val="00197ABC"/>
    <w:rsid w:val="001A3DB7"/>
    <w:rsid w:val="001B2D8F"/>
    <w:rsid w:val="001D47A4"/>
    <w:rsid w:val="001E14EB"/>
    <w:rsid w:val="002040AB"/>
    <w:rsid w:val="002163C8"/>
    <w:rsid w:val="00216C09"/>
    <w:rsid w:val="0023535B"/>
    <w:rsid w:val="00246431"/>
    <w:rsid w:val="00274298"/>
    <w:rsid w:val="00282037"/>
    <w:rsid w:val="00283A9F"/>
    <w:rsid w:val="00293F7D"/>
    <w:rsid w:val="002A05F5"/>
    <w:rsid w:val="002A2A8F"/>
    <w:rsid w:val="002D197E"/>
    <w:rsid w:val="002E76D7"/>
    <w:rsid w:val="00332A53"/>
    <w:rsid w:val="0034203D"/>
    <w:rsid w:val="0034611A"/>
    <w:rsid w:val="0035521B"/>
    <w:rsid w:val="0035524E"/>
    <w:rsid w:val="003624EA"/>
    <w:rsid w:val="00362594"/>
    <w:rsid w:val="00365F93"/>
    <w:rsid w:val="00375397"/>
    <w:rsid w:val="00375FE5"/>
    <w:rsid w:val="003835DC"/>
    <w:rsid w:val="0038442D"/>
    <w:rsid w:val="00397446"/>
    <w:rsid w:val="003B2310"/>
    <w:rsid w:val="003C35F3"/>
    <w:rsid w:val="003C7785"/>
    <w:rsid w:val="003C7DE0"/>
    <w:rsid w:val="003E1F69"/>
    <w:rsid w:val="003E6144"/>
    <w:rsid w:val="00402EC1"/>
    <w:rsid w:val="004313E6"/>
    <w:rsid w:val="004339C9"/>
    <w:rsid w:val="004526B5"/>
    <w:rsid w:val="00453F6C"/>
    <w:rsid w:val="00465378"/>
    <w:rsid w:val="00466B9B"/>
    <w:rsid w:val="00467F2C"/>
    <w:rsid w:val="00473AC9"/>
    <w:rsid w:val="0047468C"/>
    <w:rsid w:val="00474AEC"/>
    <w:rsid w:val="00474E15"/>
    <w:rsid w:val="00496CC3"/>
    <w:rsid w:val="004A2F2B"/>
    <w:rsid w:val="004A3AE1"/>
    <w:rsid w:val="004A48D0"/>
    <w:rsid w:val="004A7D9E"/>
    <w:rsid w:val="004B3885"/>
    <w:rsid w:val="004B60AD"/>
    <w:rsid w:val="004C0787"/>
    <w:rsid w:val="004D258D"/>
    <w:rsid w:val="004E032F"/>
    <w:rsid w:val="004E3C92"/>
    <w:rsid w:val="00500931"/>
    <w:rsid w:val="00502B7C"/>
    <w:rsid w:val="0053458B"/>
    <w:rsid w:val="005547EE"/>
    <w:rsid w:val="005556B6"/>
    <w:rsid w:val="0055648F"/>
    <w:rsid w:val="005664F3"/>
    <w:rsid w:val="0057759E"/>
    <w:rsid w:val="005A076A"/>
    <w:rsid w:val="005A23E2"/>
    <w:rsid w:val="005A5FCB"/>
    <w:rsid w:val="005B36F8"/>
    <w:rsid w:val="005C405E"/>
    <w:rsid w:val="005F1C22"/>
    <w:rsid w:val="005F2A14"/>
    <w:rsid w:val="00623988"/>
    <w:rsid w:val="00625091"/>
    <w:rsid w:val="00635711"/>
    <w:rsid w:val="00642AF1"/>
    <w:rsid w:val="006438F0"/>
    <w:rsid w:val="00651950"/>
    <w:rsid w:val="006527F0"/>
    <w:rsid w:val="00660ED7"/>
    <w:rsid w:val="00664CFA"/>
    <w:rsid w:val="006A297F"/>
    <w:rsid w:val="006B0BA6"/>
    <w:rsid w:val="006C043A"/>
    <w:rsid w:val="006C542E"/>
    <w:rsid w:val="006D59E1"/>
    <w:rsid w:val="007012B0"/>
    <w:rsid w:val="0070376D"/>
    <w:rsid w:val="00705BC8"/>
    <w:rsid w:val="00726F6F"/>
    <w:rsid w:val="007527BA"/>
    <w:rsid w:val="0075337D"/>
    <w:rsid w:val="007541D3"/>
    <w:rsid w:val="00755C76"/>
    <w:rsid w:val="00764C4C"/>
    <w:rsid w:val="007761F5"/>
    <w:rsid w:val="007A128B"/>
    <w:rsid w:val="007A2E60"/>
    <w:rsid w:val="007A7098"/>
    <w:rsid w:val="007B4332"/>
    <w:rsid w:val="007B6F6C"/>
    <w:rsid w:val="007C3C98"/>
    <w:rsid w:val="008056B0"/>
    <w:rsid w:val="00817AE4"/>
    <w:rsid w:val="00833C0B"/>
    <w:rsid w:val="00840396"/>
    <w:rsid w:val="0085424D"/>
    <w:rsid w:val="00860A1F"/>
    <w:rsid w:val="00875CF4"/>
    <w:rsid w:val="0088273D"/>
    <w:rsid w:val="00896C2C"/>
    <w:rsid w:val="008A0A9F"/>
    <w:rsid w:val="008A47CE"/>
    <w:rsid w:val="008B20E6"/>
    <w:rsid w:val="008C39FC"/>
    <w:rsid w:val="008C6794"/>
    <w:rsid w:val="008E030B"/>
    <w:rsid w:val="00903F9F"/>
    <w:rsid w:val="00913F59"/>
    <w:rsid w:val="00926A40"/>
    <w:rsid w:val="009303CF"/>
    <w:rsid w:val="009410C0"/>
    <w:rsid w:val="00945687"/>
    <w:rsid w:val="0095572D"/>
    <w:rsid w:val="009614D8"/>
    <w:rsid w:val="009674A5"/>
    <w:rsid w:val="009840C2"/>
    <w:rsid w:val="009851E5"/>
    <w:rsid w:val="00996B04"/>
    <w:rsid w:val="009D3A06"/>
    <w:rsid w:val="009E2F38"/>
    <w:rsid w:val="009E49E9"/>
    <w:rsid w:val="009E7DF3"/>
    <w:rsid w:val="009F0533"/>
    <w:rsid w:val="009F5A2F"/>
    <w:rsid w:val="009F70E9"/>
    <w:rsid w:val="00A05750"/>
    <w:rsid w:val="00A107F6"/>
    <w:rsid w:val="00A34C53"/>
    <w:rsid w:val="00A368B8"/>
    <w:rsid w:val="00A411D2"/>
    <w:rsid w:val="00A50A07"/>
    <w:rsid w:val="00A576A5"/>
    <w:rsid w:val="00A6703E"/>
    <w:rsid w:val="00A70AFC"/>
    <w:rsid w:val="00A778EF"/>
    <w:rsid w:val="00A80456"/>
    <w:rsid w:val="00A82924"/>
    <w:rsid w:val="00A94CC5"/>
    <w:rsid w:val="00AA5D9D"/>
    <w:rsid w:val="00AE618B"/>
    <w:rsid w:val="00AF062A"/>
    <w:rsid w:val="00AF46F5"/>
    <w:rsid w:val="00AF5D5A"/>
    <w:rsid w:val="00B00817"/>
    <w:rsid w:val="00B235D9"/>
    <w:rsid w:val="00B46C81"/>
    <w:rsid w:val="00B51E7C"/>
    <w:rsid w:val="00B64C7C"/>
    <w:rsid w:val="00B86D4E"/>
    <w:rsid w:val="00B9656E"/>
    <w:rsid w:val="00BA29B4"/>
    <w:rsid w:val="00BA3351"/>
    <w:rsid w:val="00BA39B2"/>
    <w:rsid w:val="00BC4E61"/>
    <w:rsid w:val="00BD4485"/>
    <w:rsid w:val="00BD7FF0"/>
    <w:rsid w:val="00BE2236"/>
    <w:rsid w:val="00BE3B3A"/>
    <w:rsid w:val="00BE77BD"/>
    <w:rsid w:val="00C016C4"/>
    <w:rsid w:val="00C467D6"/>
    <w:rsid w:val="00C52241"/>
    <w:rsid w:val="00C56D11"/>
    <w:rsid w:val="00C63DB5"/>
    <w:rsid w:val="00C64B18"/>
    <w:rsid w:val="00C848E2"/>
    <w:rsid w:val="00C90384"/>
    <w:rsid w:val="00C9528E"/>
    <w:rsid w:val="00CB03A1"/>
    <w:rsid w:val="00CD6D3E"/>
    <w:rsid w:val="00CF03DA"/>
    <w:rsid w:val="00CF698A"/>
    <w:rsid w:val="00CF6C18"/>
    <w:rsid w:val="00D0393B"/>
    <w:rsid w:val="00D33557"/>
    <w:rsid w:val="00D45F33"/>
    <w:rsid w:val="00D70E80"/>
    <w:rsid w:val="00DD04D8"/>
    <w:rsid w:val="00DE1D4C"/>
    <w:rsid w:val="00DF6687"/>
    <w:rsid w:val="00E27C5B"/>
    <w:rsid w:val="00E46565"/>
    <w:rsid w:val="00E6740D"/>
    <w:rsid w:val="00E73C77"/>
    <w:rsid w:val="00E75CA2"/>
    <w:rsid w:val="00E77DCD"/>
    <w:rsid w:val="00E926B7"/>
    <w:rsid w:val="00E95985"/>
    <w:rsid w:val="00EB00E3"/>
    <w:rsid w:val="00EB3DE8"/>
    <w:rsid w:val="00EC50DB"/>
    <w:rsid w:val="00ED30B3"/>
    <w:rsid w:val="00ED544E"/>
    <w:rsid w:val="00ED565E"/>
    <w:rsid w:val="00EE224F"/>
    <w:rsid w:val="00EF1881"/>
    <w:rsid w:val="00EF692E"/>
    <w:rsid w:val="00F11050"/>
    <w:rsid w:val="00F11ABC"/>
    <w:rsid w:val="00F37D45"/>
    <w:rsid w:val="00F41999"/>
    <w:rsid w:val="00F50700"/>
    <w:rsid w:val="00F556B3"/>
    <w:rsid w:val="00F7383B"/>
    <w:rsid w:val="00F74D70"/>
    <w:rsid w:val="00F80519"/>
    <w:rsid w:val="00F82670"/>
    <w:rsid w:val="00F8693A"/>
    <w:rsid w:val="00FA2118"/>
    <w:rsid w:val="00FA4B3F"/>
    <w:rsid w:val="00FA7D1B"/>
    <w:rsid w:val="00FC57B7"/>
    <w:rsid w:val="00FE7E93"/>
    <w:rsid w:val="00FF0A52"/>
    <w:rsid w:val="00FF15BF"/>
    <w:rsid w:val="00FF248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BA"/>
    <w:pPr>
      <w:jc w:val="both"/>
    </w:pPr>
    <w:rPr>
      <w:rFonts w:ascii="Times New Roman" w:eastAsia="Times New Roman" w:hAnsi="Times New Roman"/>
      <w:sz w:val="22"/>
      <w:szCs w:val="24"/>
      <w:lang w:val="en-GB"/>
    </w:rPr>
  </w:style>
  <w:style w:type="paragraph" w:styleId="Heading1">
    <w:name w:val="heading 1"/>
    <w:basedOn w:val="Normal"/>
    <w:next w:val="Normal"/>
    <w:link w:val="Heading1Char"/>
    <w:qFormat/>
    <w:locked/>
    <w:rsid w:val="007527B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rsid w:val="007527B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rsid w:val="007527B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1A"/>
    <w:pPr>
      <w:ind w:left="720"/>
      <w:contextualSpacing/>
    </w:pPr>
  </w:style>
  <w:style w:type="character" w:styleId="CommentReference">
    <w:name w:val="annotation reference"/>
    <w:uiPriority w:val="99"/>
    <w:semiHidden/>
    <w:rsid w:val="001A3DB7"/>
    <w:rPr>
      <w:rFonts w:cs="Times New Roman"/>
      <w:sz w:val="16"/>
      <w:szCs w:val="16"/>
    </w:rPr>
  </w:style>
  <w:style w:type="paragraph" w:styleId="CommentText">
    <w:name w:val="annotation text"/>
    <w:basedOn w:val="Normal"/>
    <w:link w:val="CommentTextChar"/>
    <w:uiPriority w:val="99"/>
    <w:semiHidden/>
    <w:rsid w:val="001A3DB7"/>
    <w:rPr>
      <w:rFonts w:ascii="Calibri" w:eastAsia="Calibri" w:hAnsi="Calibri"/>
      <w:sz w:val="20"/>
      <w:szCs w:val="20"/>
    </w:rPr>
  </w:style>
  <w:style w:type="character" w:customStyle="1" w:styleId="CommentTextChar">
    <w:name w:val="Comment Text Char"/>
    <w:link w:val="CommentText"/>
    <w:uiPriority w:val="99"/>
    <w:semiHidden/>
    <w:locked/>
    <w:rsid w:val="001A3DB7"/>
    <w:rPr>
      <w:rFonts w:cs="Times New Roman"/>
      <w:sz w:val="20"/>
      <w:szCs w:val="20"/>
    </w:rPr>
  </w:style>
  <w:style w:type="paragraph" w:styleId="CommentSubject">
    <w:name w:val="annotation subject"/>
    <w:basedOn w:val="CommentText"/>
    <w:next w:val="CommentText"/>
    <w:link w:val="CommentSubjectChar"/>
    <w:uiPriority w:val="99"/>
    <w:semiHidden/>
    <w:rsid w:val="001A3DB7"/>
    <w:rPr>
      <w:b/>
      <w:bCs/>
    </w:rPr>
  </w:style>
  <w:style w:type="character" w:customStyle="1" w:styleId="CommentSubjectChar">
    <w:name w:val="Comment Subject Char"/>
    <w:link w:val="CommentSubject"/>
    <w:uiPriority w:val="99"/>
    <w:semiHidden/>
    <w:locked/>
    <w:rsid w:val="001A3DB7"/>
    <w:rPr>
      <w:rFonts w:cs="Times New Roman"/>
      <w:b/>
      <w:bCs/>
      <w:sz w:val="20"/>
      <w:szCs w:val="20"/>
    </w:rPr>
  </w:style>
  <w:style w:type="paragraph" w:styleId="BalloonText">
    <w:name w:val="Balloon Text"/>
    <w:basedOn w:val="Normal"/>
    <w:link w:val="BalloonTextChar"/>
    <w:rsid w:val="007527BA"/>
    <w:rPr>
      <w:rFonts w:ascii="Tahoma" w:hAnsi="Tahoma" w:cs="Tahoma"/>
      <w:sz w:val="16"/>
      <w:szCs w:val="16"/>
    </w:rPr>
  </w:style>
  <w:style w:type="character" w:customStyle="1" w:styleId="BalloonTextChar">
    <w:name w:val="Balloon Text Char"/>
    <w:basedOn w:val="DefaultParagraphFont"/>
    <w:link w:val="BalloonText"/>
    <w:locked/>
    <w:rsid w:val="007527BA"/>
    <w:rPr>
      <w:rFonts w:ascii="Tahoma" w:eastAsia="Times New Roman" w:hAnsi="Tahoma" w:cs="Tahoma"/>
      <w:sz w:val="16"/>
      <w:szCs w:val="16"/>
      <w:lang w:val="en-GB"/>
    </w:rPr>
  </w:style>
  <w:style w:type="paragraph" w:styleId="Revision">
    <w:name w:val="Revision"/>
    <w:hidden/>
    <w:uiPriority w:val="99"/>
    <w:semiHidden/>
    <w:rsid w:val="00397446"/>
    <w:rPr>
      <w:sz w:val="22"/>
      <w:szCs w:val="22"/>
      <w:lang w:val="en-GB"/>
    </w:rPr>
  </w:style>
  <w:style w:type="paragraph" w:styleId="Header">
    <w:name w:val="header"/>
    <w:basedOn w:val="Normal"/>
    <w:link w:val="HeaderChar"/>
    <w:rsid w:val="007527BA"/>
    <w:pPr>
      <w:tabs>
        <w:tab w:val="center" w:pos="4680"/>
        <w:tab w:val="right" w:pos="9360"/>
      </w:tabs>
    </w:pPr>
  </w:style>
  <w:style w:type="character" w:customStyle="1" w:styleId="HeaderChar">
    <w:name w:val="Header Char"/>
    <w:basedOn w:val="DefaultParagraphFont"/>
    <w:link w:val="Header"/>
    <w:rsid w:val="007527BA"/>
    <w:rPr>
      <w:rFonts w:ascii="Times New Roman" w:eastAsia="Times New Roman" w:hAnsi="Times New Roman"/>
      <w:sz w:val="22"/>
      <w:szCs w:val="24"/>
      <w:lang w:val="en-GB"/>
    </w:rPr>
  </w:style>
  <w:style w:type="paragraph" w:styleId="Footer">
    <w:name w:val="footer"/>
    <w:basedOn w:val="Normal"/>
    <w:link w:val="FooterChar"/>
    <w:rsid w:val="007527BA"/>
    <w:pPr>
      <w:tabs>
        <w:tab w:val="center" w:pos="4680"/>
        <w:tab w:val="right" w:pos="9360"/>
      </w:tabs>
    </w:pPr>
  </w:style>
  <w:style w:type="character" w:customStyle="1" w:styleId="FooterChar">
    <w:name w:val="Footer Char"/>
    <w:basedOn w:val="DefaultParagraphFont"/>
    <w:link w:val="Footer"/>
    <w:rsid w:val="007527BA"/>
    <w:rPr>
      <w:rFonts w:ascii="Times New Roman" w:eastAsia="Times New Roman" w:hAnsi="Times New Roman"/>
      <w:sz w:val="22"/>
      <w:szCs w:val="24"/>
      <w:lang w:val="en-GB"/>
    </w:rPr>
  </w:style>
  <w:style w:type="paragraph" w:customStyle="1" w:styleId="IPPHeader">
    <w:name w:val="IPP Header"/>
    <w:basedOn w:val="Normal"/>
    <w:qFormat/>
    <w:rsid w:val="007527B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rial">
    <w:name w:val="IPP Arial"/>
    <w:basedOn w:val="IPPNormal"/>
    <w:qFormat/>
    <w:rsid w:val="007527BA"/>
    <w:pPr>
      <w:spacing w:after="0"/>
    </w:pPr>
    <w:rPr>
      <w:rFonts w:ascii="Arial" w:hAnsi="Arial"/>
      <w:sz w:val="18"/>
    </w:rPr>
  </w:style>
  <w:style w:type="character" w:customStyle="1" w:styleId="Heading1Char">
    <w:name w:val="Heading 1 Char"/>
    <w:basedOn w:val="DefaultParagraphFont"/>
    <w:link w:val="Heading1"/>
    <w:rsid w:val="007527BA"/>
    <w:rPr>
      <w:rFonts w:ascii="Times New Roman" w:eastAsia="Times New Roman" w:hAnsi="Times New Roman"/>
      <w:b/>
      <w:bCs/>
      <w:sz w:val="22"/>
      <w:szCs w:val="24"/>
      <w:lang w:val="en-GB"/>
    </w:rPr>
  </w:style>
  <w:style w:type="character" w:customStyle="1" w:styleId="Heading2Char">
    <w:name w:val="Heading 2 Char"/>
    <w:basedOn w:val="DefaultParagraphFont"/>
    <w:link w:val="Heading2"/>
    <w:rsid w:val="007527BA"/>
    <w:rPr>
      <w:rFonts w:eastAsia="Times New Roman"/>
      <w:b/>
      <w:bCs/>
      <w:i/>
      <w:iCs/>
      <w:sz w:val="28"/>
      <w:szCs w:val="28"/>
      <w:lang w:val="en-GB"/>
    </w:rPr>
  </w:style>
  <w:style w:type="character" w:customStyle="1" w:styleId="Heading3Char">
    <w:name w:val="Heading 3 Char"/>
    <w:basedOn w:val="DefaultParagraphFont"/>
    <w:link w:val="Heading3"/>
    <w:rsid w:val="007527BA"/>
    <w:rPr>
      <w:rFonts w:eastAsia="Times New Roman"/>
      <w:b/>
      <w:bCs/>
      <w:sz w:val="26"/>
      <w:szCs w:val="26"/>
      <w:lang w:val="en-GB"/>
    </w:rPr>
  </w:style>
  <w:style w:type="paragraph" w:styleId="FootnoteText">
    <w:name w:val="footnote text"/>
    <w:basedOn w:val="Normal"/>
    <w:link w:val="FootnoteTextChar"/>
    <w:semiHidden/>
    <w:rsid w:val="007527BA"/>
    <w:pPr>
      <w:spacing w:before="60"/>
    </w:pPr>
    <w:rPr>
      <w:sz w:val="20"/>
    </w:rPr>
  </w:style>
  <w:style w:type="character" w:customStyle="1" w:styleId="FootnoteTextChar">
    <w:name w:val="Footnote Text Char"/>
    <w:basedOn w:val="DefaultParagraphFont"/>
    <w:link w:val="FootnoteText"/>
    <w:semiHidden/>
    <w:rsid w:val="007527BA"/>
    <w:rPr>
      <w:rFonts w:ascii="Times New Roman" w:eastAsia="Times New Roman" w:hAnsi="Times New Roman"/>
      <w:szCs w:val="24"/>
      <w:lang w:val="en-GB"/>
    </w:rPr>
  </w:style>
  <w:style w:type="character" w:styleId="FootnoteReference">
    <w:name w:val="footnote reference"/>
    <w:basedOn w:val="DefaultParagraphFont"/>
    <w:semiHidden/>
    <w:rsid w:val="007527BA"/>
    <w:rPr>
      <w:vertAlign w:val="superscript"/>
    </w:rPr>
  </w:style>
  <w:style w:type="paragraph" w:customStyle="1" w:styleId="Style">
    <w:name w:val="Style"/>
    <w:basedOn w:val="Footer"/>
    <w:autoRedefine/>
    <w:qFormat/>
    <w:rsid w:val="007527B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527BA"/>
    <w:rPr>
      <w:rFonts w:ascii="Arial" w:hAnsi="Arial"/>
      <w:b/>
      <w:sz w:val="18"/>
    </w:rPr>
  </w:style>
  <w:style w:type="paragraph" w:customStyle="1" w:styleId="IPPArialFootnote">
    <w:name w:val="IPP Arial Footnote"/>
    <w:basedOn w:val="IPPArialTable"/>
    <w:qFormat/>
    <w:rsid w:val="007527BA"/>
    <w:pPr>
      <w:tabs>
        <w:tab w:val="left" w:pos="28"/>
      </w:tabs>
      <w:ind w:left="284" w:hanging="284"/>
    </w:pPr>
    <w:rPr>
      <w:sz w:val="16"/>
    </w:rPr>
  </w:style>
  <w:style w:type="paragraph" w:customStyle="1" w:styleId="IPPContentsHead">
    <w:name w:val="IPP ContentsHead"/>
    <w:basedOn w:val="IPPSubhead"/>
    <w:next w:val="IPPNormal"/>
    <w:qFormat/>
    <w:rsid w:val="007527BA"/>
    <w:pPr>
      <w:spacing w:after="240"/>
    </w:pPr>
    <w:rPr>
      <w:sz w:val="24"/>
    </w:rPr>
  </w:style>
  <w:style w:type="table" w:styleId="TableGrid">
    <w:name w:val="Table Grid"/>
    <w:basedOn w:val="TableNormal"/>
    <w:locked/>
    <w:rsid w:val="007527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7527BA"/>
    <w:pPr>
      <w:numPr>
        <w:numId w:val="5"/>
      </w:numPr>
      <w:tabs>
        <w:tab w:val="left" w:pos="567"/>
      </w:tabs>
      <w:spacing w:after="60"/>
    </w:pPr>
  </w:style>
  <w:style w:type="paragraph" w:customStyle="1" w:styleId="IPPQuote">
    <w:name w:val="IPP Quote"/>
    <w:basedOn w:val="IPPNormal"/>
    <w:qFormat/>
    <w:rsid w:val="007527BA"/>
    <w:pPr>
      <w:ind w:left="851" w:right="851"/>
    </w:pPr>
    <w:rPr>
      <w:sz w:val="18"/>
    </w:rPr>
  </w:style>
  <w:style w:type="paragraph" w:customStyle="1" w:styleId="IPPNormal">
    <w:name w:val="IPP Normal"/>
    <w:basedOn w:val="Normal"/>
    <w:qFormat/>
    <w:rsid w:val="007527BA"/>
    <w:pPr>
      <w:spacing w:after="180"/>
    </w:pPr>
    <w:rPr>
      <w:rFonts w:eastAsia="Times"/>
    </w:rPr>
  </w:style>
  <w:style w:type="paragraph" w:customStyle="1" w:styleId="IPPIndentClose">
    <w:name w:val="IPP Indent Close"/>
    <w:basedOn w:val="IPPNormal"/>
    <w:qFormat/>
    <w:rsid w:val="007527BA"/>
    <w:pPr>
      <w:tabs>
        <w:tab w:val="left" w:pos="2835"/>
      </w:tabs>
      <w:spacing w:after="60"/>
      <w:ind w:left="567"/>
    </w:pPr>
  </w:style>
  <w:style w:type="paragraph" w:customStyle="1" w:styleId="IPPIndent">
    <w:name w:val="IPP Indent"/>
    <w:basedOn w:val="IPPIndentClose"/>
    <w:qFormat/>
    <w:rsid w:val="007527BA"/>
    <w:pPr>
      <w:spacing w:after="180"/>
    </w:pPr>
  </w:style>
  <w:style w:type="paragraph" w:customStyle="1" w:styleId="IPPFootnote">
    <w:name w:val="IPP Footnote"/>
    <w:basedOn w:val="IPPArialFootnote"/>
    <w:qFormat/>
    <w:rsid w:val="007527B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7527BA"/>
    <w:pPr>
      <w:keepNext/>
      <w:tabs>
        <w:tab w:val="left" w:pos="567"/>
      </w:tabs>
      <w:spacing w:before="120" w:after="120"/>
      <w:ind w:left="567" w:hanging="567"/>
    </w:pPr>
    <w:rPr>
      <w:b/>
      <w:i/>
    </w:rPr>
  </w:style>
  <w:style w:type="character" w:customStyle="1" w:styleId="IPPnormalitalics">
    <w:name w:val="IPP normal italics"/>
    <w:basedOn w:val="DefaultParagraphFont"/>
    <w:rsid w:val="007527BA"/>
    <w:rPr>
      <w:rFonts w:ascii="Times New Roman" w:hAnsi="Times New Roman"/>
      <w:i/>
      <w:sz w:val="22"/>
      <w:lang w:val="en-US"/>
    </w:rPr>
  </w:style>
  <w:style w:type="character" w:customStyle="1" w:styleId="IPPNormalbold">
    <w:name w:val="IPP Normal bold"/>
    <w:basedOn w:val="PlainTextChar"/>
    <w:rsid w:val="007527BA"/>
    <w:rPr>
      <w:rFonts w:ascii="Times New Roman" w:hAnsi="Times New Roman"/>
      <w:b/>
      <w:sz w:val="22"/>
    </w:rPr>
  </w:style>
  <w:style w:type="paragraph" w:customStyle="1" w:styleId="IPPHeadSection">
    <w:name w:val="IPP HeadSection"/>
    <w:basedOn w:val="Normal"/>
    <w:next w:val="Normal"/>
    <w:qFormat/>
    <w:rsid w:val="007527B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527B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527BA"/>
    <w:pPr>
      <w:keepNext/>
      <w:ind w:left="567" w:hanging="567"/>
      <w:jc w:val="left"/>
    </w:pPr>
    <w:rPr>
      <w:b/>
      <w:bCs/>
      <w:iCs/>
      <w:szCs w:val="22"/>
    </w:rPr>
  </w:style>
  <w:style w:type="character" w:customStyle="1" w:styleId="IPPNormalunderlined">
    <w:name w:val="IPP Normal underlined"/>
    <w:basedOn w:val="DefaultParagraphFont"/>
    <w:rsid w:val="007527BA"/>
    <w:rPr>
      <w:rFonts w:ascii="Times New Roman" w:hAnsi="Times New Roman"/>
      <w:sz w:val="22"/>
      <w:u w:val="single"/>
      <w:lang w:val="en-US"/>
    </w:rPr>
  </w:style>
  <w:style w:type="paragraph" w:customStyle="1" w:styleId="IPPBullet1">
    <w:name w:val="IPP Bullet1"/>
    <w:basedOn w:val="IPPBullet1Last"/>
    <w:qFormat/>
    <w:rsid w:val="007527BA"/>
    <w:pPr>
      <w:spacing w:after="60"/>
    </w:pPr>
    <w:rPr>
      <w:lang w:val="en-US"/>
    </w:rPr>
  </w:style>
  <w:style w:type="paragraph" w:customStyle="1" w:styleId="IPPBullet1Last">
    <w:name w:val="IPP Bullet1Last"/>
    <w:basedOn w:val="IPPNormal"/>
    <w:next w:val="IPPNormal"/>
    <w:autoRedefine/>
    <w:qFormat/>
    <w:rsid w:val="007527BA"/>
    <w:pPr>
      <w:numPr>
        <w:numId w:val="6"/>
      </w:numPr>
    </w:pPr>
  </w:style>
  <w:style w:type="character" w:customStyle="1" w:styleId="IPPNormalstrikethrough">
    <w:name w:val="IPP Normal strikethrough"/>
    <w:rsid w:val="007527BA"/>
    <w:rPr>
      <w:rFonts w:ascii="Times New Roman" w:hAnsi="Times New Roman"/>
      <w:strike/>
      <w:dstrike w:val="0"/>
      <w:sz w:val="22"/>
    </w:rPr>
  </w:style>
  <w:style w:type="paragraph" w:customStyle="1" w:styleId="IPPTitle16pt">
    <w:name w:val="IPP Title16pt"/>
    <w:basedOn w:val="Normal"/>
    <w:qFormat/>
    <w:rsid w:val="007527B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527B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527BA"/>
    <w:pPr>
      <w:keepNext/>
      <w:tabs>
        <w:tab w:val="left" w:pos="567"/>
      </w:tabs>
      <w:spacing w:before="120"/>
      <w:jc w:val="left"/>
      <w:outlineLvl w:val="1"/>
    </w:pPr>
    <w:rPr>
      <w:b/>
      <w:sz w:val="24"/>
    </w:rPr>
  </w:style>
  <w:style w:type="numbering" w:customStyle="1" w:styleId="IPPParagraphnumberedlist">
    <w:name w:val="IPP Paragraph numbered list"/>
    <w:rsid w:val="007527BA"/>
    <w:pPr>
      <w:numPr>
        <w:numId w:val="4"/>
      </w:numPr>
    </w:pPr>
  </w:style>
  <w:style w:type="paragraph" w:customStyle="1" w:styleId="IPPNormalCloseSpace">
    <w:name w:val="IPP NormalCloseSpace"/>
    <w:basedOn w:val="Normal"/>
    <w:qFormat/>
    <w:rsid w:val="007527BA"/>
    <w:pPr>
      <w:keepNext/>
      <w:spacing w:after="60"/>
    </w:pPr>
  </w:style>
  <w:style w:type="paragraph" w:customStyle="1" w:styleId="IPPHeading2">
    <w:name w:val="IPP Heading2"/>
    <w:basedOn w:val="IPPNormal"/>
    <w:next w:val="IPPNormal"/>
    <w:qFormat/>
    <w:rsid w:val="007527B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527B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locked/>
    <w:rsid w:val="007527BA"/>
    <w:pPr>
      <w:tabs>
        <w:tab w:val="right" w:leader="dot" w:pos="9072"/>
      </w:tabs>
      <w:spacing w:before="240"/>
      <w:ind w:left="567" w:hanging="567"/>
    </w:pPr>
  </w:style>
  <w:style w:type="paragraph" w:styleId="TOC2">
    <w:name w:val="toc 2"/>
    <w:basedOn w:val="TOC1"/>
    <w:next w:val="Normal"/>
    <w:autoRedefine/>
    <w:uiPriority w:val="39"/>
    <w:locked/>
    <w:rsid w:val="007527BA"/>
    <w:pPr>
      <w:keepNext w:val="0"/>
      <w:tabs>
        <w:tab w:val="left" w:pos="425"/>
      </w:tabs>
      <w:spacing w:before="120" w:after="0"/>
      <w:ind w:left="425" w:right="284" w:hanging="425"/>
    </w:pPr>
  </w:style>
  <w:style w:type="paragraph" w:styleId="TOC3">
    <w:name w:val="toc 3"/>
    <w:basedOn w:val="TOC2"/>
    <w:next w:val="Normal"/>
    <w:autoRedefine/>
    <w:uiPriority w:val="39"/>
    <w:locked/>
    <w:rsid w:val="007527BA"/>
    <w:pPr>
      <w:tabs>
        <w:tab w:val="left" w:pos="1276"/>
      </w:tabs>
      <w:spacing w:before="60"/>
      <w:ind w:left="1276" w:hanging="851"/>
    </w:pPr>
    <w:rPr>
      <w:rFonts w:eastAsia="Times"/>
    </w:rPr>
  </w:style>
  <w:style w:type="paragraph" w:styleId="TOC4">
    <w:name w:val="toc 4"/>
    <w:basedOn w:val="Normal"/>
    <w:next w:val="Normal"/>
    <w:autoRedefine/>
    <w:uiPriority w:val="39"/>
    <w:locked/>
    <w:rsid w:val="007527BA"/>
    <w:pPr>
      <w:spacing w:after="120"/>
      <w:ind w:left="660"/>
    </w:pPr>
    <w:rPr>
      <w:rFonts w:eastAsia="Times"/>
      <w:lang w:val="en-AU"/>
    </w:rPr>
  </w:style>
  <w:style w:type="paragraph" w:styleId="TOC5">
    <w:name w:val="toc 5"/>
    <w:basedOn w:val="Normal"/>
    <w:next w:val="Normal"/>
    <w:autoRedefine/>
    <w:uiPriority w:val="39"/>
    <w:locked/>
    <w:rsid w:val="007527BA"/>
    <w:pPr>
      <w:spacing w:after="120"/>
      <w:ind w:left="880"/>
    </w:pPr>
    <w:rPr>
      <w:rFonts w:eastAsia="Times"/>
      <w:lang w:val="en-AU"/>
    </w:rPr>
  </w:style>
  <w:style w:type="paragraph" w:styleId="TOC6">
    <w:name w:val="toc 6"/>
    <w:basedOn w:val="Normal"/>
    <w:next w:val="Normal"/>
    <w:autoRedefine/>
    <w:uiPriority w:val="39"/>
    <w:locked/>
    <w:rsid w:val="007527BA"/>
    <w:pPr>
      <w:spacing w:after="120"/>
      <w:ind w:left="1100"/>
    </w:pPr>
    <w:rPr>
      <w:rFonts w:eastAsia="Times"/>
      <w:lang w:val="en-AU"/>
    </w:rPr>
  </w:style>
  <w:style w:type="paragraph" w:styleId="TOC7">
    <w:name w:val="toc 7"/>
    <w:basedOn w:val="Normal"/>
    <w:next w:val="Normal"/>
    <w:autoRedefine/>
    <w:uiPriority w:val="39"/>
    <w:locked/>
    <w:rsid w:val="007527BA"/>
    <w:pPr>
      <w:spacing w:after="120"/>
      <w:ind w:left="1320"/>
    </w:pPr>
    <w:rPr>
      <w:rFonts w:eastAsia="Times"/>
      <w:lang w:val="en-AU"/>
    </w:rPr>
  </w:style>
  <w:style w:type="paragraph" w:styleId="TOC8">
    <w:name w:val="toc 8"/>
    <w:basedOn w:val="Normal"/>
    <w:next w:val="Normal"/>
    <w:autoRedefine/>
    <w:uiPriority w:val="39"/>
    <w:locked/>
    <w:rsid w:val="007527BA"/>
    <w:pPr>
      <w:spacing w:after="120"/>
      <w:ind w:left="1540"/>
    </w:pPr>
    <w:rPr>
      <w:rFonts w:eastAsia="Times"/>
      <w:lang w:val="en-AU"/>
    </w:rPr>
  </w:style>
  <w:style w:type="paragraph" w:styleId="TOC9">
    <w:name w:val="toc 9"/>
    <w:basedOn w:val="Normal"/>
    <w:next w:val="Normal"/>
    <w:autoRedefine/>
    <w:uiPriority w:val="39"/>
    <w:locked/>
    <w:rsid w:val="007527BA"/>
    <w:pPr>
      <w:spacing w:after="120"/>
      <w:ind w:left="1760"/>
    </w:pPr>
    <w:rPr>
      <w:rFonts w:eastAsia="Times"/>
      <w:lang w:val="en-AU"/>
    </w:rPr>
  </w:style>
  <w:style w:type="paragraph" w:customStyle="1" w:styleId="IPPReferences">
    <w:name w:val="IPP References"/>
    <w:basedOn w:val="IPPNormal"/>
    <w:qFormat/>
    <w:rsid w:val="007527BA"/>
    <w:pPr>
      <w:spacing w:after="60"/>
      <w:ind w:left="567" w:hanging="567"/>
    </w:pPr>
  </w:style>
  <w:style w:type="paragraph" w:customStyle="1" w:styleId="IPPArialTable">
    <w:name w:val="IPP Arial Table"/>
    <w:basedOn w:val="IPPArial"/>
    <w:qFormat/>
    <w:rsid w:val="007527BA"/>
    <w:pPr>
      <w:spacing w:before="60" w:after="60"/>
      <w:jc w:val="left"/>
    </w:pPr>
  </w:style>
  <w:style w:type="paragraph" w:customStyle="1" w:styleId="IPPHeaderlandscape">
    <w:name w:val="IPP Header landscape"/>
    <w:basedOn w:val="IPPHeader"/>
    <w:qFormat/>
    <w:rsid w:val="007527BA"/>
    <w:pPr>
      <w:tabs>
        <w:tab w:val="clear" w:pos="9072"/>
        <w:tab w:val="right" w:pos="13892"/>
      </w:tabs>
      <w:spacing w:after="0"/>
    </w:pPr>
  </w:style>
  <w:style w:type="paragraph" w:styleId="PlainText">
    <w:name w:val="Plain Text"/>
    <w:basedOn w:val="Normal"/>
    <w:link w:val="PlainTextChar"/>
    <w:uiPriority w:val="99"/>
    <w:unhideWhenUsed/>
    <w:rsid w:val="007527B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527BA"/>
    <w:rPr>
      <w:rFonts w:ascii="Courier" w:eastAsia="Times" w:hAnsi="Courier"/>
      <w:sz w:val="21"/>
      <w:szCs w:val="21"/>
      <w:lang w:val="en-AU"/>
    </w:rPr>
  </w:style>
  <w:style w:type="paragraph" w:customStyle="1" w:styleId="IPPLetterList">
    <w:name w:val="IPP LetterList"/>
    <w:basedOn w:val="IPPBullet2"/>
    <w:qFormat/>
    <w:rsid w:val="007527BA"/>
    <w:pPr>
      <w:numPr>
        <w:numId w:val="2"/>
      </w:numPr>
      <w:jc w:val="left"/>
    </w:pPr>
  </w:style>
  <w:style w:type="paragraph" w:customStyle="1" w:styleId="IPPLetterListIndent">
    <w:name w:val="IPP LetterList Indent"/>
    <w:basedOn w:val="IPPLetterList"/>
    <w:qFormat/>
    <w:rsid w:val="007527BA"/>
    <w:pPr>
      <w:numPr>
        <w:numId w:val="3"/>
      </w:numPr>
    </w:pPr>
  </w:style>
  <w:style w:type="paragraph" w:customStyle="1" w:styleId="IPPFooterLandscape">
    <w:name w:val="IPP Footer Landscape"/>
    <w:basedOn w:val="IPPHeaderlandscape"/>
    <w:qFormat/>
    <w:rsid w:val="007527BA"/>
    <w:pPr>
      <w:pBdr>
        <w:top w:val="single" w:sz="4" w:space="1" w:color="auto"/>
        <w:bottom w:val="none" w:sz="0" w:space="0" w:color="auto"/>
      </w:pBdr>
    </w:pPr>
    <w:rPr>
      <w:b/>
    </w:rPr>
  </w:style>
  <w:style w:type="paragraph" w:customStyle="1" w:styleId="IPPSubheadSpace">
    <w:name w:val="IPP Subhead Space"/>
    <w:basedOn w:val="IPPSubhead"/>
    <w:qFormat/>
    <w:rsid w:val="007527BA"/>
    <w:pPr>
      <w:tabs>
        <w:tab w:val="left" w:pos="567"/>
      </w:tabs>
      <w:spacing w:before="60" w:after="60"/>
    </w:pPr>
  </w:style>
  <w:style w:type="paragraph" w:customStyle="1" w:styleId="IPPSubheadSpaceAfter">
    <w:name w:val="IPP Subhead SpaceAfter"/>
    <w:basedOn w:val="IPPSubhead"/>
    <w:qFormat/>
    <w:rsid w:val="007527BA"/>
    <w:pPr>
      <w:spacing w:after="60"/>
    </w:pPr>
  </w:style>
  <w:style w:type="paragraph" w:customStyle="1" w:styleId="IPPHdg1Num">
    <w:name w:val="IPP Hdg1Num"/>
    <w:basedOn w:val="IPPHeading1"/>
    <w:next w:val="IPPNormal"/>
    <w:qFormat/>
    <w:rsid w:val="007527BA"/>
    <w:pPr>
      <w:numPr>
        <w:numId w:val="7"/>
      </w:numPr>
      <w:ind w:left="567" w:hanging="567"/>
    </w:pPr>
  </w:style>
  <w:style w:type="paragraph" w:customStyle="1" w:styleId="IPPHdg2Num">
    <w:name w:val="IPP Hdg2Num"/>
    <w:basedOn w:val="IPPHeading2"/>
    <w:next w:val="IPPNormal"/>
    <w:qFormat/>
    <w:rsid w:val="007527BA"/>
    <w:pPr>
      <w:numPr>
        <w:ilvl w:val="1"/>
        <w:numId w:val="8"/>
      </w:numPr>
      <w:ind w:hanging="792"/>
    </w:pPr>
  </w:style>
  <w:style w:type="paragraph" w:customStyle="1" w:styleId="IPPNumberedList">
    <w:name w:val="IPP NumberedList"/>
    <w:basedOn w:val="IPPBullet1"/>
    <w:qFormat/>
    <w:rsid w:val="007527BA"/>
    <w:pPr>
      <w:numPr>
        <w:numId w:val="9"/>
      </w:numPr>
    </w:pPr>
  </w:style>
  <w:style w:type="paragraph" w:customStyle="1" w:styleId="Header1">
    <w:name w:val="Header1"/>
    <w:autoRedefine/>
    <w:rsid w:val="00274298"/>
    <w:pPr>
      <w:pBdr>
        <w:bottom w:val="single" w:sz="4" w:space="1" w:color="auto"/>
      </w:pBdr>
      <w:tabs>
        <w:tab w:val="center" w:pos="4320"/>
        <w:tab w:val="right" w:pos="9573"/>
      </w:tabs>
      <w:spacing w:after="240"/>
    </w:pPr>
    <w:rPr>
      <w:rFonts w:asciiTheme="minorBidi" w:eastAsia="ヒラギノ角ゴ Pro W3" w:hAnsiTheme="minorBidi" w:cstheme="minorBidi"/>
      <w:color w:val="000000"/>
      <w:sz w:val="22"/>
      <w:szCs w:val="22"/>
    </w:rPr>
  </w:style>
  <w:style w:type="paragraph" w:customStyle="1" w:styleId="NewPara">
    <w:name w:val="NewPara"/>
    <w:basedOn w:val="ListParagraph"/>
    <w:link w:val="NewParaChar"/>
    <w:qFormat/>
    <w:rsid w:val="00095465"/>
    <w:pPr>
      <w:numPr>
        <w:numId w:val="10"/>
      </w:numPr>
      <w:spacing w:before="120"/>
      <w:ind w:left="720"/>
      <w:contextualSpacing w:val="0"/>
    </w:pPr>
    <w:rPr>
      <w:rFonts w:eastAsia="Calibri" w:cs="Akhbar MT"/>
      <w:szCs w:val="30"/>
    </w:rPr>
  </w:style>
  <w:style w:type="character" w:customStyle="1" w:styleId="NewParaChar">
    <w:name w:val="NewPara Char"/>
    <w:basedOn w:val="DefaultParagraphFont"/>
    <w:link w:val="NewPara"/>
    <w:rsid w:val="00095465"/>
    <w:rPr>
      <w:rFonts w:ascii="Times New Roman" w:hAnsi="Times New Roman" w:cs="Akhbar MT"/>
      <w:sz w:val="22"/>
      <w:szCs w:val="30"/>
      <w:lang w:val="en-GB"/>
    </w:rPr>
  </w:style>
  <w:style w:type="paragraph" w:customStyle="1" w:styleId="SectionBreak">
    <w:name w:val="SectionBreak"/>
    <w:basedOn w:val="Normal"/>
    <w:link w:val="SectionBreakChar"/>
    <w:qFormat/>
    <w:rsid w:val="00095465"/>
    <w:pPr>
      <w:spacing w:before="120"/>
    </w:pPr>
    <w:rPr>
      <w:rFonts w:eastAsia="Calibri" w:cs="Akhbar MT"/>
      <w:szCs w:val="30"/>
    </w:rPr>
  </w:style>
  <w:style w:type="character" w:customStyle="1" w:styleId="SectionBreakChar">
    <w:name w:val="SectionBreak Char"/>
    <w:basedOn w:val="DefaultParagraphFont"/>
    <w:link w:val="SectionBreak"/>
    <w:rsid w:val="00095465"/>
    <w:rPr>
      <w:rFonts w:ascii="Times New Roman" w:hAnsi="Times New Roman" w:cs="Akhbar MT"/>
      <w:sz w:val="22"/>
      <w:szCs w:val="30"/>
      <w:lang w:val="en-GB"/>
    </w:rPr>
  </w:style>
  <w:style w:type="paragraph" w:customStyle="1" w:styleId="BulletList">
    <w:name w:val="Bullet List"/>
    <w:basedOn w:val="ListParagraph"/>
    <w:link w:val="BulletListChar"/>
    <w:qFormat/>
    <w:rsid w:val="00095465"/>
    <w:pPr>
      <w:numPr>
        <w:numId w:val="11"/>
      </w:numPr>
      <w:spacing w:before="120"/>
      <w:ind w:left="714" w:hanging="357"/>
    </w:pPr>
    <w:rPr>
      <w:rFonts w:eastAsia="Calibri" w:cs="Akhbar MT"/>
      <w:szCs w:val="30"/>
    </w:rPr>
  </w:style>
  <w:style w:type="character" w:customStyle="1" w:styleId="BulletListChar">
    <w:name w:val="Bullet List Char"/>
    <w:basedOn w:val="DefaultParagraphFont"/>
    <w:link w:val="BulletList"/>
    <w:rsid w:val="00095465"/>
    <w:rPr>
      <w:rFonts w:ascii="Times New Roman" w:hAnsi="Times New Roman" w:cs="Akhbar MT"/>
      <w:sz w:val="22"/>
      <w:szCs w:val="30"/>
      <w:lang w:val="en-GB"/>
    </w:rPr>
  </w:style>
  <w:style w:type="character" w:styleId="Hyperlink">
    <w:name w:val="Hyperlink"/>
    <w:basedOn w:val="DefaultParagraphFont"/>
    <w:uiPriority w:val="99"/>
    <w:unhideWhenUsed/>
    <w:rsid w:val="00095465"/>
    <w:rPr>
      <w:color w:val="0000FF"/>
      <w:u w:val="single"/>
    </w:rPr>
  </w:style>
  <w:style w:type="paragraph" w:customStyle="1" w:styleId="PageBreak">
    <w:name w:val="PageBreak"/>
    <w:basedOn w:val="Normal"/>
    <w:link w:val="PageBreakChar"/>
    <w:rsid w:val="00095465"/>
    <w:pPr>
      <w:spacing w:before="120"/>
    </w:pPr>
    <w:rPr>
      <w:rFonts w:eastAsia="Calibri" w:cs="Akhbar MT"/>
      <w:szCs w:val="30"/>
    </w:rPr>
  </w:style>
  <w:style w:type="character" w:customStyle="1" w:styleId="PageBreakChar">
    <w:name w:val="PageBreak Char"/>
    <w:basedOn w:val="DefaultParagraphFont"/>
    <w:link w:val="PageBreak"/>
    <w:rsid w:val="00095465"/>
    <w:rPr>
      <w:rFonts w:ascii="Times New Roman" w:hAnsi="Times New Roman" w:cs="Akhbar MT"/>
      <w:sz w:val="22"/>
      <w:szCs w:val="30"/>
      <w:lang w:val="en-GB"/>
    </w:rPr>
  </w:style>
  <w:style w:type="character" w:customStyle="1" w:styleId="NroPara">
    <w:name w:val="NroPara"/>
    <w:basedOn w:val="DefaultParagraphFont"/>
    <w:rsid w:val="00014C49"/>
  </w:style>
  <w:style w:type="paragraph" w:customStyle="1" w:styleId="MeetingInfo">
    <w:name w:val="MeetingInfo"/>
    <w:basedOn w:val="Normal"/>
    <w:link w:val="MeetingInfoChar"/>
    <w:qFormat/>
    <w:rsid w:val="00014C49"/>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eastAsia="Calibri" w:hAnsi="Times New Roman Bold" w:cs="Akhbar MT"/>
      <w:b/>
      <w:bCs/>
      <w:sz w:val="28"/>
      <w:szCs w:val="36"/>
    </w:rPr>
  </w:style>
  <w:style w:type="character" w:customStyle="1" w:styleId="MeetingInfoChar">
    <w:name w:val="MeetingInfo Char"/>
    <w:basedOn w:val="DefaultParagraphFont"/>
    <w:link w:val="MeetingInfo"/>
    <w:rsid w:val="00014C49"/>
    <w:rPr>
      <w:rFonts w:ascii="Times New Roman Bold" w:hAnsi="Times New Roman Bold" w:cs="Akhbar MT"/>
      <w:b/>
      <w:bCs/>
      <w:sz w:val="28"/>
      <w:szCs w:val="36"/>
      <w:lang w:val="en-GB"/>
    </w:rPr>
  </w:style>
  <w:style w:type="paragraph" w:customStyle="1" w:styleId="Default">
    <w:name w:val="Default"/>
    <w:rsid w:val="00CF6C18"/>
    <w:pPr>
      <w:autoSpaceDE w:val="0"/>
      <w:autoSpaceDN w:val="0"/>
      <w:adjustRightInd w:val="0"/>
    </w:pPr>
    <w:rPr>
      <w:rFonts w:ascii="Arial Narrow" w:hAnsi="Arial Narrow" w:cs="Arial Narrow"/>
      <w:color w:val="000000"/>
      <w:sz w:val="24"/>
      <w:szCs w:val="24"/>
    </w:rPr>
  </w:style>
  <w:style w:type="paragraph" w:customStyle="1" w:styleId="Pa3">
    <w:name w:val="Pa3"/>
    <w:basedOn w:val="Default"/>
    <w:next w:val="Default"/>
    <w:uiPriority w:val="99"/>
    <w:rsid w:val="00CF6C18"/>
    <w:pPr>
      <w:spacing w:line="241" w:lineRule="atLeast"/>
    </w:pPr>
    <w:rPr>
      <w:rFonts w:cs="Times New Roman"/>
      <w:color w:val="auto"/>
    </w:rPr>
  </w:style>
  <w:style w:type="character" w:customStyle="1" w:styleId="A3">
    <w:name w:val="A3"/>
    <w:uiPriority w:val="99"/>
    <w:rsid w:val="00CF6C18"/>
    <w:rPr>
      <w:rFonts w:cs="Arial Narrow"/>
      <w:color w:val="221E1F"/>
      <w:sz w:val="22"/>
      <w:szCs w:val="22"/>
    </w:rPr>
  </w:style>
  <w:style w:type="character" w:styleId="FollowedHyperlink">
    <w:name w:val="FollowedHyperlink"/>
    <w:basedOn w:val="DefaultParagraphFont"/>
    <w:uiPriority w:val="99"/>
    <w:semiHidden/>
    <w:unhideWhenUsed/>
    <w:rsid w:val="003C7D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027764">
      <w:bodyDiv w:val="1"/>
      <w:marLeft w:val="0"/>
      <w:marRight w:val="0"/>
      <w:marTop w:val="0"/>
      <w:marBottom w:val="0"/>
      <w:divBdr>
        <w:top w:val="none" w:sz="0" w:space="0" w:color="auto"/>
        <w:left w:val="none" w:sz="0" w:space="0" w:color="auto"/>
        <w:bottom w:val="none" w:sz="0" w:space="0" w:color="auto"/>
        <w:right w:val="none" w:sz="0" w:space="0" w:color="auto"/>
      </w:divBdr>
    </w:div>
    <w:div w:id="6677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facebook.com/pages/IPPC-News/113230338690380" TargetMode="External"/><Relationship Id="rId26" Type="http://schemas.openxmlformats.org/officeDocument/2006/relationships/hyperlink" Target="http://activities.phytosanitary.info/" TargetMode="External"/><Relationship Id="rId3" Type="http://schemas.openxmlformats.org/officeDocument/2006/relationships/styles" Target="styles.xml"/><Relationship Id="rId21" Type="http://schemas.openxmlformats.org/officeDocument/2006/relationships/hyperlink" Target="http://www.flickr.com/groups/international_plant_protection_convention/"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ppc.int/index.php?id=1110726&amp;L=0" TargetMode="External"/><Relationship Id="rId25" Type="http://schemas.openxmlformats.org/officeDocument/2006/relationships/hyperlink" Target="http://projects.phytosanitary.info/"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pc.int/index.php?id=13352" TargetMode="External"/><Relationship Id="rId20" Type="http://schemas.openxmlformats.org/officeDocument/2006/relationships/hyperlink" Target="http://www.linkedin.com/groups/IPPC-International-Plant-Protection-Convention-3175642?home=&amp;gid=3175642&amp;trk=anet_ug_hm" TargetMode="External"/><Relationship Id="rId29" Type="http://schemas.openxmlformats.org/officeDocument/2006/relationships/hyperlink" Target="https://www.ippc.int/index.php?id=6&amp;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hytosanitary.info/2012/mar/13/ippc-e-learning-course-pest-risk-analysispra/" TargetMode="External"/><Relationship Id="rId32" Type="http://schemas.openxmlformats.org/officeDocument/2006/relationships/hyperlink" Target="https://www.ippc.int/index.php?id=1110798&amp;tx_events_pi1%5bshowUid%5d=217037&amp;frompage=207568&amp;type=events&amp;L=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hytosanitary.info" TargetMode="External"/><Relationship Id="rId28" Type="http://schemas.openxmlformats.org/officeDocument/2006/relationships/hyperlink" Target="http://www.apppc.org/"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twitter.com/ippcnews" TargetMode="External"/><Relationship Id="rId31" Type="http://schemas.openxmlformats.org/officeDocument/2006/relationships/hyperlink" Target="http://ephyto.ippc.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ippc.int" TargetMode="External"/><Relationship Id="rId27" Type="http://schemas.openxmlformats.org/officeDocument/2006/relationships/hyperlink" Target="http://consultants.phytosanitary.info/" TargetMode="External"/><Relationship Id="rId30" Type="http://schemas.openxmlformats.org/officeDocument/2006/relationships/hyperlink" Target="https://www.ippc.int/60years/media/" TargetMode="Externa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1-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08DD-A9B6-417A-9E15-D29CD5C9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0</TotalTime>
  <Pages>14</Pages>
  <Words>4142</Words>
  <Characters>24663</Characters>
  <Application>Microsoft Office Word</Application>
  <DocSecurity>0</DocSecurity>
  <Lines>2466</Lines>
  <Paragraphs>2400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m116702</dc:creator>
  <cp:lastModifiedBy>Antonella</cp:lastModifiedBy>
  <cp:revision>2</cp:revision>
  <cp:lastPrinted>2012-10-05T06:36:00Z</cp:lastPrinted>
  <dcterms:created xsi:type="dcterms:W3CDTF">2012-10-08T16:58:00Z</dcterms:created>
  <dcterms:modified xsi:type="dcterms:W3CDTF">2012-10-08T16:58:00Z</dcterms:modified>
</cp:coreProperties>
</file>