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BC7" w:rsidRDefault="00C25057" w:rsidP="00D45BC7">
      <w:pPr>
        <w:jc w:val="center"/>
        <w:rPr>
          <w:b/>
        </w:rPr>
      </w:pPr>
      <w:r>
        <w:rPr>
          <w:b/>
        </w:rPr>
        <w:t>UPDATE ON IPPC SECRETARIAT STAFFING ISSUES</w:t>
      </w:r>
    </w:p>
    <w:p w:rsidR="00D45BC7" w:rsidRDefault="00D45BC7" w:rsidP="00D45BC7">
      <w:pPr>
        <w:jc w:val="center"/>
        <w:rPr>
          <w:b/>
        </w:rPr>
      </w:pPr>
    </w:p>
    <w:p w:rsidR="003D1502" w:rsidRDefault="00D45BC7" w:rsidP="00D45BC7">
      <w:pPr>
        <w:pStyle w:val="Paragrafoelenco"/>
        <w:numPr>
          <w:ilvl w:val="0"/>
          <w:numId w:val="1"/>
        </w:numPr>
      </w:pPr>
      <w:r>
        <w:t xml:space="preserve">The purpose of this document is to inform </w:t>
      </w:r>
      <w:r w:rsidR="000857CD">
        <w:t>the SPG on the issue of</w:t>
      </w:r>
      <w:r>
        <w:t xml:space="preserve"> IPPC Secretariat staff sustainability and succession planning.  </w:t>
      </w:r>
    </w:p>
    <w:p w:rsidR="00D45BC7" w:rsidRDefault="00D45BC7" w:rsidP="00D45BC7">
      <w:pPr>
        <w:pStyle w:val="Paragrafoelenco"/>
        <w:numPr>
          <w:ilvl w:val="0"/>
          <w:numId w:val="1"/>
        </w:numPr>
      </w:pPr>
      <w:r>
        <w:t xml:space="preserve">The current </w:t>
      </w:r>
      <w:r w:rsidR="00325F80">
        <w:t xml:space="preserve">“permanent” </w:t>
      </w:r>
      <w:r w:rsidR="00107499">
        <w:t xml:space="preserve">Secretariat </w:t>
      </w:r>
      <w:r>
        <w:t>consists of three G</w:t>
      </w:r>
      <w:r w:rsidR="00107499">
        <w:t>eneral Service s</w:t>
      </w:r>
      <w:r>
        <w:t>taff</w:t>
      </w:r>
      <w:r w:rsidR="00107499">
        <w:t xml:space="preserve"> members</w:t>
      </w:r>
      <w:r>
        <w:t xml:space="preserve">, and five Professional Service staff.  The remainder of IPPC Secretariat associated staff consists of a variety of project post positions, in-kind support, </w:t>
      </w:r>
      <w:r w:rsidR="001B4480">
        <w:t xml:space="preserve">APOs, </w:t>
      </w:r>
      <w:r>
        <w:t xml:space="preserve">consultants and assorted short term contract employees.    </w:t>
      </w:r>
    </w:p>
    <w:p w:rsidR="001B4480" w:rsidRDefault="00D45BC7" w:rsidP="00D45BC7">
      <w:pPr>
        <w:pStyle w:val="Paragrafoelenco"/>
        <w:numPr>
          <w:ilvl w:val="0"/>
          <w:numId w:val="1"/>
        </w:numPr>
      </w:pPr>
      <w:r>
        <w:t>While the Secretar</w:t>
      </w:r>
      <w:r w:rsidR="00325F80">
        <w:t>iat has been fortunate in staff</w:t>
      </w:r>
      <w:r>
        <w:t xml:space="preserve">ing </w:t>
      </w:r>
      <w:r w:rsidR="00325F80">
        <w:t>the five</w:t>
      </w:r>
      <w:r>
        <w:t xml:space="preserve"> professional service staff positions with personnel with a background in IPPC related work</w:t>
      </w:r>
      <w:r w:rsidR="00325F80">
        <w:t>;</w:t>
      </w:r>
      <w:r>
        <w:t xml:space="preserve"> </w:t>
      </w:r>
      <w:r w:rsidR="00CF3F1E">
        <w:t>in the remaining positions, only a</w:t>
      </w:r>
      <w:r w:rsidR="00325F80">
        <w:t xml:space="preserve"> few of the employees have any extensive background in IPPC-related activities.  While those personnel are of the highest calibre, hard-working and dedicated, the circumstances of their contractual arrangements under the FAO system does not adequately support sustainability in what are often vital to the mission junior level professional positions.  In most cases, these employees are contractually retained for a period of eleven months, with a mandatory one </w:t>
      </w:r>
      <w:r w:rsidR="001041B6">
        <w:t xml:space="preserve">month </w:t>
      </w:r>
      <w:r w:rsidR="00325F80">
        <w:t xml:space="preserve">break between year one and two, and a mandatory six month break after year two.  </w:t>
      </w:r>
    </w:p>
    <w:p w:rsidR="00107499" w:rsidRDefault="00325F80" w:rsidP="00D45BC7">
      <w:pPr>
        <w:pStyle w:val="Paragrafoelenco"/>
        <w:numPr>
          <w:ilvl w:val="0"/>
          <w:numId w:val="1"/>
        </w:numPr>
      </w:pPr>
      <w:r>
        <w:t>As a result, the</w:t>
      </w:r>
      <w:r w:rsidR="00107499">
        <w:t xml:space="preserve">re are some key </w:t>
      </w:r>
      <w:r>
        <w:t>challenge</w:t>
      </w:r>
      <w:r w:rsidR="00107499">
        <w:t>s</w:t>
      </w:r>
      <w:r>
        <w:t xml:space="preserve"> </w:t>
      </w:r>
      <w:r w:rsidR="00107499">
        <w:t>for the permanent staff in ensuring consistency of product and presentation</w:t>
      </w:r>
      <w:r w:rsidR="008F3121">
        <w:t>, as well as the challenge of retaining non-permanent staff who have gained a solid knowledge of IPPC operations</w:t>
      </w:r>
      <w:r w:rsidR="00107499">
        <w:t xml:space="preserve">.  </w:t>
      </w:r>
      <w:r w:rsidR="001B4480">
        <w:t xml:space="preserve">Repeated turnover on a more frequent than normal basis requires detailed attention to training </w:t>
      </w:r>
      <w:r w:rsidR="008F3121">
        <w:t xml:space="preserve">new employees </w:t>
      </w:r>
      <w:r w:rsidR="001B4480">
        <w:t xml:space="preserve">provided by </w:t>
      </w:r>
      <w:r w:rsidR="008F3121">
        <w:t xml:space="preserve">the </w:t>
      </w:r>
      <w:r w:rsidR="001B4480">
        <w:t xml:space="preserve">permanent staff </w:t>
      </w:r>
      <w:r w:rsidR="00CF3F1E">
        <w:t xml:space="preserve">members </w:t>
      </w:r>
      <w:r w:rsidR="001B4480">
        <w:t xml:space="preserve">which </w:t>
      </w:r>
      <w:r w:rsidR="008F3121">
        <w:t xml:space="preserve">in turn </w:t>
      </w:r>
      <w:r w:rsidR="001B4480">
        <w:t xml:space="preserve">takes them away from their assigned duties.  </w:t>
      </w:r>
      <w:r w:rsidR="00107499">
        <w:t xml:space="preserve">Continuity of staffing is a constant issue, and recent employment reforms instituted by the FAO have necessitated the renewal of contracts for some IPPC Secretariat employees on </w:t>
      </w:r>
      <w:r w:rsidR="00CF3F1E">
        <w:t xml:space="preserve">even </w:t>
      </w:r>
      <w:r w:rsidR="00107499">
        <w:t xml:space="preserve">a </w:t>
      </w:r>
      <w:r w:rsidR="00107499" w:rsidRPr="00107499">
        <w:rPr>
          <w:i/>
        </w:rPr>
        <w:t>monthly</w:t>
      </w:r>
      <w:r w:rsidR="00107499">
        <w:t xml:space="preserve"> basis.  </w:t>
      </w:r>
      <w:r>
        <w:t xml:space="preserve"> </w:t>
      </w:r>
      <w:r w:rsidR="00107499">
        <w:t>Naturally, in the current global economic environment, such circumstances have the possibility of effecting employee performance</w:t>
      </w:r>
      <w:r w:rsidR="00CF3F1E">
        <w:t xml:space="preserve"> and morale</w:t>
      </w:r>
      <w:r w:rsidR="00107499">
        <w:t xml:space="preserve">.  </w:t>
      </w:r>
      <w:r w:rsidR="008F3121">
        <w:t xml:space="preserve">Without clarity with regard to long term prospects, non-permanent staff logically would not consider themselves tied to the Secretariat and if offered a permanent position elsewhere would be likely to accept it.  </w:t>
      </w:r>
    </w:p>
    <w:p w:rsidR="00D45BC7" w:rsidRPr="001041B6" w:rsidRDefault="00107499" w:rsidP="00D45BC7">
      <w:pPr>
        <w:pStyle w:val="Paragrafoelenco"/>
        <w:numPr>
          <w:ilvl w:val="0"/>
          <w:numId w:val="1"/>
        </w:numPr>
      </w:pPr>
      <w:r>
        <w:t>While project posts offer a better opportunity at sustained staffing</w:t>
      </w:r>
      <w:r w:rsidR="000857CD">
        <w:t>, and better accessibility to potential employees with an IPPC-related background, the positions will last only as long as the proj</w:t>
      </w:r>
      <w:r w:rsidR="001B4480">
        <w:t>ect exists.  Resource mobilization and increased donor contributions can aid in addressing these issues to a certain extent; but due to the nature of this type of support, there may be limitations as to the work performed</w:t>
      </w:r>
      <w:r w:rsidR="008F3121">
        <w:t>, as there are often specific tasks assigned by the donors which must be fulfilled</w:t>
      </w:r>
      <w:r w:rsidR="001B4480">
        <w:t xml:space="preserve">.  </w:t>
      </w:r>
      <w:r w:rsidR="001041B6">
        <w:t xml:space="preserve">One possibility could </w:t>
      </w:r>
      <w:r w:rsidR="001041B6" w:rsidRPr="001041B6">
        <w:t xml:space="preserve">be </w:t>
      </w:r>
      <w:r w:rsidR="001041B6" w:rsidRPr="001041B6">
        <w:rPr>
          <w:color w:val="000000"/>
        </w:rPr>
        <w:t>long term annual pledges to the IPPC Trust fund</w:t>
      </w:r>
      <w:r w:rsidR="001041B6">
        <w:rPr>
          <w:color w:val="000000"/>
        </w:rPr>
        <w:t xml:space="preserve"> which would allow for the development of long term committed project posts.  This is an approach that is being utilized by the Rotterdam Convention.</w:t>
      </w:r>
    </w:p>
    <w:p w:rsidR="001B4480" w:rsidRDefault="001B4480" w:rsidP="00D45BC7">
      <w:pPr>
        <w:pStyle w:val="Paragrafoelenco"/>
        <w:numPr>
          <w:ilvl w:val="0"/>
          <w:numId w:val="1"/>
        </w:numPr>
      </w:pPr>
      <w:r>
        <w:t xml:space="preserve">The Secretariat has </w:t>
      </w:r>
      <w:r w:rsidR="00CF3F1E">
        <w:t xml:space="preserve">also </w:t>
      </w:r>
      <w:r w:rsidR="001041B6">
        <w:t>been fortunate recently</w:t>
      </w:r>
      <w:r>
        <w:t xml:space="preserve"> receiving high quality APO support from the United States</w:t>
      </w:r>
      <w:r w:rsidR="001041B6">
        <w:t>; regrettably this support has ended</w:t>
      </w:r>
      <w:r>
        <w:t xml:space="preserve">.  This type of support has been extremely useful in that it has provided some staffing sustainability for a longer period of time, and the NPPO providing the APO will get, at the conclusion of the assignment, a staff member fully knowledgeable about the activities and operations of the IPPC.  </w:t>
      </w:r>
      <w:r w:rsidR="001041B6">
        <w:lastRenderedPageBreak/>
        <w:t xml:space="preserve">Additional in-kind support at the Secretariat has been provided by France and soon, Japan.  </w:t>
      </w:r>
    </w:p>
    <w:p w:rsidR="008F3121" w:rsidRDefault="008F3121" w:rsidP="00D45BC7">
      <w:pPr>
        <w:pStyle w:val="Paragrafoelenco"/>
        <w:numPr>
          <w:ilvl w:val="0"/>
          <w:numId w:val="1"/>
        </w:numPr>
      </w:pPr>
      <w:r>
        <w:t xml:space="preserve">The SPG is invited to:  </w:t>
      </w:r>
    </w:p>
    <w:p w:rsidR="008F3121" w:rsidRDefault="008F3121" w:rsidP="008F3121">
      <w:pPr>
        <w:pStyle w:val="Paragrafoelenco"/>
        <w:numPr>
          <w:ilvl w:val="1"/>
          <w:numId w:val="1"/>
        </w:numPr>
      </w:pPr>
      <w:r w:rsidRPr="008F3121">
        <w:rPr>
          <w:i/>
        </w:rPr>
        <w:t>note</w:t>
      </w:r>
      <w:r>
        <w:t xml:space="preserve"> the current staffing situation in the IPPC Secretariat, and </w:t>
      </w:r>
    </w:p>
    <w:p w:rsidR="008F3121" w:rsidRDefault="001041B6" w:rsidP="001041B6">
      <w:pPr>
        <w:pStyle w:val="Paragrafoelenco"/>
        <w:numPr>
          <w:ilvl w:val="1"/>
          <w:numId w:val="1"/>
        </w:numPr>
      </w:pPr>
      <w:r>
        <w:rPr>
          <w:i/>
        </w:rPr>
        <w:t xml:space="preserve">consider and provide advice on </w:t>
      </w:r>
      <w:r>
        <w:t>alternative strategies for ensuring sustained staffing</w:t>
      </w:r>
      <w:r w:rsidR="000E173A">
        <w:t xml:space="preserve">.  </w:t>
      </w:r>
      <w:r w:rsidR="008F3121">
        <w:t xml:space="preserve"> </w:t>
      </w:r>
    </w:p>
    <w:p w:rsidR="008F3121" w:rsidRDefault="008F3121" w:rsidP="008F3121">
      <w:pPr>
        <w:pStyle w:val="Paragrafoelenco"/>
      </w:pPr>
    </w:p>
    <w:sectPr w:rsidR="008F3121" w:rsidSect="00C25057">
      <w:headerReference w:type="even" r:id="rId7"/>
      <w:headerReference w:type="default" r:id="rId8"/>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9E2" w:rsidRDefault="00D779E2" w:rsidP="00C25057">
      <w:r>
        <w:separator/>
      </w:r>
    </w:p>
  </w:endnote>
  <w:endnote w:type="continuationSeparator" w:id="0">
    <w:p w:rsidR="00D779E2" w:rsidRDefault="00D779E2" w:rsidP="00C250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057" w:rsidRPr="009F0F5E" w:rsidRDefault="00C25057" w:rsidP="00C25057">
    <w:pPr>
      <w:pStyle w:val="Footer1"/>
      <w:pBdr>
        <w:top w:val="single" w:sz="4" w:space="1" w:color="auto"/>
      </w:pBdr>
      <w:tabs>
        <w:tab w:val="clear" w:pos="4320"/>
        <w:tab w:val="clear" w:pos="8640"/>
        <w:tab w:val="right" w:pos="9356"/>
      </w:tabs>
      <w:rPr>
        <w:rFonts w:ascii="Arial" w:eastAsia="Times New Roman" w:hAnsi="Arial" w:cs="Arial"/>
        <w:color w:val="auto"/>
        <w:sz w:val="18"/>
        <w:szCs w:val="18"/>
      </w:rPr>
    </w:pPr>
    <w:r w:rsidRPr="009F0F5E">
      <w:rPr>
        <w:rStyle w:val="PageNumber1"/>
        <w:rFonts w:ascii="Arial" w:hAnsi="Arial" w:cs="Arial"/>
        <w:sz w:val="18"/>
        <w:szCs w:val="18"/>
      </w:rPr>
      <w:t xml:space="preserve">Page </w:t>
    </w:r>
    <w:r w:rsidRPr="009F0F5E">
      <w:rPr>
        <w:rStyle w:val="PageNumber1"/>
        <w:rFonts w:ascii="Arial" w:hAnsi="Arial" w:cs="Arial"/>
        <w:sz w:val="18"/>
        <w:szCs w:val="18"/>
      </w:rPr>
      <w:fldChar w:fldCharType="begin"/>
    </w:r>
    <w:r w:rsidRPr="009F0F5E">
      <w:rPr>
        <w:rStyle w:val="PageNumber1"/>
        <w:rFonts w:ascii="Arial" w:hAnsi="Arial" w:cs="Arial"/>
        <w:sz w:val="18"/>
        <w:szCs w:val="18"/>
      </w:rPr>
      <w:instrText xml:space="preserve"> PAGE </w:instrText>
    </w:r>
    <w:r w:rsidRPr="009F0F5E">
      <w:rPr>
        <w:rStyle w:val="PageNumber1"/>
        <w:rFonts w:ascii="Arial" w:hAnsi="Arial" w:cs="Arial"/>
        <w:sz w:val="18"/>
        <w:szCs w:val="18"/>
      </w:rPr>
      <w:fldChar w:fldCharType="separate"/>
    </w:r>
    <w:r>
      <w:rPr>
        <w:rStyle w:val="PageNumber1"/>
        <w:rFonts w:ascii="Arial" w:hAnsi="Arial" w:cs="Arial"/>
        <w:noProof/>
        <w:sz w:val="18"/>
        <w:szCs w:val="18"/>
      </w:rPr>
      <w:t>2</w:t>
    </w:r>
    <w:r w:rsidRPr="009F0F5E">
      <w:rPr>
        <w:rStyle w:val="PageNumber1"/>
        <w:rFonts w:ascii="Arial" w:hAnsi="Arial" w:cs="Arial"/>
        <w:sz w:val="18"/>
        <w:szCs w:val="18"/>
      </w:rPr>
      <w:fldChar w:fldCharType="end"/>
    </w:r>
    <w:r w:rsidRPr="009F0F5E">
      <w:rPr>
        <w:rStyle w:val="PageNumber1"/>
        <w:rFonts w:ascii="Arial" w:hAnsi="Arial" w:cs="Arial"/>
        <w:sz w:val="18"/>
        <w:szCs w:val="18"/>
      </w:rPr>
      <w:t xml:space="preserve"> of </w:t>
    </w:r>
    <w:r w:rsidRPr="009F0F5E">
      <w:rPr>
        <w:rStyle w:val="PageNumber1"/>
        <w:rFonts w:ascii="Arial" w:hAnsi="Arial" w:cs="Arial"/>
        <w:sz w:val="18"/>
        <w:szCs w:val="18"/>
      </w:rPr>
      <w:fldChar w:fldCharType="begin"/>
    </w:r>
    <w:r w:rsidRPr="009F0F5E">
      <w:rPr>
        <w:rStyle w:val="PageNumber1"/>
        <w:rFonts w:ascii="Arial" w:hAnsi="Arial" w:cs="Arial"/>
        <w:sz w:val="18"/>
        <w:szCs w:val="18"/>
      </w:rPr>
      <w:instrText xml:space="preserve"> NUMPAGES </w:instrText>
    </w:r>
    <w:r w:rsidRPr="009F0F5E">
      <w:rPr>
        <w:rStyle w:val="PageNumber1"/>
        <w:rFonts w:ascii="Arial" w:hAnsi="Arial" w:cs="Arial"/>
        <w:sz w:val="18"/>
        <w:szCs w:val="18"/>
      </w:rPr>
      <w:fldChar w:fldCharType="separate"/>
    </w:r>
    <w:r>
      <w:rPr>
        <w:rStyle w:val="PageNumber1"/>
        <w:rFonts w:ascii="Arial" w:hAnsi="Arial" w:cs="Arial"/>
        <w:noProof/>
        <w:sz w:val="18"/>
        <w:szCs w:val="18"/>
      </w:rPr>
      <w:t>2</w:t>
    </w:r>
    <w:r w:rsidRPr="009F0F5E">
      <w:rPr>
        <w:rStyle w:val="PageNumber1"/>
        <w:rFonts w:ascii="Arial" w:hAnsi="Arial" w:cs="Arial"/>
        <w:sz w:val="18"/>
        <w:szCs w:val="18"/>
      </w:rPr>
      <w:fldChar w:fldCharType="end"/>
    </w:r>
    <w:r w:rsidRPr="00C25057">
      <w:rPr>
        <w:rFonts w:ascii="Arial" w:hAnsi="Arial" w:cs="Arial"/>
        <w:sz w:val="18"/>
        <w:szCs w:val="18"/>
      </w:rPr>
      <w:t xml:space="preserve"> </w:t>
    </w:r>
    <w:r>
      <w:rPr>
        <w:rFonts w:ascii="Arial" w:hAnsi="Arial" w:cs="Arial"/>
        <w:sz w:val="18"/>
        <w:szCs w:val="18"/>
      </w:rPr>
      <w:tab/>
    </w:r>
    <w:r>
      <w:rPr>
        <w:rFonts w:ascii="Arial" w:hAnsi="Arial" w:cs="Arial"/>
        <w:sz w:val="18"/>
        <w:szCs w:val="18"/>
      </w:rPr>
      <w:t>International Plant Protection Convention</w:t>
    </w:r>
  </w:p>
  <w:p w:rsidR="00C25057" w:rsidRDefault="00C25057">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057" w:rsidRPr="009F0F5E" w:rsidRDefault="00C25057" w:rsidP="00C25057">
    <w:pPr>
      <w:pStyle w:val="Footer1"/>
      <w:pBdr>
        <w:top w:val="single" w:sz="4" w:space="1" w:color="auto"/>
      </w:pBdr>
      <w:tabs>
        <w:tab w:val="clear" w:pos="4320"/>
        <w:tab w:val="clear" w:pos="8640"/>
        <w:tab w:val="right" w:pos="9639"/>
      </w:tabs>
      <w:jc w:val="right"/>
      <w:rPr>
        <w:rFonts w:ascii="Arial" w:eastAsia="Times New Roman" w:hAnsi="Arial" w:cs="Arial"/>
        <w:color w:val="auto"/>
        <w:sz w:val="18"/>
        <w:szCs w:val="18"/>
      </w:rPr>
    </w:pPr>
    <w:r w:rsidRPr="009F0F5E">
      <w:rPr>
        <w:rStyle w:val="PageNumber1"/>
        <w:rFonts w:ascii="Arial" w:hAnsi="Arial" w:cs="Arial"/>
        <w:sz w:val="18"/>
        <w:szCs w:val="18"/>
      </w:rPr>
      <w:t xml:space="preserve">Page </w:t>
    </w:r>
    <w:r w:rsidRPr="009F0F5E">
      <w:rPr>
        <w:rStyle w:val="PageNumber1"/>
        <w:rFonts w:ascii="Arial" w:hAnsi="Arial" w:cs="Arial"/>
        <w:sz w:val="18"/>
        <w:szCs w:val="18"/>
      </w:rPr>
      <w:fldChar w:fldCharType="begin"/>
    </w:r>
    <w:r w:rsidRPr="009F0F5E">
      <w:rPr>
        <w:rStyle w:val="PageNumber1"/>
        <w:rFonts w:ascii="Arial" w:hAnsi="Arial" w:cs="Arial"/>
        <w:sz w:val="18"/>
        <w:szCs w:val="18"/>
      </w:rPr>
      <w:instrText xml:space="preserve"> PAGE </w:instrText>
    </w:r>
    <w:r w:rsidRPr="009F0F5E">
      <w:rPr>
        <w:rStyle w:val="PageNumber1"/>
        <w:rFonts w:ascii="Arial" w:hAnsi="Arial" w:cs="Arial"/>
        <w:sz w:val="18"/>
        <w:szCs w:val="18"/>
      </w:rPr>
      <w:fldChar w:fldCharType="separate"/>
    </w:r>
    <w:r>
      <w:rPr>
        <w:rStyle w:val="PageNumber1"/>
        <w:rFonts w:ascii="Arial" w:hAnsi="Arial" w:cs="Arial"/>
        <w:noProof/>
        <w:sz w:val="18"/>
        <w:szCs w:val="18"/>
      </w:rPr>
      <w:t>1</w:t>
    </w:r>
    <w:r w:rsidRPr="009F0F5E">
      <w:rPr>
        <w:rStyle w:val="PageNumber1"/>
        <w:rFonts w:ascii="Arial" w:hAnsi="Arial" w:cs="Arial"/>
        <w:sz w:val="18"/>
        <w:szCs w:val="18"/>
      </w:rPr>
      <w:fldChar w:fldCharType="end"/>
    </w:r>
    <w:r w:rsidRPr="009F0F5E">
      <w:rPr>
        <w:rStyle w:val="PageNumber1"/>
        <w:rFonts w:ascii="Arial" w:hAnsi="Arial" w:cs="Arial"/>
        <w:sz w:val="18"/>
        <w:szCs w:val="18"/>
      </w:rPr>
      <w:t xml:space="preserve"> of </w:t>
    </w:r>
    <w:r w:rsidRPr="009F0F5E">
      <w:rPr>
        <w:rStyle w:val="PageNumber1"/>
        <w:rFonts w:ascii="Arial" w:hAnsi="Arial" w:cs="Arial"/>
        <w:sz w:val="18"/>
        <w:szCs w:val="18"/>
      </w:rPr>
      <w:fldChar w:fldCharType="begin"/>
    </w:r>
    <w:r w:rsidRPr="009F0F5E">
      <w:rPr>
        <w:rStyle w:val="PageNumber1"/>
        <w:rFonts w:ascii="Arial" w:hAnsi="Arial" w:cs="Arial"/>
        <w:sz w:val="18"/>
        <w:szCs w:val="18"/>
      </w:rPr>
      <w:instrText xml:space="preserve"> NUMPAGES </w:instrText>
    </w:r>
    <w:r w:rsidRPr="009F0F5E">
      <w:rPr>
        <w:rStyle w:val="PageNumber1"/>
        <w:rFonts w:ascii="Arial" w:hAnsi="Arial" w:cs="Arial"/>
        <w:sz w:val="18"/>
        <w:szCs w:val="18"/>
      </w:rPr>
      <w:fldChar w:fldCharType="separate"/>
    </w:r>
    <w:r>
      <w:rPr>
        <w:rStyle w:val="PageNumber1"/>
        <w:rFonts w:ascii="Arial" w:hAnsi="Arial" w:cs="Arial"/>
        <w:noProof/>
        <w:sz w:val="18"/>
        <w:szCs w:val="18"/>
      </w:rPr>
      <w:t>2</w:t>
    </w:r>
    <w:r w:rsidRPr="009F0F5E">
      <w:rPr>
        <w:rStyle w:val="PageNumber1"/>
        <w:rFonts w:ascii="Arial" w:hAnsi="Arial" w:cs="Arial"/>
        <w:sz w:val="18"/>
        <w:szCs w:val="18"/>
      </w:rPr>
      <w:fldChar w:fldCharType="end"/>
    </w:r>
  </w:p>
  <w:p w:rsidR="00C25057" w:rsidRDefault="00C2505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9E2" w:rsidRDefault="00D779E2" w:rsidP="00C25057">
      <w:r>
        <w:separator/>
      </w:r>
    </w:p>
  </w:footnote>
  <w:footnote w:type="continuationSeparator" w:id="0">
    <w:p w:rsidR="00D779E2" w:rsidRDefault="00D779E2" w:rsidP="00C250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057" w:rsidRDefault="00C25057" w:rsidP="00C25057">
    <w:pPr>
      <w:pStyle w:val="Intestazione"/>
      <w:pBdr>
        <w:bottom w:val="single" w:sz="4" w:space="1" w:color="auto"/>
      </w:pBdr>
      <w:tabs>
        <w:tab w:val="clear" w:pos="4819"/>
        <w:tab w:val="clear" w:pos="9638"/>
        <w:tab w:val="right" w:pos="9356"/>
      </w:tabs>
    </w:pPr>
    <w:r>
      <w:rPr>
        <w:rFonts w:ascii="Arial" w:hAnsi="Arial" w:cs="Arial"/>
        <w:sz w:val="18"/>
        <w:szCs w:val="18"/>
      </w:rPr>
      <w:t>SPG 2012/</w:t>
    </w:r>
    <w:r>
      <w:rPr>
        <w:rFonts w:ascii="Arial" w:hAnsi="Arial" w:cs="Arial"/>
        <w:sz w:val="18"/>
        <w:szCs w:val="18"/>
      </w:rPr>
      <w:t>15</w:t>
    </w:r>
    <w:r w:rsidRPr="00C25057">
      <w:rPr>
        <w:rFonts w:ascii="Arial" w:hAnsi="Arial" w:cs="Arial"/>
        <w:i/>
        <w:sz w:val="18"/>
        <w:szCs w:val="18"/>
      </w:rPr>
      <w:t xml:space="preserve"> </w:t>
    </w:r>
    <w:r>
      <w:rPr>
        <w:rFonts w:ascii="Arial" w:hAnsi="Arial" w:cs="Arial"/>
        <w:i/>
        <w:sz w:val="18"/>
        <w:szCs w:val="18"/>
      </w:rPr>
      <w:tab/>
    </w:r>
    <w:r w:rsidRPr="00C25057">
      <w:rPr>
        <w:rFonts w:ascii="Arial" w:hAnsi="Arial" w:cs="Arial"/>
        <w:i/>
        <w:sz w:val="18"/>
        <w:szCs w:val="18"/>
      </w:rPr>
      <w:t>Secretariat Staff Issues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057" w:rsidRDefault="00C25057" w:rsidP="00C25057">
    <w:pPr>
      <w:pBdr>
        <w:bottom w:val="single" w:sz="4" w:space="1" w:color="auto"/>
      </w:pBdr>
      <w:tabs>
        <w:tab w:val="left" w:pos="1134"/>
        <w:tab w:val="right" w:pos="9356"/>
      </w:tabs>
      <w:spacing w:before="120"/>
    </w:pPr>
    <w:r>
      <w:rPr>
        <w:noProof/>
        <w:lang w:val="it-IT" w:eastAsia="it-IT"/>
      </w:rPr>
      <w:drawing>
        <wp:inline distT="0" distB="0" distL="0" distR="0">
          <wp:extent cx="5917924" cy="323938"/>
          <wp:effectExtent l="19050" t="0" r="6626"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16320" cy="323850"/>
                  </a:xfrm>
                  <a:prstGeom prst="rect">
                    <a:avLst/>
                  </a:prstGeom>
                  <a:noFill/>
                  <a:ln w="9525">
                    <a:noFill/>
                    <a:miter lim="800000"/>
                    <a:headEnd/>
                    <a:tailEnd/>
                  </a:ln>
                </pic:spPr>
              </pic:pic>
            </a:graphicData>
          </a:graphic>
        </wp:inline>
      </w:drawing>
    </w:r>
  </w:p>
  <w:p w:rsidR="00C25057" w:rsidRPr="0061028F" w:rsidRDefault="00C25057" w:rsidP="00C25057">
    <w:pPr>
      <w:pBdr>
        <w:bottom w:val="single" w:sz="4" w:space="1" w:color="auto"/>
      </w:pBdr>
      <w:tabs>
        <w:tab w:val="left" w:pos="1134"/>
        <w:tab w:val="right" w:pos="9356"/>
      </w:tabs>
      <w:spacing w:before="240"/>
      <w:rPr>
        <w:lang w:val="en-US"/>
      </w:rPr>
    </w:pPr>
    <w:r>
      <w:rPr>
        <w:noProof/>
        <w:lang w:val="it-IT" w:eastAsia="it-IT"/>
      </w:rPr>
      <w:drawing>
        <wp:anchor distT="0" distB="0" distL="114300" distR="114300" simplePos="0" relativeHeight="251659264" behindDoc="0" locked="0" layoutInCell="1" allowOverlap="1">
          <wp:simplePos x="0" y="0"/>
          <wp:positionH relativeFrom="column">
            <wp:posOffset>0</wp:posOffset>
          </wp:positionH>
          <wp:positionV relativeFrom="paragraph">
            <wp:posOffset>73660</wp:posOffset>
          </wp:positionV>
          <wp:extent cx="628650" cy="323850"/>
          <wp:effectExtent l="19050" t="0" r="0" b="0"/>
          <wp:wrapSquare wrapText="bothSides"/>
          <wp:docPr id="11" name="Picture 1" descr="Description: 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PPCLogo"/>
                  <pic:cNvPicPr>
                    <a:picLocks noChangeAspect="1" noChangeArrowheads="1"/>
                  </pic:cNvPicPr>
                </pic:nvPicPr>
                <pic:blipFill>
                  <a:blip r:embed="rId2"/>
                  <a:srcRect/>
                  <a:stretch>
                    <a:fillRect/>
                  </a:stretch>
                </pic:blipFill>
                <pic:spPr bwMode="auto">
                  <a:xfrm>
                    <a:off x="0" y="0"/>
                    <a:ext cx="628650" cy="323850"/>
                  </a:xfrm>
                  <a:prstGeom prst="rect">
                    <a:avLst/>
                  </a:prstGeom>
                  <a:noFill/>
                </pic:spPr>
              </pic:pic>
            </a:graphicData>
          </a:graphic>
        </wp:anchor>
      </w:drawing>
    </w:r>
    <w:r>
      <w:tab/>
    </w:r>
    <w:r>
      <w:rPr>
        <w:rFonts w:ascii="Arial" w:hAnsi="Arial" w:cs="Arial"/>
        <w:sz w:val="18"/>
        <w:szCs w:val="18"/>
      </w:rPr>
      <w:t xml:space="preserve">International Plant Protection Convention </w:t>
    </w:r>
    <w:r>
      <w:rPr>
        <w:rFonts w:ascii="Arial" w:hAnsi="Arial" w:cs="Arial"/>
        <w:sz w:val="18"/>
        <w:szCs w:val="18"/>
      </w:rPr>
      <w:tab/>
      <w:t>SPG 2012/</w:t>
    </w:r>
    <w:r>
      <w:rPr>
        <w:rFonts w:ascii="Arial" w:hAnsi="Arial" w:cs="Arial"/>
        <w:sz w:val="18"/>
        <w:szCs w:val="18"/>
      </w:rPr>
      <w:t>15</w:t>
    </w:r>
    <w:r>
      <w:rPr>
        <w:i/>
        <w:lang w:val="en-US"/>
      </w:rPr>
      <w:tab/>
    </w:r>
    <w:r w:rsidRPr="00C25057">
      <w:rPr>
        <w:rFonts w:ascii="Arial" w:hAnsi="Arial" w:cs="Arial"/>
        <w:i/>
        <w:sz w:val="18"/>
        <w:szCs w:val="18"/>
      </w:rPr>
      <w:t>Secretariat Staff Issues</w:t>
    </w:r>
    <w:r w:rsidRPr="00C25057">
      <w:rPr>
        <w:rFonts w:ascii="Arial" w:hAnsi="Arial" w:cs="Arial"/>
        <w:i/>
        <w:sz w:val="18"/>
        <w:szCs w:val="18"/>
      </w:rPr>
      <w:tab/>
      <w:t xml:space="preserve">Agenda item </w:t>
    </w:r>
    <w:r w:rsidRPr="00C25057">
      <w:rPr>
        <w:rFonts w:ascii="Arial" w:hAnsi="Arial" w:cs="Arial"/>
        <w:i/>
        <w:sz w:val="18"/>
        <w:szCs w:val="18"/>
      </w:rPr>
      <w:t>7.7</w:t>
    </w:r>
  </w:p>
  <w:p w:rsidR="00C25057" w:rsidRDefault="00C2505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26D60"/>
    <w:multiLevelType w:val="hybridMultilevel"/>
    <w:tmpl w:val="B9FEECE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defaultTabStop w:val="720"/>
  <w:hyphenationZone w:val="283"/>
  <w:evenAndOddHeaders/>
  <w:drawingGridHorizontalSpacing w:val="120"/>
  <w:displayHorizontalDrawingGridEvery w:val="2"/>
  <w:characterSpacingControl w:val="doNotCompress"/>
  <w:footnotePr>
    <w:footnote w:id="-1"/>
    <w:footnote w:id="0"/>
  </w:footnotePr>
  <w:endnotePr>
    <w:endnote w:id="-1"/>
    <w:endnote w:id="0"/>
  </w:endnotePr>
  <w:compat/>
  <w:rsids>
    <w:rsidRoot w:val="00D45BC7"/>
    <w:rsid w:val="0000691E"/>
    <w:rsid w:val="00006D1F"/>
    <w:rsid w:val="00011F49"/>
    <w:rsid w:val="00012AC2"/>
    <w:rsid w:val="00013FE2"/>
    <w:rsid w:val="000173D8"/>
    <w:rsid w:val="000224BE"/>
    <w:rsid w:val="00030839"/>
    <w:rsid w:val="000308EB"/>
    <w:rsid w:val="00035F8A"/>
    <w:rsid w:val="00036A6A"/>
    <w:rsid w:val="00037121"/>
    <w:rsid w:val="00042722"/>
    <w:rsid w:val="00060B97"/>
    <w:rsid w:val="00064180"/>
    <w:rsid w:val="00070D9A"/>
    <w:rsid w:val="0007380C"/>
    <w:rsid w:val="00073F3D"/>
    <w:rsid w:val="0007412E"/>
    <w:rsid w:val="000744AC"/>
    <w:rsid w:val="00082D5B"/>
    <w:rsid w:val="000857CD"/>
    <w:rsid w:val="000A72E8"/>
    <w:rsid w:val="000C1DD7"/>
    <w:rsid w:val="000C4C45"/>
    <w:rsid w:val="000C598C"/>
    <w:rsid w:val="000E0847"/>
    <w:rsid w:val="000E173A"/>
    <w:rsid w:val="000E213E"/>
    <w:rsid w:val="000F4187"/>
    <w:rsid w:val="000F7EAD"/>
    <w:rsid w:val="00100DA8"/>
    <w:rsid w:val="001034F3"/>
    <w:rsid w:val="001041B6"/>
    <w:rsid w:val="001059AD"/>
    <w:rsid w:val="00107499"/>
    <w:rsid w:val="00110F43"/>
    <w:rsid w:val="00111AE1"/>
    <w:rsid w:val="00132B39"/>
    <w:rsid w:val="0014064A"/>
    <w:rsid w:val="001656DA"/>
    <w:rsid w:val="00167C82"/>
    <w:rsid w:val="001734DB"/>
    <w:rsid w:val="0017690E"/>
    <w:rsid w:val="00191FF9"/>
    <w:rsid w:val="00194E14"/>
    <w:rsid w:val="001A24F6"/>
    <w:rsid w:val="001B3C44"/>
    <w:rsid w:val="001B4480"/>
    <w:rsid w:val="001C2EB6"/>
    <w:rsid w:val="001C4729"/>
    <w:rsid w:val="001C6E16"/>
    <w:rsid w:val="001C7D31"/>
    <w:rsid w:val="001D5532"/>
    <w:rsid w:val="001D56C5"/>
    <w:rsid w:val="001E03D7"/>
    <w:rsid w:val="001E3D63"/>
    <w:rsid w:val="001E4EE3"/>
    <w:rsid w:val="001E60E4"/>
    <w:rsid w:val="001F01A4"/>
    <w:rsid w:val="001F3179"/>
    <w:rsid w:val="001F517B"/>
    <w:rsid w:val="001F5C51"/>
    <w:rsid w:val="0020034F"/>
    <w:rsid w:val="00203763"/>
    <w:rsid w:val="0022708C"/>
    <w:rsid w:val="0023167B"/>
    <w:rsid w:val="002348CB"/>
    <w:rsid w:val="00243C81"/>
    <w:rsid w:val="00246AB4"/>
    <w:rsid w:val="00250051"/>
    <w:rsid w:val="002501A4"/>
    <w:rsid w:val="00256AFB"/>
    <w:rsid w:val="002613CC"/>
    <w:rsid w:val="002654E7"/>
    <w:rsid w:val="00272026"/>
    <w:rsid w:val="002825C5"/>
    <w:rsid w:val="002A1FF4"/>
    <w:rsid w:val="002D09E8"/>
    <w:rsid w:val="002D4E91"/>
    <w:rsid w:val="002D7B43"/>
    <w:rsid w:val="002E309B"/>
    <w:rsid w:val="002E47CF"/>
    <w:rsid w:val="002F2DF5"/>
    <w:rsid w:val="0030559C"/>
    <w:rsid w:val="00305A0C"/>
    <w:rsid w:val="003122C7"/>
    <w:rsid w:val="00316946"/>
    <w:rsid w:val="00325F80"/>
    <w:rsid w:val="00356422"/>
    <w:rsid w:val="003914CC"/>
    <w:rsid w:val="00391AD0"/>
    <w:rsid w:val="00394833"/>
    <w:rsid w:val="003A6FD8"/>
    <w:rsid w:val="003B2973"/>
    <w:rsid w:val="003B721C"/>
    <w:rsid w:val="003D1502"/>
    <w:rsid w:val="003D7FBB"/>
    <w:rsid w:val="003E1244"/>
    <w:rsid w:val="003E1FF7"/>
    <w:rsid w:val="0040010B"/>
    <w:rsid w:val="00401900"/>
    <w:rsid w:val="00401C68"/>
    <w:rsid w:val="004106A1"/>
    <w:rsid w:val="00417C75"/>
    <w:rsid w:val="00426579"/>
    <w:rsid w:val="00433FB6"/>
    <w:rsid w:val="00437992"/>
    <w:rsid w:val="0044213D"/>
    <w:rsid w:val="00450FC7"/>
    <w:rsid w:val="004573F1"/>
    <w:rsid w:val="00457D7E"/>
    <w:rsid w:val="00457FB1"/>
    <w:rsid w:val="004610F8"/>
    <w:rsid w:val="00465DA1"/>
    <w:rsid w:val="00470F75"/>
    <w:rsid w:val="004820A3"/>
    <w:rsid w:val="00491891"/>
    <w:rsid w:val="004A07C7"/>
    <w:rsid w:val="004A5CE5"/>
    <w:rsid w:val="004A7ED5"/>
    <w:rsid w:val="004B651C"/>
    <w:rsid w:val="004E1A2B"/>
    <w:rsid w:val="004F1564"/>
    <w:rsid w:val="004F5319"/>
    <w:rsid w:val="0050122A"/>
    <w:rsid w:val="00505DFC"/>
    <w:rsid w:val="005118D8"/>
    <w:rsid w:val="0051275E"/>
    <w:rsid w:val="00547A6B"/>
    <w:rsid w:val="00561856"/>
    <w:rsid w:val="0058551A"/>
    <w:rsid w:val="0058759B"/>
    <w:rsid w:val="0059256F"/>
    <w:rsid w:val="0059492E"/>
    <w:rsid w:val="005A2993"/>
    <w:rsid w:val="005A610F"/>
    <w:rsid w:val="005C2E85"/>
    <w:rsid w:val="005E288C"/>
    <w:rsid w:val="005E65A7"/>
    <w:rsid w:val="005F7574"/>
    <w:rsid w:val="0060144B"/>
    <w:rsid w:val="00602ACF"/>
    <w:rsid w:val="00605E29"/>
    <w:rsid w:val="00611285"/>
    <w:rsid w:val="00620A6E"/>
    <w:rsid w:val="00623DB1"/>
    <w:rsid w:val="006256ED"/>
    <w:rsid w:val="006523BE"/>
    <w:rsid w:val="00675541"/>
    <w:rsid w:val="0067755D"/>
    <w:rsid w:val="006877D5"/>
    <w:rsid w:val="006A38DC"/>
    <w:rsid w:val="006A3E79"/>
    <w:rsid w:val="006A61FB"/>
    <w:rsid w:val="006B277A"/>
    <w:rsid w:val="006B6E1C"/>
    <w:rsid w:val="006D24BB"/>
    <w:rsid w:val="006D6A9A"/>
    <w:rsid w:val="006E3E92"/>
    <w:rsid w:val="006E5186"/>
    <w:rsid w:val="006E6E06"/>
    <w:rsid w:val="007011C6"/>
    <w:rsid w:val="00702203"/>
    <w:rsid w:val="00702C73"/>
    <w:rsid w:val="00720363"/>
    <w:rsid w:val="00721E6C"/>
    <w:rsid w:val="00726C19"/>
    <w:rsid w:val="007427C4"/>
    <w:rsid w:val="00745EE8"/>
    <w:rsid w:val="007536B8"/>
    <w:rsid w:val="007620C1"/>
    <w:rsid w:val="007814FF"/>
    <w:rsid w:val="007916EB"/>
    <w:rsid w:val="00793B54"/>
    <w:rsid w:val="007A3588"/>
    <w:rsid w:val="007A5F06"/>
    <w:rsid w:val="007B0676"/>
    <w:rsid w:val="007B3EA0"/>
    <w:rsid w:val="007B5C9A"/>
    <w:rsid w:val="007C209C"/>
    <w:rsid w:val="007C7318"/>
    <w:rsid w:val="007D3CE7"/>
    <w:rsid w:val="007F0716"/>
    <w:rsid w:val="00814171"/>
    <w:rsid w:val="0081439C"/>
    <w:rsid w:val="0083132D"/>
    <w:rsid w:val="0083176E"/>
    <w:rsid w:val="00835340"/>
    <w:rsid w:val="00835F87"/>
    <w:rsid w:val="00851153"/>
    <w:rsid w:val="008629FE"/>
    <w:rsid w:val="00865C22"/>
    <w:rsid w:val="0086754E"/>
    <w:rsid w:val="008746F4"/>
    <w:rsid w:val="00877B4F"/>
    <w:rsid w:val="00883ECC"/>
    <w:rsid w:val="00897FD2"/>
    <w:rsid w:val="008A76A9"/>
    <w:rsid w:val="008B0CFA"/>
    <w:rsid w:val="008B4226"/>
    <w:rsid w:val="008C0C0C"/>
    <w:rsid w:val="008C1CC4"/>
    <w:rsid w:val="008C253C"/>
    <w:rsid w:val="008D2F97"/>
    <w:rsid w:val="008D5272"/>
    <w:rsid w:val="008F1903"/>
    <w:rsid w:val="008F3121"/>
    <w:rsid w:val="008F3D25"/>
    <w:rsid w:val="008F6A48"/>
    <w:rsid w:val="00900DB3"/>
    <w:rsid w:val="009048DE"/>
    <w:rsid w:val="00912663"/>
    <w:rsid w:val="00913257"/>
    <w:rsid w:val="0092099E"/>
    <w:rsid w:val="00923097"/>
    <w:rsid w:val="009320B2"/>
    <w:rsid w:val="00937EDA"/>
    <w:rsid w:val="00942CD5"/>
    <w:rsid w:val="00971060"/>
    <w:rsid w:val="00973249"/>
    <w:rsid w:val="00977411"/>
    <w:rsid w:val="00996473"/>
    <w:rsid w:val="00997E2E"/>
    <w:rsid w:val="009C3766"/>
    <w:rsid w:val="009D2B4A"/>
    <w:rsid w:val="009E04F5"/>
    <w:rsid w:val="009E11B3"/>
    <w:rsid w:val="009F6378"/>
    <w:rsid w:val="00A15895"/>
    <w:rsid w:val="00A22616"/>
    <w:rsid w:val="00A3417B"/>
    <w:rsid w:val="00A3668E"/>
    <w:rsid w:val="00A501EE"/>
    <w:rsid w:val="00A52362"/>
    <w:rsid w:val="00A62CAC"/>
    <w:rsid w:val="00A761CE"/>
    <w:rsid w:val="00AB03EE"/>
    <w:rsid w:val="00AB053C"/>
    <w:rsid w:val="00AB1071"/>
    <w:rsid w:val="00AC0058"/>
    <w:rsid w:val="00AC211B"/>
    <w:rsid w:val="00AE5A09"/>
    <w:rsid w:val="00AF6740"/>
    <w:rsid w:val="00B00FD3"/>
    <w:rsid w:val="00B01531"/>
    <w:rsid w:val="00B1313C"/>
    <w:rsid w:val="00B16DB3"/>
    <w:rsid w:val="00B21D1F"/>
    <w:rsid w:val="00B341D2"/>
    <w:rsid w:val="00B40BE8"/>
    <w:rsid w:val="00B42A26"/>
    <w:rsid w:val="00B42D0A"/>
    <w:rsid w:val="00B42D9C"/>
    <w:rsid w:val="00B42FF0"/>
    <w:rsid w:val="00B478E1"/>
    <w:rsid w:val="00B514BA"/>
    <w:rsid w:val="00B54446"/>
    <w:rsid w:val="00B55CBB"/>
    <w:rsid w:val="00B60834"/>
    <w:rsid w:val="00B60AD3"/>
    <w:rsid w:val="00B63886"/>
    <w:rsid w:val="00B64135"/>
    <w:rsid w:val="00B64D14"/>
    <w:rsid w:val="00B7495E"/>
    <w:rsid w:val="00B77D52"/>
    <w:rsid w:val="00B81BAB"/>
    <w:rsid w:val="00B8325F"/>
    <w:rsid w:val="00B849A2"/>
    <w:rsid w:val="00B86646"/>
    <w:rsid w:val="00B92430"/>
    <w:rsid w:val="00B97280"/>
    <w:rsid w:val="00BA1038"/>
    <w:rsid w:val="00BB07A2"/>
    <w:rsid w:val="00BC082C"/>
    <w:rsid w:val="00BD3492"/>
    <w:rsid w:val="00BE4A41"/>
    <w:rsid w:val="00BE71D1"/>
    <w:rsid w:val="00BE797C"/>
    <w:rsid w:val="00BF47AD"/>
    <w:rsid w:val="00BF67CC"/>
    <w:rsid w:val="00BF7B0A"/>
    <w:rsid w:val="00C00969"/>
    <w:rsid w:val="00C10051"/>
    <w:rsid w:val="00C1709B"/>
    <w:rsid w:val="00C2289D"/>
    <w:rsid w:val="00C25057"/>
    <w:rsid w:val="00C26375"/>
    <w:rsid w:val="00C27DF5"/>
    <w:rsid w:val="00C74039"/>
    <w:rsid w:val="00C858E2"/>
    <w:rsid w:val="00CB182E"/>
    <w:rsid w:val="00CC44F8"/>
    <w:rsid w:val="00CC78A9"/>
    <w:rsid w:val="00CD32A9"/>
    <w:rsid w:val="00CD44EA"/>
    <w:rsid w:val="00CD4AE4"/>
    <w:rsid w:val="00CE1726"/>
    <w:rsid w:val="00CF3F1E"/>
    <w:rsid w:val="00D00E12"/>
    <w:rsid w:val="00D02171"/>
    <w:rsid w:val="00D07FEF"/>
    <w:rsid w:val="00D22869"/>
    <w:rsid w:val="00D37696"/>
    <w:rsid w:val="00D4309D"/>
    <w:rsid w:val="00D45BC7"/>
    <w:rsid w:val="00D467ED"/>
    <w:rsid w:val="00D535C2"/>
    <w:rsid w:val="00D5411F"/>
    <w:rsid w:val="00D648BD"/>
    <w:rsid w:val="00D713EA"/>
    <w:rsid w:val="00D764D8"/>
    <w:rsid w:val="00D779E2"/>
    <w:rsid w:val="00D80976"/>
    <w:rsid w:val="00D854C7"/>
    <w:rsid w:val="00D9211F"/>
    <w:rsid w:val="00D93770"/>
    <w:rsid w:val="00D94865"/>
    <w:rsid w:val="00D95C71"/>
    <w:rsid w:val="00DA7106"/>
    <w:rsid w:val="00DB40BE"/>
    <w:rsid w:val="00DB4238"/>
    <w:rsid w:val="00DC20A5"/>
    <w:rsid w:val="00DD120C"/>
    <w:rsid w:val="00DD3325"/>
    <w:rsid w:val="00DE5AA9"/>
    <w:rsid w:val="00E053B6"/>
    <w:rsid w:val="00E125A3"/>
    <w:rsid w:val="00E13CC2"/>
    <w:rsid w:val="00E14401"/>
    <w:rsid w:val="00E148A9"/>
    <w:rsid w:val="00E14E60"/>
    <w:rsid w:val="00E20437"/>
    <w:rsid w:val="00E51460"/>
    <w:rsid w:val="00E5490F"/>
    <w:rsid w:val="00E55714"/>
    <w:rsid w:val="00E562A3"/>
    <w:rsid w:val="00E569CB"/>
    <w:rsid w:val="00E61932"/>
    <w:rsid w:val="00E62F34"/>
    <w:rsid w:val="00E66FE3"/>
    <w:rsid w:val="00E671E6"/>
    <w:rsid w:val="00E72EFA"/>
    <w:rsid w:val="00E8483A"/>
    <w:rsid w:val="00E876A2"/>
    <w:rsid w:val="00EA4E80"/>
    <w:rsid w:val="00EB06A1"/>
    <w:rsid w:val="00EC025B"/>
    <w:rsid w:val="00EC1525"/>
    <w:rsid w:val="00ED04F7"/>
    <w:rsid w:val="00ED5367"/>
    <w:rsid w:val="00EF50A5"/>
    <w:rsid w:val="00F008A9"/>
    <w:rsid w:val="00F058F5"/>
    <w:rsid w:val="00F1448B"/>
    <w:rsid w:val="00F14C04"/>
    <w:rsid w:val="00F16B54"/>
    <w:rsid w:val="00F173A7"/>
    <w:rsid w:val="00F2372C"/>
    <w:rsid w:val="00F23923"/>
    <w:rsid w:val="00F40B13"/>
    <w:rsid w:val="00F40F6E"/>
    <w:rsid w:val="00F42F5A"/>
    <w:rsid w:val="00F52B03"/>
    <w:rsid w:val="00F5424D"/>
    <w:rsid w:val="00F56EC6"/>
    <w:rsid w:val="00F579DE"/>
    <w:rsid w:val="00F63405"/>
    <w:rsid w:val="00F63817"/>
    <w:rsid w:val="00F6394C"/>
    <w:rsid w:val="00F66C17"/>
    <w:rsid w:val="00F67F1D"/>
    <w:rsid w:val="00F72A98"/>
    <w:rsid w:val="00F75425"/>
    <w:rsid w:val="00F80244"/>
    <w:rsid w:val="00F83BDE"/>
    <w:rsid w:val="00F872E0"/>
    <w:rsid w:val="00F90D75"/>
    <w:rsid w:val="00F91666"/>
    <w:rsid w:val="00F94ED4"/>
    <w:rsid w:val="00F95E52"/>
    <w:rsid w:val="00F97423"/>
    <w:rsid w:val="00FA0A7D"/>
    <w:rsid w:val="00FC42C1"/>
    <w:rsid w:val="00FC5932"/>
    <w:rsid w:val="00FD26B3"/>
    <w:rsid w:val="00FD6890"/>
    <w:rsid w:val="00FF3CD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5BC7"/>
    <w:pPr>
      <w:spacing w:after="0" w:line="240" w:lineRule="auto"/>
    </w:pPr>
    <w:rPr>
      <w:rFonts w:ascii="Times New Roman" w:eastAsia="Times New Roman" w:hAnsi="Times New Roman" w:cs="Times New Roman"/>
      <w:sz w:val="24"/>
      <w:szCs w:val="24"/>
      <w:lang w:val="en-GB"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45BC7"/>
    <w:pPr>
      <w:ind w:left="720"/>
      <w:contextualSpacing/>
    </w:pPr>
  </w:style>
  <w:style w:type="paragraph" w:styleId="Intestazione">
    <w:name w:val="header"/>
    <w:basedOn w:val="Normale"/>
    <w:link w:val="IntestazioneCarattere"/>
    <w:uiPriority w:val="99"/>
    <w:semiHidden/>
    <w:unhideWhenUsed/>
    <w:rsid w:val="00C2505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C25057"/>
    <w:rPr>
      <w:rFonts w:ascii="Times New Roman" w:eastAsia="Times New Roman" w:hAnsi="Times New Roman" w:cs="Times New Roman"/>
      <w:sz w:val="24"/>
      <w:szCs w:val="24"/>
      <w:lang w:val="en-GB" w:eastAsia="en-GB"/>
    </w:rPr>
  </w:style>
  <w:style w:type="paragraph" w:styleId="Pidipagina">
    <w:name w:val="footer"/>
    <w:basedOn w:val="Normale"/>
    <w:link w:val="PidipaginaCarattere"/>
    <w:uiPriority w:val="99"/>
    <w:semiHidden/>
    <w:unhideWhenUsed/>
    <w:rsid w:val="00C25057"/>
    <w:pPr>
      <w:tabs>
        <w:tab w:val="center" w:pos="4819"/>
        <w:tab w:val="right" w:pos="9638"/>
      </w:tabs>
    </w:pPr>
  </w:style>
  <w:style w:type="character" w:customStyle="1" w:styleId="PidipaginaCarattere">
    <w:name w:val="Piè di pagina Carattere"/>
    <w:basedOn w:val="Carpredefinitoparagrafo"/>
    <w:link w:val="Pidipagina"/>
    <w:uiPriority w:val="99"/>
    <w:semiHidden/>
    <w:rsid w:val="00C25057"/>
    <w:rPr>
      <w:rFonts w:ascii="Times New Roman" w:eastAsia="Times New Roman" w:hAnsi="Times New Roman" w:cs="Times New Roman"/>
      <w:sz w:val="24"/>
      <w:szCs w:val="24"/>
      <w:lang w:val="en-GB" w:eastAsia="en-GB"/>
    </w:rPr>
  </w:style>
  <w:style w:type="paragraph" w:customStyle="1" w:styleId="IPPArial">
    <w:name w:val="IPP Arial"/>
    <w:basedOn w:val="Normale"/>
    <w:qFormat/>
    <w:rsid w:val="00C25057"/>
    <w:pPr>
      <w:jc w:val="both"/>
    </w:pPr>
    <w:rPr>
      <w:rFonts w:ascii="Arial" w:eastAsia="Times" w:hAnsi="Arial"/>
      <w:sz w:val="18"/>
      <w:lang w:eastAsia="en-US"/>
    </w:rPr>
  </w:style>
  <w:style w:type="paragraph" w:styleId="Testofumetto">
    <w:name w:val="Balloon Text"/>
    <w:basedOn w:val="Normale"/>
    <w:link w:val="TestofumettoCarattere"/>
    <w:uiPriority w:val="99"/>
    <w:semiHidden/>
    <w:unhideWhenUsed/>
    <w:rsid w:val="00C2505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25057"/>
    <w:rPr>
      <w:rFonts w:ascii="Tahoma" w:eastAsia="Times New Roman" w:hAnsi="Tahoma" w:cs="Tahoma"/>
      <w:sz w:val="16"/>
      <w:szCs w:val="16"/>
      <w:lang w:val="en-GB" w:eastAsia="en-GB"/>
    </w:rPr>
  </w:style>
  <w:style w:type="paragraph" w:customStyle="1" w:styleId="Footer1">
    <w:name w:val="Footer1"/>
    <w:rsid w:val="00C25057"/>
    <w:pPr>
      <w:tabs>
        <w:tab w:val="center" w:pos="4320"/>
        <w:tab w:val="right" w:pos="8640"/>
      </w:tabs>
      <w:spacing w:after="0" w:line="240" w:lineRule="auto"/>
    </w:pPr>
    <w:rPr>
      <w:rFonts w:ascii="Times New Roman" w:eastAsia="ヒラギノ角ゴ Pro W3" w:hAnsi="Times New Roman" w:cs="Times New Roman"/>
      <w:color w:val="000000"/>
      <w:sz w:val="24"/>
      <w:szCs w:val="20"/>
      <w:lang w:val="en-GB"/>
    </w:rPr>
  </w:style>
  <w:style w:type="character" w:customStyle="1" w:styleId="PageNumber1">
    <w:name w:val="Page Number1"/>
    <w:rsid w:val="00C25057"/>
    <w:rPr>
      <w:color w:val="000000"/>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Fedchock</dc:creator>
  <cp:lastModifiedBy>ANTO</cp:lastModifiedBy>
  <cp:revision>2</cp:revision>
  <dcterms:created xsi:type="dcterms:W3CDTF">2012-10-07T17:29:00Z</dcterms:created>
  <dcterms:modified xsi:type="dcterms:W3CDTF">2012-10-07T17:29:00Z</dcterms:modified>
</cp:coreProperties>
</file>