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A" w:rsidRPr="00A755A5" w:rsidRDefault="00A755A5" w:rsidP="003E5BDB">
      <w:pPr>
        <w:spacing w:before="360"/>
        <w:jc w:val="center"/>
        <w:rPr>
          <w:b/>
        </w:rPr>
      </w:pPr>
      <w:r w:rsidRPr="00A755A5">
        <w:rPr>
          <w:b/>
        </w:rPr>
        <w:t>FEASIBILITY STUDY ON ESTABLISHING AND MANAGING A GLOBAL EPHYTO HUB</w:t>
      </w:r>
    </w:p>
    <w:p w:rsidR="00911D9A" w:rsidRPr="00A755A5" w:rsidRDefault="00911D9A" w:rsidP="003E5BDB">
      <w:pPr>
        <w:spacing w:before="480" w:after="360"/>
        <w:jc w:val="center"/>
        <w:rPr>
          <w:b/>
          <w:sz w:val="22"/>
        </w:rPr>
      </w:pPr>
      <w:r w:rsidRPr="00A755A5">
        <w:rPr>
          <w:b/>
          <w:sz w:val="22"/>
        </w:rPr>
        <w:t>Terms of Reference</w:t>
      </w:r>
    </w:p>
    <w:p w:rsidR="00911D9A" w:rsidRPr="0032319D" w:rsidRDefault="00911D9A" w:rsidP="0032319D">
      <w:pPr>
        <w:pStyle w:val="ListParagraph"/>
        <w:numPr>
          <w:ilvl w:val="0"/>
          <w:numId w:val="3"/>
        </w:numPr>
        <w:rPr>
          <w:sz w:val="22"/>
        </w:rPr>
      </w:pPr>
      <w:r w:rsidRPr="0032319D">
        <w:rPr>
          <w:sz w:val="22"/>
        </w:rPr>
        <w:t xml:space="preserve">With the introduction of ISPM 12:2011 electronic certification known as </w:t>
      </w:r>
      <w:r w:rsidR="00890E9F" w:rsidRPr="0032319D">
        <w:rPr>
          <w:b/>
          <w:sz w:val="22"/>
        </w:rPr>
        <w:t>ePhyto</w:t>
      </w:r>
      <w:r w:rsidRPr="0032319D">
        <w:rPr>
          <w:sz w:val="22"/>
        </w:rPr>
        <w:t>, many countries are looking at the im</w:t>
      </w:r>
      <w:r w:rsidR="0033542D" w:rsidRPr="0032319D">
        <w:rPr>
          <w:sz w:val="22"/>
        </w:rPr>
        <w:t>p</w:t>
      </w:r>
      <w:r w:rsidRPr="0032319D">
        <w:rPr>
          <w:sz w:val="22"/>
        </w:rPr>
        <w:t xml:space="preserve">lementation of </w:t>
      </w:r>
      <w:r w:rsidR="00FF4058" w:rsidRPr="0032319D">
        <w:rPr>
          <w:sz w:val="22"/>
        </w:rPr>
        <w:t xml:space="preserve">national </w:t>
      </w:r>
      <w:r w:rsidRPr="0032319D">
        <w:rPr>
          <w:sz w:val="22"/>
        </w:rPr>
        <w:t>ePhyto</w:t>
      </w:r>
      <w:r w:rsidR="00FF4058" w:rsidRPr="0032319D">
        <w:rPr>
          <w:sz w:val="22"/>
        </w:rPr>
        <w:t xml:space="preserve"> systems</w:t>
      </w:r>
      <w:r w:rsidRPr="0032319D">
        <w:rPr>
          <w:sz w:val="22"/>
        </w:rPr>
        <w:t xml:space="preserve">. A primary objective of ePhyto is to </w:t>
      </w:r>
      <w:r w:rsidR="00FF4058" w:rsidRPr="0032319D">
        <w:rPr>
          <w:sz w:val="22"/>
        </w:rPr>
        <w:t>reduce the necessity of</w:t>
      </w:r>
      <w:r w:rsidRPr="0032319D">
        <w:rPr>
          <w:sz w:val="22"/>
        </w:rPr>
        <w:t xml:space="preserve"> the many bilateral agreements that are necessary under the current </w:t>
      </w:r>
      <w:r w:rsidR="00FF4058" w:rsidRPr="0032319D">
        <w:rPr>
          <w:sz w:val="22"/>
        </w:rPr>
        <w:t xml:space="preserve">phytosanitary </w:t>
      </w:r>
      <w:r w:rsidRPr="0032319D">
        <w:rPr>
          <w:sz w:val="22"/>
        </w:rPr>
        <w:t>trade framework. A</w:t>
      </w:r>
      <w:r w:rsidR="008D09D9" w:rsidRPr="0032319D">
        <w:rPr>
          <w:sz w:val="22"/>
        </w:rPr>
        <w:t>s a result of these considerations, a</w:t>
      </w:r>
      <w:r w:rsidRPr="0032319D">
        <w:rPr>
          <w:sz w:val="22"/>
        </w:rPr>
        <w:t xml:space="preserve"> number of countries have expressed the</w:t>
      </w:r>
      <w:r w:rsidR="0033542D" w:rsidRPr="0032319D">
        <w:rPr>
          <w:sz w:val="22"/>
        </w:rPr>
        <w:t xml:space="preserve">ir </w:t>
      </w:r>
      <w:r w:rsidR="009E4C55" w:rsidRPr="0032319D">
        <w:rPr>
          <w:sz w:val="22"/>
        </w:rPr>
        <w:t xml:space="preserve">strong </w:t>
      </w:r>
      <w:r w:rsidR="0033542D" w:rsidRPr="0032319D">
        <w:rPr>
          <w:sz w:val="22"/>
        </w:rPr>
        <w:t>preference</w:t>
      </w:r>
      <w:r w:rsidRPr="0032319D">
        <w:rPr>
          <w:sz w:val="22"/>
        </w:rPr>
        <w:t xml:space="preserve">  to</w:t>
      </w:r>
      <w:r w:rsidR="009E4C55" w:rsidRPr="0032319D">
        <w:rPr>
          <w:sz w:val="22"/>
        </w:rPr>
        <w:t xml:space="preserve"> establish</w:t>
      </w:r>
      <w:r w:rsidRPr="0032319D">
        <w:rPr>
          <w:sz w:val="22"/>
        </w:rPr>
        <w:t xml:space="preserve"> </w:t>
      </w:r>
      <w:r w:rsidR="009E4C55" w:rsidRPr="0032319D">
        <w:rPr>
          <w:sz w:val="22"/>
        </w:rPr>
        <w:t xml:space="preserve">a </w:t>
      </w:r>
      <w:r w:rsidR="008D09D9" w:rsidRPr="0032319D">
        <w:rPr>
          <w:sz w:val="22"/>
        </w:rPr>
        <w:t xml:space="preserve">single </w:t>
      </w:r>
      <w:r w:rsidRPr="0032319D">
        <w:rPr>
          <w:sz w:val="22"/>
        </w:rPr>
        <w:t>global ePhyto system</w:t>
      </w:r>
      <w:r w:rsidR="0033542D" w:rsidRPr="0032319D">
        <w:rPr>
          <w:sz w:val="22"/>
        </w:rPr>
        <w:t>,</w:t>
      </w:r>
      <w:r w:rsidRPr="0032319D">
        <w:rPr>
          <w:sz w:val="22"/>
        </w:rPr>
        <w:t xml:space="preserve"> as this would:</w:t>
      </w:r>
    </w:p>
    <w:p w:rsidR="00911D9A" w:rsidRPr="00A755A5" w:rsidRDefault="00911D9A" w:rsidP="00A24A00">
      <w:pPr>
        <w:pStyle w:val="ListParagraph"/>
        <w:numPr>
          <w:ilvl w:val="0"/>
          <w:numId w:val="6"/>
        </w:numPr>
        <w:spacing w:before="120" w:after="120"/>
        <w:ind w:left="1418" w:hanging="284"/>
        <w:rPr>
          <w:sz w:val="22"/>
        </w:rPr>
      </w:pPr>
      <w:r w:rsidRPr="00A755A5">
        <w:rPr>
          <w:sz w:val="22"/>
        </w:rPr>
        <w:t>further harmonize ePhyto communication protocols</w:t>
      </w:r>
      <w:r w:rsidR="00A833BD">
        <w:rPr>
          <w:sz w:val="22"/>
        </w:rPr>
        <w:t>,</w:t>
      </w:r>
      <w:r w:rsidRPr="00A755A5">
        <w:rPr>
          <w:sz w:val="22"/>
        </w:rPr>
        <w:t xml:space="preserve"> resulting in additional substantial gains in efficiency</w:t>
      </w:r>
      <w:r w:rsidR="008D09D9" w:rsidRPr="00A755A5">
        <w:rPr>
          <w:sz w:val="22"/>
        </w:rPr>
        <w:t xml:space="preserve"> and savings</w:t>
      </w:r>
    </w:p>
    <w:p w:rsidR="00911D9A" w:rsidRPr="00A755A5" w:rsidRDefault="00FF4058" w:rsidP="00A24A00">
      <w:pPr>
        <w:pStyle w:val="ListParagraph"/>
        <w:numPr>
          <w:ilvl w:val="0"/>
          <w:numId w:val="6"/>
        </w:numPr>
        <w:spacing w:before="120" w:after="120"/>
        <w:ind w:left="1418" w:hanging="284"/>
        <w:rPr>
          <w:sz w:val="22"/>
        </w:rPr>
      </w:pPr>
      <w:r w:rsidRPr="00A755A5">
        <w:rPr>
          <w:sz w:val="22"/>
        </w:rPr>
        <w:t>greatly simplify development and reduce</w:t>
      </w:r>
      <w:r w:rsidR="00911D9A" w:rsidRPr="00A755A5">
        <w:rPr>
          <w:sz w:val="22"/>
        </w:rPr>
        <w:t xml:space="preserve"> start-up costs of national ePhyto systems</w:t>
      </w:r>
    </w:p>
    <w:p w:rsidR="00911D9A" w:rsidRPr="00A755A5" w:rsidRDefault="00911D9A" w:rsidP="00A24A00">
      <w:pPr>
        <w:pStyle w:val="ListParagraph"/>
        <w:numPr>
          <w:ilvl w:val="0"/>
          <w:numId w:val="6"/>
        </w:numPr>
        <w:spacing w:before="120" w:after="120"/>
        <w:ind w:left="1418" w:hanging="284"/>
        <w:rPr>
          <w:sz w:val="22"/>
        </w:rPr>
      </w:pPr>
      <w:r w:rsidRPr="00A755A5">
        <w:rPr>
          <w:sz w:val="22"/>
        </w:rPr>
        <w:t>possibly allow least developed countries to participate in the global system with minimal development cost (personal and financial);</w:t>
      </w:r>
      <w:r w:rsidR="008D09D9" w:rsidRPr="00A755A5">
        <w:rPr>
          <w:sz w:val="22"/>
        </w:rPr>
        <w:t xml:space="preserve"> </w:t>
      </w:r>
      <w:r w:rsidRPr="00A755A5">
        <w:rPr>
          <w:sz w:val="22"/>
        </w:rPr>
        <w:t>and</w:t>
      </w:r>
    </w:p>
    <w:p w:rsidR="00911D9A" w:rsidRDefault="00911D9A" w:rsidP="00A24A00">
      <w:pPr>
        <w:pStyle w:val="ListParagraph"/>
        <w:numPr>
          <w:ilvl w:val="0"/>
          <w:numId w:val="6"/>
        </w:numPr>
        <w:spacing w:before="120" w:after="120"/>
        <w:ind w:left="1418" w:hanging="284"/>
        <w:rPr>
          <w:sz w:val="22"/>
        </w:rPr>
      </w:pPr>
      <w:r w:rsidRPr="00A755A5">
        <w:rPr>
          <w:sz w:val="22"/>
        </w:rPr>
        <w:t xml:space="preserve">possibly </w:t>
      </w:r>
      <w:r w:rsidR="009E4C55">
        <w:rPr>
          <w:sz w:val="22"/>
        </w:rPr>
        <w:t xml:space="preserve">to </w:t>
      </w:r>
      <w:r w:rsidRPr="00A755A5">
        <w:rPr>
          <w:sz w:val="22"/>
        </w:rPr>
        <w:t xml:space="preserve">be utilized as a income generator for the IPPC work programme should it be feasible to charge per ePhyto </w:t>
      </w:r>
      <w:r w:rsidR="009E4C55">
        <w:rPr>
          <w:sz w:val="22"/>
        </w:rPr>
        <w:t>transmitted</w:t>
      </w:r>
      <w:r w:rsidR="00890E9F" w:rsidRPr="0032319D">
        <w:rPr>
          <w:sz w:val="22"/>
        </w:rPr>
        <w:t>.</w:t>
      </w:r>
    </w:p>
    <w:p w:rsidR="00911D9A" w:rsidRPr="00A755A5" w:rsidRDefault="00911D9A" w:rsidP="00043C0D">
      <w:pPr>
        <w:pStyle w:val="ListParagraph"/>
        <w:numPr>
          <w:ilvl w:val="0"/>
          <w:numId w:val="3"/>
        </w:numPr>
        <w:spacing w:before="120"/>
        <w:ind w:left="714" w:hanging="357"/>
        <w:rPr>
          <w:sz w:val="22"/>
        </w:rPr>
      </w:pPr>
      <w:r w:rsidRPr="00A755A5">
        <w:rPr>
          <w:sz w:val="22"/>
        </w:rPr>
        <w:t>To th</w:t>
      </w:r>
      <w:r w:rsidR="008D09D9" w:rsidRPr="00A755A5">
        <w:rPr>
          <w:sz w:val="22"/>
        </w:rPr>
        <w:t>is end the ePhyto Expert Working</w:t>
      </w:r>
      <w:r w:rsidRPr="00A755A5">
        <w:rPr>
          <w:sz w:val="22"/>
        </w:rPr>
        <w:t xml:space="preserve"> Group (EWG) and the IPPC Standards Committee have requested the Secretariat, as a matter of urgency, to undertake a Global ePhyto Hub feasibility study.</w:t>
      </w:r>
    </w:p>
    <w:p w:rsidR="00911D9A" w:rsidRPr="00A755A5" w:rsidRDefault="00911D9A" w:rsidP="0032319D">
      <w:pPr>
        <w:pStyle w:val="ListParagraph"/>
        <w:numPr>
          <w:ilvl w:val="0"/>
          <w:numId w:val="3"/>
        </w:numPr>
        <w:rPr>
          <w:sz w:val="22"/>
        </w:rPr>
      </w:pPr>
      <w:r w:rsidRPr="00A755A5">
        <w:rPr>
          <w:sz w:val="22"/>
        </w:rPr>
        <w:t>Under the supervision of the IPPC Secretariat, a study will be conducted that will include the following components:</w:t>
      </w:r>
    </w:p>
    <w:p w:rsidR="00911D9A" w:rsidRPr="00A755A5" w:rsidRDefault="00911D9A" w:rsidP="0032319D">
      <w:pPr>
        <w:pStyle w:val="ListParagraph"/>
        <w:numPr>
          <w:ilvl w:val="0"/>
          <w:numId w:val="7"/>
        </w:numPr>
        <w:ind w:left="1418" w:hanging="284"/>
        <w:rPr>
          <w:sz w:val="22"/>
        </w:rPr>
      </w:pPr>
      <w:r w:rsidRPr="00A755A5">
        <w:rPr>
          <w:sz w:val="22"/>
          <w:lang w:val="en-NZ"/>
        </w:rPr>
        <w:t>T</w:t>
      </w:r>
      <w:r w:rsidRPr="0032319D">
        <w:rPr>
          <w:sz w:val="22"/>
        </w:rPr>
        <w:t>he possible overall typology/ies</w:t>
      </w:r>
      <w:r w:rsidR="00FF4058" w:rsidRPr="0032319D">
        <w:rPr>
          <w:sz w:val="22"/>
        </w:rPr>
        <w:t xml:space="preserve"> </w:t>
      </w:r>
      <w:r w:rsidRPr="0032319D">
        <w:rPr>
          <w:sz w:val="22"/>
        </w:rPr>
        <w:t xml:space="preserve">of the ePhyto </w:t>
      </w:r>
      <w:r w:rsidR="00FF4058" w:rsidRPr="0032319D">
        <w:rPr>
          <w:sz w:val="22"/>
        </w:rPr>
        <w:t xml:space="preserve">global </w:t>
      </w:r>
      <w:r w:rsidRPr="0032319D">
        <w:rPr>
          <w:sz w:val="22"/>
        </w:rPr>
        <w:t>hub, including the feasibility of establishing regional hubs within the global mechanism</w:t>
      </w:r>
      <w:r w:rsidR="00FF4058" w:rsidRPr="0032319D">
        <w:rPr>
          <w:sz w:val="22"/>
        </w:rPr>
        <w:t xml:space="preserve">, should </w:t>
      </w:r>
      <w:r w:rsidR="00A833BD" w:rsidRPr="0032319D">
        <w:rPr>
          <w:sz w:val="22"/>
        </w:rPr>
        <w:t xml:space="preserve">be </w:t>
      </w:r>
      <w:r w:rsidR="00FF4058" w:rsidRPr="0032319D">
        <w:rPr>
          <w:sz w:val="22"/>
        </w:rPr>
        <w:t>consider</w:t>
      </w:r>
      <w:r w:rsidR="00A833BD" w:rsidRPr="0032319D">
        <w:rPr>
          <w:sz w:val="22"/>
        </w:rPr>
        <w:t>ed</w:t>
      </w:r>
      <w:r w:rsidRPr="0032319D">
        <w:rPr>
          <w:sz w:val="22"/>
        </w:rPr>
        <w:t>;</w:t>
      </w:r>
    </w:p>
    <w:p w:rsidR="00911D9A" w:rsidRPr="00A755A5" w:rsidRDefault="00FF4058" w:rsidP="00043C0D">
      <w:pPr>
        <w:numPr>
          <w:ilvl w:val="1"/>
          <w:numId w:val="1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o</w:t>
      </w:r>
      <w:r w:rsidR="00911D9A" w:rsidRPr="00A755A5">
        <w:rPr>
          <w:sz w:val="22"/>
        </w:rPr>
        <w:t xml:space="preserve">versight </w:t>
      </w:r>
      <w:r w:rsidRPr="00A755A5">
        <w:rPr>
          <w:sz w:val="22"/>
        </w:rPr>
        <w:t xml:space="preserve">by the IPPC Secretariat for a </w:t>
      </w:r>
      <w:r w:rsidR="00911D9A" w:rsidRPr="00A755A5">
        <w:rPr>
          <w:sz w:val="22"/>
        </w:rPr>
        <w:t>centralized system</w:t>
      </w:r>
    </w:p>
    <w:p w:rsidR="00FF4058" w:rsidRPr="00A755A5" w:rsidRDefault="00FF4058" w:rsidP="00043C0D">
      <w:pPr>
        <w:numPr>
          <w:ilvl w:val="1"/>
          <w:numId w:val="1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a</w:t>
      </w:r>
      <w:r w:rsidR="00911D9A" w:rsidRPr="00A755A5">
        <w:rPr>
          <w:sz w:val="22"/>
        </w:rPr>
        <w:t xml:space="preserve"> decentralized hub system with overall coordination and management by the IPPC Secretariat</w:t>
      </w:r>
      <w:r w:rsidRPr="00A755A5">
        <w:rPr>
          <w:sz w:val="22"/>
        </w:rPr>
        <w:t>; and</w:t>
      </w:r>
    </w:p>
    <w:p w:rsidR="00911D9A" w:rsidRPr="00A755A5" w:rsidRDefault="00FF4058" w:rsidP="00043C0D">
      <w:pPr>
        <w:numPr>
          <w:ilvl w:val="1"/>
          <w:numId w:val="1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consider other pragmatic options</w:t>
      </w:r>
      <w:r w:rsidR="00911D9A" w:rsidRPr="00A755A5">
        <w:rPr>
          <w:sz w:val="22"/>
        </w:rPr>
        <w:t>.</w:t>
      </w:r>
    </w:p>
    <w:p w:rsidR="00911D9A" w:rsidRPr="00A755A5" w:rsidRDefault="00911D9A" w:rsidP="00043C0D">
      <w:pPr>
        <w:numPr>
          <w:ilvl w:val="0"/>
          <w:numId w:val="1"/>
        </w:numPr>
        <w:spacing w:after="120"/>
        <w:ind w:left="1417" w:hanging="357"/>
        <w:rPr>
          <w:sz w:val="22"/>
        </w:rPr>
      </w:pPr>
      <w:r w:rsidRPr="00A755A5">
        <w:rPr>
          <w:sz w:val="22"/>
          <w:lang w:val="en-NZ"/>
        </w:rPr>
        <w:t>How countries will access the hub, particularly detailing how countries, without or with limited capacity can participate in the system</w:t>
      </w:r>
      <w:r w:rsidR="00FF4058" w:rsidRPr="00A755A5">
        <w:rPr>
          <w:sz w:val="22"/>
          <w:lang w:val="en-NZ"/>
        </w:rPr>
        <w:t xml:space="preserve"> and </w:t>
      </w:r>
      <w:r w:rsidRPr="00A755A5">
        <w:rPr>
          <w:sz w:val="22"/>
          <w:lang w:val="en-NZ"/>
        </w:rPr>
        <w:t>whether it should be mandatory or encouraged</w:t>
      </w:r>
    </w:p>
    <w:p w:rsidR="00911D9A" w:rsidRPr="00A755A5" w:rsidRDefault="00911D9A" w:rsidP="00043C0D">
      <w:pPr>
        <w:numPr>
          <w:ilvl w:val="0"/>
          <w:numId w:val="1"/>
        </w:numPr>
        <w:spacing w:after="120"/>
        <w:ind w:left="1417" w:hanging="357"/>
        <w:rPr>
          <w:sz w:val="22"/>
        </w:rPr>
      </w:pPr>
      <w:r w:rsidRPr="00A755A5">
        <w:rPr>
          <w:sz w:val="22"/>
          <w:lang w:val="en-NZ"/>
        </w:rPr>
        <w:t>Detail the benefits and operational expectations of a hub for both developed and developing countries</w:t>
      </w:r>
    </w:p>
    <w:p w:rsidR="00911D9A" w:rsidRPr="00A755A5" w:rsidRDefault="00FF4058" w:rsidP="00043C0D">
      <w:pPr>
        <w:numPr>
          <w:ilvl w:val="0"/>
          <w:numId w:val="1"/>
        </w:numPr>
        <w:spacing w:after="120"/>
        <w:ind w:left="1417" w:hanging="357"/>
        <w:rPr>
          <w:sz w:val="22"/>
        </w:rPr>
      </w:pPr>
      <w:r w:rsidRPr="00A755A5">
        <w:rPr>
          <w:sz w:val="22"/>
          <w:lang w:val="en-NZ"/>
        </w:rPr>
        <w:t>D</w:t>
      </w:r>
      <w:r w:rsidR="00911D9A" w:rsidRPr="00A755A5">
        <w:rPr>
          <w:sz w:val="22"/>
          <w:lang w:val="en-NZ"/>
        </w:rPr>
        <w:t>etail IT security features and safeguards necessary to satisfy the global phytosanitary community</w:t>
      </w:r>
    </w:p>
    <w:p w:rsidR="00911D9A" w:rsidRPr="00A755A5" w:rsidRDefault="00FF4058" w:rsidP="00043C0D">
      <w:pPr>
        <w:numPr>
          <w:ilvl w:val="0"/>
          <w:numId w:val="1"/>
        </w:numPr>
        <w:spacing w:after="120"/>
        <w:ind w:left="1417" w:hanging="357"/>
        <w:rPr>
          <w:sz w:val="22"/>
        </w:rPr>
      </w:pPr>
      <w:r w:rsidRPr="00A755A5">
        <w:rPr>
          <w:sz w:val="22"/>
          <w:lang w:val="en-NZ"/>
        </w:rPr>
        <w:t>D</w:t>
      </w:r>
      <w:r w:rsidR="00911D9A" w:rsidRPr="00A755A5">
        <w:rPr>
          <w:sz w:val="22"/>
          <w:lang w:val="en-NZ"/>
        </w:rPr>
        <w:t xml:space="preserve">etail </w:t>
      </w:r>
      <w:r w:rsidRPr="00A755A5">
        <w:rPr>
          <w:sz w:val="22"/>
          <w:lang w:val="en-NZ"/>
        </w:rPr>
        <w:t xml:space="preserve">the ePhyto </w:t>
      </w:r>
      <w:r w:rsidR="00911D9A" w:rsidRPr="00A755A5">
        <w:rPr>
          <w:sz w:val="22"/>
          <w:lang w:val="en-NZ"/>
        </w:rPr>
        <w:t>communication processes and protocols necessary for the system to function efficiently, securely and reliably</w:t>
      </w:r>
    </w:p>
    <w:p w:rsidR="00911D9A" w:rsidRPr="00A755A5" w:rsidRDefault="00911D9A" w:rsidP="0032319D">
      <w:pPr>
        <w:numPr>
          <w:ilvl w:val="0"/>
          <w:numId w:val="1"/>
        </w:numPr>
        <w:ind w:left="1418"/>
        <w:rPr>
          <w:sz w:val="22"/>
        </w:rPr>
      </w:pPr>
      <w:r w:rsidRPr="00A755A5">
        <w:rPr>
          <w:sz w:val="22"/>
          <w:lang w:val="en-NZ"/>
        </w:rPr>
        <w:t>Necessary national business practices to participate, including</w:t>
      </w:r>
    </w:p>
    <w:p w:rsidR="00911D9A" w:rsidRPr="00A755A5" w:rsidRDefault="00A833BD" w:rsidP="00043C0D">
      <w:pPr>
        <w:numPr>
          <w:ilvl w:val="1"/>
          <w:numId w:val="1"/>
        </w:numPr>
        <w:spacing w:after="120"/>
        <w:ind w:left="1984" w:hanging="357"/>
        <w:rPr>
          <w:sz w:val="22"/>
        </w:rPr>
      </w:pPr>
      <w:r>
        <w:rPr>
          <w:sz w:val="22"/>
          <w:lang w:val="en-NZ"/>
        </w:rPr>
        <w:lastRenderedPageBreak/>
        <w:t>l</w:t>
      </w:r>
      <w:r w:rsidR="00911D9A" w:rsidRPr="00A755A5">
        <w:rPr>
          <w:sz w:val="22"/>
          <w:lang w:val="en-NZ"/>
        </w:rPr>
        <w:t xml:space="preserve">egal framework </w:t>
      </w:r>
      <w:r>
        <w:rPr>
          <w:sz w:val="22"/>
          <w:lang w:val="en-NZ"/>
        </w:rPr>
        <w:t xml:space="preserve">of </w:t>
      </w:r>
      <w:r w:rsidR="00911D9A" w:rsidRPr="00A755A5">
        <w:rPr>
          <w:sz w:val="22"/>
          <w:lang w:val="en-NZ"/>
        </w:rPr>
        <w:t>participat</w:t>
      </w:r>
      <w:r>
        <w:rPr>
          <w:sz w:val="22"/>
          <w:lang w:val="en-NZ"/>
        </w:rPr>
        <w:t>ion</w:t>
      </w:r>
    </w:p>
    <w:p w:rsidR="00911D9A" w:rsidRPr="00A755A5" w:rsidRDefault="00A833BD" w:rsidP="00043C0D">
      <w:pPr>
        <w:numPr>
          <w:ilvl w:val="1"/>
          <w:numId w:val="1"/>
        </w:numPr>
        <w:spacing w:after="120"/>
        <w:ind w:left="1984" w:hanging="357"/>
        <w:rPr>
          <w:sz w:val="22"/>
        </w:rPr>
      </w:pPr>
      <w:r>
        <w:rPr>
          <w:sz w:val="22"/>
          <w:lang w:val="en-NZ"/>
        </w:rPr>
        <w:t>o</w:t>
      </w:r>
      <w:r w:rsidR="00911D9A" w:rsidRPr="00A755A5">
        <w:rPr>
          <w:sz w:val="22"/>
          <w:lang w:val="en-NZ"/>
        </w:rPr>
        <w:t>wnership and use of data;</w:t>
      </w:r>
    </w:p>
    <w:p w:rsidR="00FF4058" w:rsidRPr="00A755A5" w:rsidRDefault="00A833BD" w:rsidP="00043C0D">
      <w:pPr>
        <w:numPr>
          <w:ilvl w:val="1"/>
          <w:numId w:val="1"/>
        </w:numPr>
        <w:spacing w:after="120"/>
        <w:ind w:left="1984" w:hanging="357"/>
        <w:rPr>
          <w:sz w:val="22"/>
        </w:rPr>
      </w:pPr>
      <w:r>
        <w:rPr>
          <w:sz w:val="22"/>
          <w:lang w:val="en-NZ"/>
        </w:rPr>
        <w:t>c</w:t>
      </w:r>
      <w:r w:rsidR="00FF4058" w:rsidRPr="00A755A5">
        <w:rPr>
          <w:sz w:val="22"/>
          <w:lang w:val="en-NZ"/>
        </w:rPr>
        <w:t>onfidentiality / security.</w:t>
      </w:r>
    </w:p>
    <w:p w:rsidR="00911D9A" w:rsidRPr="00A755A5" w:rsidRDefault="00911D9A" w:rsidP="0032319D">
      <w:pPr>
        <w:numPr>
          <w:ilvl w:val="0"/>
          <w:numId w:val="1"/>
        </w:numPr>
        <w:ind w:left="1418"/>
        <w:rPr>
          <w:sz w:val="22"/>
        </w:rPr>
      </w:pPr>
      <w:r w:rsidRPr="00A755A5">
        <w:rPr>
          <w:sz w:val="22"/>
          <w:lang w:val="en-NZ"/>
        </w:rPr>
        <w:t xml:space="preserve">Undertake a financial feasibility study </w:t>
      </w:r>
      <w:r w:rsidR="00FF4058" w:rsidRPr="00A755A5">
        <w:rPr>
          <w:sz w:val="22"/>
          <w:lang w:val="en-NZ"/>
        </w:rPr>
        <w:t>including the consideration of the following</w:t>
      </w:r>
      <w:r w:rsidRPr="00A755A5">
        <w:rPr>
          <w:sz w:val="22"/>
          <w:lang w:val="en-NZ"/>
        </w:rPr>
        <w:t>:</w:t>
      </w:r>
    </w:p>
    <w:p w:rsidR="00911D9A" w:rsidRPr="00A755A5" w:rsidRDefault="00FF4058" w:rsidP="00043C0D">
      <w:pPr>
        <w:numPr>
          <w:ilvl w:val="0"/>
          <w:numId w:val="5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c</w:t>
      </w:r>
      <w:r w:rsidR="00911D9A" w:rsidRPr="00A755A5">
        <w:rPr>
          <w:sz w:val="22"/>
        </w:rPr>
        <w:t>ost-benefit</w:t>
      </w:r>
    </w:p>
    <w:p w:rsidR="00911D9A" w:rsidRPr="00A755A5" w:rsidRDefault="00911D9A" w:rsidP="00043C0D">
      <w:pPr>
        <w:numPr>
          <w:ilvl w:val="0"/>
          <w:numId w:val="5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recommendation for a business operating model that is acceptable to various situations</w:t>
      </w:r>
    </w:p>
    <w:p w:rsidR="00911D9A" w:rsidRPr="00A755A5" w:rsidRDefault="00911D9A" w:rsidP="00043C0D">
      <w:pPr>
        <w:numPr>
          <w:ilvl w:val="0"/>
          <w:numId w:val="5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variable/overhead costs</w:t>
      </w:r>
    </w:p>
    <w:p w:rsidR="00911D9A" w:rsidRPr="00A755A5" w:rsidRDefault="00911D9A" w:rsidP="00043C0D">
      <w:pPr>
        <w:numPr>
          <w:ilvl w:val="0"/>
          <w:numId w:val="5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recommendation on how to recover initial costs and create revenue for IPPC</w:t>
      </w:r>
    </w:p>
    <w:p w:rsidR="00911D9A" w:rsidRPr="00A755A5" w:rsidRDefault="00911D9A" w:rsidP="00043C0D">
      <w:pPr>
        <w:numPr>
          <w:ilvl w:val="0"/>
          <w:numId w:val="5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cost model according to developed/developing country/number of certificates</w:t>
      </w:r>
    </w:p>
    <w:p w:rsidR="00911D9A" w:rsidRPr="00A755A5" w:rsidRDefault="00911D9A" w:rsidP="00043C0D">
      <w:pPr>
        <w:numPr>
          <w:ilvl w:val="0"/>
          <w:numId w:val="5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 xml:space="preserve">optional: </w:t>
      </w:r>
      <w:r w:rsidR="00A833BD">
        <w:rPr>
          <w:sz w:val="22"/>
        </w:rPr>
        <w:t xml:space="preserve"> </w:t>
      </w:r>
      <w:r w:rsidRPr="00A755A5">
        <w:rPr>
          <w:sz w:val="22"/>
        </w:rPr>
        <w:t>recommend any value-added services as possible add-ons</w:t>
      </w:r>
      <w:r w:rsidR="00FF4058" w:rsidRPr="00A755A5">
        <w:rPr>
          <w:sz w:val="22"/>
        </w:rPr>
        <w:t xml:space="preserve">, and </w:t>
      </w:r>
    </w:p>
    <w:p w:rsidR="00911D9A" w:rsidRPr="00A755A5" w:rsidRDefault="00911D9A" w:rsidP="00043C0D">
      <w:pPr>
        <w:numPr>
          <w:ilvl w:val="0"/>
          <w:numId w:val="5"/>
        </w:numPr>
        <w:spacing w:after="120"/>
        <w:ind w:left="1984" w:hanging="357"/>
        <w:rPr>
          <w:sz w:val="22"/>
        </w:rPr>
      </w:pPr>
      <w:r w:rsidRPr="00A755A5">
        <w:rPr>
          <w:sz w:val="22"/>
        </w:rPr>
        <w:t>risk analysis</w:t>
      </w:r>
      <w:r w:rsidR="00A833BD">
        <w:rPr>
          <w:sz w:val="22"/>
        </w:rPr>
        <w:t>.</w:t>
      </w:r>
    </w:p>
    <w:p w:rsidR="00911D9A" w:rsidRPr="00A755A5" w:rsidRDefault="00911D9A" w:rsidP="00043C0D">
      <w:pPr>
        <w:numPr>
          <w:ilvl w:val="0"/>
          <w:numId w:val="1"/>
        </w:numPr>
        <w:spacing w:after="120"/>
        <w:ind w:left="1417" w:hanging="357"/>
        <w:rPr>
          <w:sz w:val="22"/>
        </w:rPr>
      </w:pPr>
      <w:r w:rsidRPr="00A755A5">
        <w:rPr>
          <w:sz w:val="22"/>
          <w:lang w:val="en-NZ"/>
        </w:rPr>
        <w:t xml:space="preserve">Proposed amendments </w:t>
      </w:r>
      <w:r w:rsidR="00FF4058" w:rsidRPr="00A755A5">
        <w:rPr>
          <w:sz w:val="22"/>
          <w:lang w:val="en-NZ"/>
        </w:rPr>
        <w:t xml:space="preserve">if </w:t>
      </w:r>
      <w:r w:rsidRPr="00A755A5">
        <w:rPr>
          <w:sz w:val="22"/>
          <w:lang w:val="en-NZ"/>
        </w:rPr>
        <w:t>necessary to the agreed ePhyto protocols; and</w:t>
      </w:r>
    </w:p>
    <w:p w:rsidR="00911D9A" w:rsidRPr="00A755A5" w:rsidRDefault="00911D9A" w:rsidP="00043C0D">
      <w:pPr>
        <w:numPr>
          <w:ilvl w:val="0"/>
          <w:numId w:val="1"/>
        </w:numPr>
        <w:spacing w:after="120"/>
        <w:ind w:left="1417" w:hanging="357"/>
        <w:rPr>
          <w:sz w:val="22"/>
        </w:rPr>
      </w:pPr>
      <w:r w:rsidRPr="00A755A5">
        <w:rPr>
          <w:sz w:val="22"/>
          <w:lang w:val="en-NZ"/>
        </w:rPr>
        <w:t xml:space="preserve">Propose a </w:t>
      </w:r>
      <w:r w:rsidR="00FF4058" w:rsidRPr="00A755A5">
        <w:rPr>
          <w:sz w:val="22"/>
          <w:lang w:val="en-NZ"/>
        </w:rPr>
        <w:t xml:space="preserve">way forward </w:t>
      </w:r>
      <w:r w:rsidRPr="00A755A5">
        <w:rPr>
          <w:sz w:val="22"/>
          <w:lang w:val="en-NZ"/>
        </w:rPr>
        <w:t>while balancing phytosanitary, financial and technology considerations of all IPPC contracting parties.</w:t>
      </w:r>
    </w:p>
    <w:p w:rsidR="00911D9A" w:rsidRPr="0032319D" w:rsidRDefault="00911D9A" w:rsidP="0032319D">
      <w:pPr>
        <w:pStyle w:val="ListParagraph"/>
        <w:numPr>
          <w:ilvl w:val="0"/>
          <w:numId w:val="8"/>
        </w:numPr>
        <w:rPr>
          <w:sz w:val="22"/>
          <w:lang w:val="en-NZ"/>
        </w:rPr>
      </w:pPr>
      <w:r w:rsidRPr="0032319D">
        <w:rPr>
          <w:sz w:val="22"/>
          <w:lang w:val="en-NZ"/>
        </w:rPr>
        <w:t xml:space="preserve">The study should involve representatives from at least 3 FAO regions and include at least 1 member from a developing country. The group should include both competent phytosanitary,  IT ePhyto and financial expertise. The team leader will be sourced from a country that has experience with electronic phytosanitary certification. </w:t>
      </w:r>
    </w:p>
    <w:p w:rsidR="00911D9A" w:rsidRPr="0032319D" w:rsidRDefault="00911D9A" w:rsidP="0032319D">
      <w:pPr>
        <w:pStyle w:val="ListParagraph"/>
        <w:numPr>
          <w:ilvl w:val="0"/>
          <w:numId w:val="8"/>
        </w:numPr>
        <w:rPr>
          <w:sz w:val="22"/>
          <w:lang w:val="en-NZ"/>
        </w:rPr>
      </w:pPr>
      <w:r w:rsidRPr="0032319D">
        <w:rPr>
          <w:sz w:val="22"/>
          <w:lang w:val="en-NZ"/>
        </w:rPr>
        <w:t>It is expected that this study will take at least 6 months to complete due to the combination of bureaucracy, financial and tehcnical components.</w:t>
      </w:r>
    </w:p>
    <w:p w:rsidR="00911D9A" w:rsidRPr="0032319D" w:rsidRDefault="00911D9A" w:rsidP="0032319D">
      <w:pPr>
        <w:pStyle w:val="ListParagraph"/>
        <w:numPr>
          <w:ilvl w:val="0"/>
          <w:numId w:val="8"/>
        </w:numPr>
        <w:rPr>
          <w:sz w:val="22"/>
          <w:lang w:val="en-NZ"/>
        </w:rPr>
      </w:pPr>
      <w:r w:rsidRPr="0032319D">
        <w:rPr>
          <w:sz w:val="22"/>
          <w:lang w:val="en-NZ"/>
        </w:rPr>
        <w:t>It is expected members of this drafting team will meeting virtually and only in person in exceptional circumstances and if resources are available for this purpose.</w:t>
      </w:r>
    </w:p>
    <w:p w:rsidR="00911D9A" w:rsidRPr="0032319D" w:rsidRDefault="00911D9A" w:rsidP="0032319D">
      <w:pPr>
        <w:pStyle w:val="ListParagraph"/>
        <w:numPr>
          <w:ilvl w:val="0"/>
          <w:numId w:val="8"/>
        </w:numPr>
        <w:rPr>
          <w:sz w:val="22"/>
          <w:lang w:val="en-NZ"/>
        </w:rPr>
      </w:pPr>
      <w:r w:rsidRPr="0032319D">
        <w:rPr>
          <w:sz w:val="22"/>
          <w:lang w:val="en-NZ"/>
        </w:rPr>
        <w:t>Funding sources / options for undertaking the feasibility study need to be considered.</w:t>
      </w:r>
    </w:p>
    <w:p w:rsidR="00911D9A" w:rsidRPr="0032319D" w:rsidRDefault="00911D9A" w:rsidP="0032319D">
      <w:pPr>
        <w:pStyle w:val="ListParagraph"/>
        <w:numPr>
          <w:ilvl w:val="0"/>
          <w:numId w:val="8"/>
        </w:numPr>
        <w:rPr>
          <w:sz w:val="22"/>
          <w:lang w:val="en-NZ"/>
        </w:rPr>
      </w:pPr>
      <w:r w:rsidRPr="0032319D">
        <w:rPr>
          <w:sz w:val="22"/>
          <w:lang w:val="en-NZ"/>
        </w:rPr>
        <w:t>The selection process will involved consulting the Bureau on candidates after a call for experts has been made to all contracting parties.</w:t>
      </w:r>
    </w:p>
    <w:p w:rsidR="008D09D9" w:rsidRPr="0032319D" w:rsidRDefault="008D09D9" w:rsidP="0032319D">
      <w:pPr>
        <w:pStyle w:val="ListParagraph"/>
        <w:numPr>
          <w:ilvl w:val="0"/>
          <w:numId w:val="8"/>
        </w:numPr>
        <w:rPr>
          <w:sz w:val="22"/>
          <w:lang w:val="en-NZ"/>
        </w:rPr>
      </w:pPr>
      <w:r w:rsidRPr="0032319D">
        <w:rPr>
          <w:sz w:val="22"/>
        </w:rPr>
        <w:t>It is important to note that this study shall exclude the any complete or components of national phytosanitary system/s to support a national ePhyto system.</w:t>
      </w:r>
    </w:p>
    <w:p w:rsidR="00911D9A" w:rsidRPr="0032319D" w:rsidRDefault="00911D9A" w:rsidP="0032319D">
      <w:pPr>
        <w:pStyle w:val="ListParagraph"/>
        <w:numPr>
          <w:ilvl w:val="0"/>
          <w:numId w:val="8"/>
        </w:numPr>
        <w:rPr>
          <w:sz w:val="22"/>
          <w:lang w:val="en-NZ"/>
        </w:rPr>
      </w:pPr>
      <w:r w:rsidRPr="0032319D">
        <w:rPr>
          <w:sz w:val="22"/>
          <w:lang w:val="en-NZ"/>
        </w:rPr>
        <w:t>The final written report to be presented electronically in Microsoft Word format (2007 comptable) with electronic copies of all support documentation and materials</w:t>
      </w:r>
      <w:r w:rsidR="008D09D9" w:rsidRPr="0032319D">
        <w:rPr>
          <w:sz w:val="22"/>
          <w:lang w:val="en-NZ"/>
        </w:rPr>
        <w:t xml:space="preserve"> to the IPPC Secretariat on completion of the as</w:t>
      </w:r>
      <w:bookmarkStart w:id="0" w:name="_GoBack"/>
      <w:bookmarkEnd w:id="0"/>
      <w:r w:rsidR="008D09D9" w:rsidRPr="0032319D">
        <w:rPr>
          <w:sz w:val="22"/>
          <w:lang w:val="en-NZ"/>
        </w:rPr>
        <w:t>signment</w:t>
      </w:r>
      <w:r w:rsidRPr="0032319D">
        <w:rPr>
          <w:sz w:val="22"/>
          <w:lang w:val="en-NZ"/>
        </w:rPr>
        <w:t>.</w:t>
      </w:r>
    </w:p>
    <w:p w:rsidR="00911D9A" w:rsidRPr="00A755A5" w:rsidRDefault="00A24A00" w:rsidP="00A24A00">
      <w:pPr>
        <w:rPr>
          <w:b/>
          <w:sz w:val="22"/>
          <w:lang w:val="en-NZ"/>
        </w:rPr>
      </w:pPr>
      <w:r>
        <w:rPr>
          <w:b/>
          <w:sz w:val="22"/>
          <w:lang w:val="en-NZ"/>
        </w:rPr>
        <w:t>Timeline:</w:t>
      </w:r>
    </w:p>
    <w:p w:rsidR="00911D9A" w:rsidRPr="00A755A5" w:rsidRDefault="00911D9A" w:rsidP="00043C0D">
      <w:pPr>
        <w:spacing w:after="120"/>
        <w:ind w:left="720"/>
        <w:rPr>
          <w:sz w:val="22"/>
          <w:lang w:val="en-NZ"/>
        </w:rPr>
      </w:pPr>
      <w:r w:rsidRPr="00A755A5">
        <w:rPr>
          <w:sz w:val="22"/>
          <w:lang w:val="en-NZ"/>
        </w:rPr>
        <w:t>i) consideration and agreement by t</w:t>
      </w:r>
      <w:r w:rsidR="00A24A00">
        <w:rPr>
          <w:sz w:val="22"/>
          <w:lang w:val="en-NZ"/>
        </w:rPr>
        <w:t xml:space="preserve">he Strategic Planning Committee, </w:t>
      </w:r>
      <w:r w:rsidRPr="00A755A5">
        <w:rPr>
          <w:sz w:val="22"/>
          <w:lang w:val="en-NZ"/>
        </w:rPr>
        <w:t>October 2012</w:t>
      </w:r>
    </w:p>
    <w:p w:rsidR="00911D9A" w:rsidRPr="00A755A5" w:rsidRDefault="00911D9A" w:rsidP="00043C0D">
      <w:pPr>
        <w:spacing w:after="120"/>
        <w:ind w:left="720"/>
        <w:rPr>
          <w:sz w:val="22"/>
          <w:lang w:val="en-NZ"/>
        </w:rPr>
      </w:pPr>
      <w:r w:rsidRPr="00A755A5">
        <w:rPr>
          <w:sz w:val="22"/>
          <w:lang w:val="en-NZ"/>
        </w:rPr>
        <w:t>ii) first draft by 28 February 2013</w:t>
      </w:r>
    </w:p>
    <w:p w:rsidR="00911D9A" w:rsidRPr="00A755A5" w:rsidRDefault="00911D9A" w:rsidP="00043C0D">
      <w:pPr>
        <w:spacing w:after="120"/>
        <w:ind w:left="720"/>
        <w:rPr>
          <w:sz w:val="22"/>
          <w:lang w:val="en-NZ"/>
        </w:rPr>
      </w:pPr>
      <w:r w:rsidRPr="00A755A5">
        <w:rPr>
          <w:sz w:val="22"/>
          <w:lang w:val="en-NZ"/>
        </w:rPr>
        <w:t>iii) to be completed by 30 June 2013</w:t>
      </w:r>
    </w:p>
    <w:p w:rsidR="00911D9A" w:rsidRPr="00A755A5" w:rsidRDefault="00911D9A" w:rsidP="00043C0D">
      <w:pPr>
        <w:spacing w:after="120"/>
        <w:ind w:left="720"/>
        <w:rPr>
          <w:sz w:val="22"/>
          <w:lang w:val="en-NZ"/>
        </w:rPr>
      </w:pPr>
      <w:r w:rsidRPr="00A755A5">
        <w:rPr>
          <w:sz w:val="22"/>
          <w:lang w:val="en-NZ"/>
        </w:rPr>
        <w:t>iv) consideration by the Strategic Planning Committee October 2013</w:t>
      </w:r>
    </w:p>
    <w:p w:rsidR="00000000" w:rsidRDefault="00911D9A" w:rsidP="00043C0D">
      <w:pPr>
        <w:spacing w:after="120"/>
        <w:ind w:left="720"/>
        <w:rPr>
          <w:sz w:val="22"/>
        </w:rPr>
      </w:pPr>
      <w:r w:rsidRPr="00A755A5">
        <w:rPr>
          <w:sz w:val="22"/>
          <w:lang w:val="en-NZ"/>
        </w:rPr>
        <w:t>v) submission to CPM-9 (2014)</w:t>
      </w:r>
      <w:r w:rsidR="00A833BD">
        <w:rPr>
          <w:sz w:val="22"/>
          <w:lang w:val="en-NZ"/>
        </w:rPr>
        <w:t>.</w:t>
      </w:r>
    </w:p>
    <w:sectPr w:rsidR="00000000" w:rsidSect="003E5BD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2D" w:rsidRDefault="0033542D" w:rsidP="008D09D9">
      <w:r>
        <w:separator/>
      </w:r>
    </w:p>
  </w:endnote>
  <w:endnote w:type="continuationSeparator" w:id="0">
    <w:p w:rsidR="0033542D" w:rsidRDefault="0033542D" w:rsidP="008D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2D" w:rsidRPr="003E5BDB" w:rsidRDefault="0033542D" w:rsidP="00A24A00">
    <w:pPr>
      <w:pStyle w:val="Footer"/>
      <w:pBdr>
        <w:top w:val="single" w:sz="4" w:space="1" w:color="auto"/>
      </w:pBdr>
      <w:tabs>
        <w:tab w:val="clear" w:pos="4536"/>
      </w:tabs>
      <w:rPr>
        <w:rFonts w:ascii="Arial" w:hAnsi="Arial" w:cs="Arial"/>
        <w:sz w:val="18"/>
        <w:szCs w:val="18"/>
      </w:rPr>
    </w:pPr>
    <w:r w:rsidRPr="00E84C92">
      <w:rPr>
        <w:rStyle w:val="PageNumber"/>
        <w:rFonts w:ascii="Arial" w:hAnsi="Arial" w:cs="Arial"/>
        <w:sz w:val="18"/>
        <w:szCs w:val="18"/>
      </w:rPr>
      <w:t xml:space="preserve">Page 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A24A00">
      <w:rPr>
        <w:rStyle w:val="PageNumber"/>
        <w:rFonts w:ascii="Arial" w:hAnsi="Arial" w:cs="Arial"/>
        <w:noProof/>
        <w:sz w:val="18"/>
        <w:szCs w:val="18"/>
      </w:rPr>
      <w:t>2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end"/>
    </w:r>
    <w:r w:rsidRPr="00E84C92">
      <w:rPr>
        <w:rStyle w:val="PageNumber"/>
        <w:rFonts w:ascii="Arial" w:hAnsi="Arial" w:cs="Arial"/>
        <w:sz w:val="18"/>
        <w:szCs w:val="18"/>
      </w:rPr>
      <w:t xml:space="preserve"> of 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A24A00">
      <w:rPr>
        <w:rStyle w:val="PageNumber"/>
        <w:rFonts w:ascii="Arial" w:hAnsi="Arial" w:cs="Arial"/>
        <w:noProof/>
        <w:sz w:val="18"/>
        <w:szCs w:val="18"/>
      </w:rPr>
      <w:t>2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 w:rsidR="00890E9F" w:rsidRPr="00890E9F">
      <w:rPr>
        <w:rFonts w:ascii="Arial" w:hAnsi="Arial" w:cs="Arial"/>
        <w:i/>
        <w:sz w:val="18"/>
        <w:szCs w:val="18"/>
      </w:rPr>
      <w:t>International Plant Protection Convention</w:t>
    </w:r>
  </w:p>
  <w:p w:rsidR="0033542D" w:rsidRDefault="003354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2D" w:rsidRPr="003E5BDB" w:rsidRDefault="0033542D" w:rsidP="003E5BDB">
    <w:pPr>
      <w:pStyle w:val="Footer"/>
      <w:pBdr>
        <w:top w:val="single" w:sz="4" w:space="1" w:color="auto"/>
      </w:pBdr>
      <w:tabs>
        <w:tab w:val="right" w:pos="9639"/>
      </w:tabs>
      <w:jc w:val="right"/>
      <w:rPr>
        <w:rFonts w:ascii="Arial" w:hAnsi="Arial" w:cs="Arial"/>
        <w:sz w:val="18"/>
        <w:szCs w:val="18"/>
      </w:rPr>
    </w:pPr>
    <w:r w:rsidRPr="00E84C92">
      <w:rPr>
        <w:rStyle w:val="PageNumber"/>
        <w:rFonts w:ascii="Arial" w:hAnsi="Arial" w:cs="Arial"/>
        <w:sz w:val="18"/>
        <w:szCs w:val="18"/>
      </w:rPr>
      <w:t xml:space="preserve">Page 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A24A00">
      <w:rPr>
        <w:rStyle w:val="PageNumber"/>
        <w:rFonts w:ascii="Arial" w:hAnsi="Arial" w:cs="Arial"/>
        <w:noProof/>
        <w:sz w:val="18"/>
        <w:szCs w:val="18"/>
      </w:rPr>
      <w:t>1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end"/>
    </w:r>
    <w:r w:rsidRPr="00E84C92">
      <w:rPr>
        <w:rStyle w:val="PageNumber"/>
        <w:rFonts w:ascii="Arial" w:hAnsi="Arial" w:cs="Arial"/>
        <w:sz w:val="18"/>
        <w:szCs w:val="18"/>
      </w:rPr>
      <w:t xml:space="preserve"> of 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A24A00">
      <w:rPr>
        <w:rStyle w:val="PageNumber"/>
        <w:rFonts w:ascii="Arial" w:hAnsi="Arial" w:cs="Arial"/>
        <w:noProof/>
        <w:sz w:val="18"/>
        <w:szCs w:val="18"/>
      </w:rPr>
      <w:t>2</w:t>
    </w:r>
    <w:r w:rsidR="00890E9F" w:rsidRPr="00E84C9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2D" w:rsidRDefault="0033542D" w:rsidP="008D09D9">
      <w:r>
        <w:separator/>
      </w:r>
    </w:p>
  </w:footnote>
  <w:footnote w:type="continuationSeparator" w:id="0">
    <w:p w:rsidR="0033542D" w:rsidRDefault="0033542D" w:rsidP="008D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542D">
    <w:pPr>
      <w:pStyle w:val="IPPHeader"/>
    </w:pPr>
    <w:r>
      <w:t>SPG 2012/17</w:t>
    </w:r>
    <w:r>
      <w:tab/>
    </w:r>
    <w:r>
      <w:rPr>
        <w:i/>
        <w:iCs/>
      </w:rPr>
      <w:tab/>
    </w:r>
    <w:r w:rsidRPr="00A755A5">
      <w:rPr>
        <w:i/>
        <w:iCs/>
      </w:rPr>
      <w:t>Feasability Study of a Global ePhyto Hub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2D" w:rsidRDefault="0033542D" w:rsidP="008D09D9">
    <w:pPr>
      <w:pStyle w:val="IPP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349250</wp:posOffset>
          </wp:positionV>
          <wp:extent cx="628650" cy="3308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55A5">
      <w:rPr>
        <w:noProof/>
        <w:lang w:val="en-US"/>
      </w:rPr>
      <w:drawing>
        <wp:inline distT="0" distB="0" distL="0" distR="0">
          <wp:extent cx="5798550" cy="279298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922" cy="279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42D" w:rsidRDefault="0033542D" w:rsidP="008D09D9">
    <w:pPr>
      <w:pStyle w:val="IPPHeader"/>
    </w:pPr>
    <w:r w:rsidRPr="00A755A5">
      <w:tab/>
      <w:t>International Plant Protection Convention</w:t>
    </w:r>
    <w:r w:rsidRPr="00A755A5">
      <w:tab/>
    </w:r>
    <w:r>
      <w:t>SPG 2012/17</w:t>
    </w:r>
  </w:p>
  <w:p w:rsidR="0033542D" w:rsidRPr="00FC2FAE" w:rsidRDefault="0033542D" w:rsidP="008D09D9">
    <w:pPr>
      <w:pStyle w:val="IPPHeader"/>
      <w:rPr>
        <w:lang w:eastAsia="ja-JP"/>
      </w:rPr>
    </w:pPr>
    <w:r w:rsidRPr="00A755A5">
      <w:tab/>
    </w:r>
    <w:r w:rsidRPr="00A755A5">
      <w:rPr>
        <w:i/>
        <w:iCs/>
      </w:rPr>
      <w:t>Feasability Study of a Global ePhyto Hub</w:t>
    </w:r>
    <w:r w:rsidRPr="00A755A5">
      <w:t xml:space="preserve"> </w:t>
    </w:r>
    <w:r w:rsidRPr="00A755A5">
      <w:tab/>
    </w:r>
    <w:r w:rsidRPr="00A755A5">
      <w:rPr>
        <w:i/>
        <w:iCs/>
      </w:rPr>
      <w:t>Agenda item</w:t>
    </w:r>
    <w:r>
      <w:rPr>
        <w:i/>
        <w:iCs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068"/>
    <w:multiLevelType w:val="hybridMultilevel"/>
    <w:tmpl w:val="0D700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674"/>
    <w:multiLevelType w:val="hybridMultilevel"/>
    <w:tmpl w:val="EB6AC2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33E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4ACD5688"/>
    <w:multiLevelType w:val="hybridMultilevel"/>
    <w:tmpl w:val="D64C9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45883"/>
    <w:multiLevelType w:val="hybridMultilevel"/>
    <w:tmpl w:val="A1D4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30BD"/>
    <w:multiLevelType w:val="hybridMultilevel"/>
    <w:tmpl w:val="313A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D192C"/>
    <w:multiLevelType w:val="hybridMultilevel"/>
    <w:tmpl w:val="059C987A"/>
    <w:lvl w:ilvl="0" w:tplc="F39093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F4B32"/>
    <w:multiLevelType w:val="hybridMultilevel"/>
    <w:tmpl w:val="0D700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linkStyles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D9A"/>
    <w:rsid w:val="00043C0D"/>
    <w:rsid w:val="0032319D"/>
    <w:rsid w:val="0033542D"/>
    <w:rsid w:val="003E5BDB"/>
    <w:rsid w:val="00792ED4"/>
    <w:rsid w:val="00890E9F"/>
    <w:rsid w:val="008D09D9"/>
    <w:rsid w:val="00911D9A"/>
    <w:rsid w:val="009A6645"/>
    <w:rsid w:val="009E4C55"/>
    <w:rsid w:val="00A24A00"/>
    <w:rsid w:val="00A755A5"/>
    <w:rsid w:val="00A833BD"/>
    <w:rsid w:val="00E7212A"/>
    <w:rsid w:val="00F54CA6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55"/>
    <w:pPr>
      <w:spacing w:after="200" w:line="276" w:lineRule="auto"/>
    </w:pPr>
    <w:rPr>
      <w:rFonts w:ascii="Times New Roman" w:eastAsiaTheme="minorHAnsi" w:hAnsi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  <w:rsid w:val="009E4C5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4C55"/>
  </w:style>
  <w:style w:type="paragraph" w:styleId="ListParagraph">
    <w:name w:val="List Paragraph"/>
    <w:basedOn w:val="Normal"/>
    <w:uiPriority w:val="34"/>
    <w:qFormat/>
    <w:rsid w:val="00911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5"/>
    <w:rPr>
      <w:rFonts w:ascii="Times New Roman" w:eastAsiaTheme="minorHAnsi" w:hAnsi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5"/>
    <w:rPr>
      <w:rFonts w:ascii="Times New Roman" w:eastAsiaTheme="minorHAnsi" w:hAnsi="Times New Roman"/>
      <w:szCs w:val="22"/>
      <w:lang w:val="en-GB"/>
    </w:rPr>
  </w:style>
  <w:style w:type="paragraph" w:customStyle="1" w:styleId="IPPHeader">
    <w:name w:val="IPP Header"/>
    <w:basedOn w:val="Normal"/>
    <w:qFormat/>
    <w:rsid w:val="008D09D9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MS Mincho" w:hAnsi="Arial"/>
      <w:sz w:val="18"/>
    </w:rPr>
  </w:style>
  <w:style w:type="character" w:styleId="PageNumber">
    <w:name w:val="page number"/>
    <w:basedOn w:val="DefaultParagraphFont"/>
    <w:rsid w:val="003E5B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9A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9D9"/>
    <w:rPr>
      <w:rFonts w:ascii="Cambria" w:eastAsia="MS ??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D0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9D9"/>
    <w:rPr>
      <w:rFonts w:ascii="Cambria" w:eastAsia="MS ??" w:hAnsi="Cambria" w:cs="Times New Roman"/>
    </w:rPr>
  </w:style>
  <w:style w:type="paragraph" w:customStyle="1" w:styleId="IPPHeader">
    <w:name w:val="IPP Header"/>
    <w:basedOn w:val="Normal"/>
    <w:qFormat/>
    <w:rsid w:val="008D09D9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MS Mincho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682</Words>
  <Characters>3825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IPPC Secretariat, FAO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Nowell</dc:creator>
  <cp:lastModifiedBy>Antonella</cp:lastModifiedBy>
  <cp:revision>5</cp:revision>
  <cp:lastPrinted>2012-10-08T12:11:00Z</cp:lastPrinted>
  <dcterms:created xsi:type="dcterms:W3CDTF">2012-10-08T13:50:00Z</dcterms:created>
  <dcterms:modified xsi:type="dcterms:W3CDTF">2012-10-08T13:59:00Z</dcterms:modified>
</cp:coreProperties>
</file>