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07" w:rsidRDefault="00822307" w:rsidP="00A700C4">
      <w:pPr>
        <w:spacing w:after="0" w:line="240" w:lineRule="auto"/>
        <w:rPr>
          <w:rFonts w:ascii="Times New Roman" w:hAnsi="Times New Roman"/>
          <w:b/>
          <w:sz w:val="24"/>
          <w:szCs w:val="24"/>
        </w:rPr>
      </w:pPr>
    </w:p>
    <w:p w:rsidR="00A700C4" w:rsidRPr="000445FF" w:rsidRDefault="000445FF" w:rsidP="00A700C4">
      <w:pPr>
        <w:spacing w:after="120"/>
        <w:jc w:val="center"/>
        <w:rPr>
          <w:rFonts w:ascii="Times New Roman" w:hAnsi="Times New Roman"/>
          <w:b/>
          <w:sz w:val="28"/>
          <w:szCs w:val="28"/>
        </w:rPr>
      </w:pPr>
      <w:r w:rsidRPr="000445FF">
        <w:rPr>
          <w:rFonts w:ascii="Times New Roman" w:hAnsi="Times New Roman"/>
          <w:b/>
          <w:sz w:val="28"/>
          <w:szCs w:val="28"/>
        </w:rPr>
        <w:t>COMMUNICATION STRATEGY FOR THE IPPC</w:t>
      </w:r>
    </w:p>
    <w:p w:rsidR="003741F6" w:rsidRPr="003741F6" w:rsidRDefault="000445FF" w:rsidP="00A700C4">
      <w:pPr>
        <w:spacing w:after="120"/>
        <w:jc w:val="center"/>
        <w:rPr>
          <w:rFonts w:ascii="Times New Roman" w:hAnsi="Times New Roman"/>
          <w:b/>
          <w:sz w:val="20"/>
          <w:szCs w:val="20"/>
        </w:rPr>
      </w:pPr>
      <w:r>
        <w:rPr>
          <w:rFonts w:ascii="Times New Roman" w:hAnsi="Times New Roman"/>
          <w:b/>
          <w:sz w:val="20"/>
          <w:szCs w:val="20"/>
        </w:rPr>
        <w:t>(</w:t>
      </w:r>
      <w:r w:rsidR="003741F6" w:rsidRPr="003741F6">
        <w:rPr>
          <w:rFonts w:ascii="Times New Roman" w:hAnsi="Times New Roman"/>
          <w:b/>
          <w:sz w:val="20"/>
          <w:szCs w:val="20"/>
        </w:rPr>
        <w:t>Ralf Lopian</w:t>
      </w:r>
      <w:r>
        <w:rPr>
          <w:rFonts w:ascii="Times New Roman" w:hAnsi="Times New Roman"/>
          <w:b/>
          <w:sz w:val="20"/>
          <w:szCs w:val="20"/>
        </w:rPr>
        <w:t>)</w:t>
      </w:r>
    </w:p>
    <w:p w:rsidR="00A700C4" w:rsidRDefault="00870303" w:rsidP="001E6C42">
      <w:pPr>
        <w:spacing w:after="120"/>
        <w:jc w:val="center"/>
        <w:rPr>
          <w:rFonts w:ascii="Times New Roman" w:hAnsi="Times New Roman"/>
          <w:i/>
          <w:smallCaps/>
        </w:rPr>
      </w:pPr>
      <w:r>
        <w:rPr>
          <w:rFonts w:ascii="Times New Roman" w:hAnsi="Times New Roman"/>
          <w:i/>
          <w:smallCaps/>
        </w:rPr>
        <w:t>Development of a</w:t>
      </w:r>
      <w:r w:rsidR="001E6C42" w:rsidRPr="001E6C42">
        <w:rPr>
          <w:rFonts w:ascii="Times New Roman" w:hAnsi="Times New Roman"/>
          <w:i/>
          <w:smallCaps/>
        </w:rPr>
        <w:t xml:space="preserve"> university course on international regulatory phytosanitary matters</w:t>
      </w:r>
    </w:p>
    <w:p w:rsidR="00A700C4" w:rsidRPr="00A700C4" w:rsidRDefault="00A700C4" w:rsidP="000445FF">
      <w:pPr>
        <w:numPr>
          <w:ilvl w:val="0"/>
          <w:numId w:val="4"/>
        </w:numPr>
        <w:tabs>
          <w:tab w:val="clear" w:pos="1080"/>
          <w:tab w:val="num" w:pos="540"/>
        </w:tabs>
        <w:spacing w:after="120"/>
        <w:ind w:left="540" w:hanging="540"/>
        <w:jc w:val="center"/>
        <w:rPr>
          <w:rFonts w:ascii="Times New Roman" w:hAnsi="Times New Roman"/>
          <w:b/>
        </w:rPr>
      </w:pPr>
      <w:r w:rsidRPr="00A700C4">
        <w:rPr>
          <w:rFonts w:ascii="Times New Roman" w:hAnsi="Times New Roman"/>
          <w:b/>
        </w:rPr>
        <w:t>Background</w:t>
      </w:r>
    </w:p>
    <w:p w:rsidR="00A700C4" w:rsidRPr="00A700C4" w:rsidRDefault="00A700C4" w:rsidP="00A700C4">
      <w:pPr>
        <w:autoSpaceDE w:val="0"/>
        <w:autoSpaceDN w:val="0"/>
        <w:adjustRightInd w:val="0"/>
        <w:spacing w:after="0" w:line="240" w:lineRule="auto"/>
        <w:jc w:val="both"/>
        <w:rPr>
          <w:rFonts w:ascii="Times New Roman" w:hAnsi="Times New Roman"/>
          <w:sz w:val="24"/>
          <w:szCs w:val="24"/>
          <w:lang w:val="en-GB" w:eastAsia="fi-FI"/>
        </w:rPr>
      </w:pPr>
      <w:r w:rsidRPr="00A700C4">
        <w:rPr>
          <w:rFonts w:ascii="Times New Roman" w:hAnsi="Times New Roman"/>
          <w:sz w:val="24"/>
          <w:szCs w:val="24"/>
        </w:rPr>
        <w:t>At CPM 7 (2012) a</w:t>
      </w:r>
      <w:r w:rsidRPr="00A700C4">
        <w:rPr>
          <w:rFonts w:ascii="Times New Roman" w:hAnsi="Times New Roman"/>
          <w:sz w:val="24"/>
          <w:szCs w:val="24"/>
          <w:lang w:val="en-GB" w:eastAsia="fi-FI"/>
        </w:rPr>
        <w:t xml:space="preserve"> draft IPPC communication strategy was made available </w:t>
      </w:r>
      <w:r w:rsidRPr="00A700C4">
        <w:rPr>
          <w:rFonts w:ascii="Times New Roman" w:hAnsi="Times New Roman"/>
          <w:sz w:val="24"/>
          <w:szCs w:val="24"/>
          <w:lang w:val="en-GB"/>
        </w:rPr>
        <w:t>(as CPM document 2012/CRP/10)</w:t>
      </w:r>
      <w:r w:rsidRPr="00A700C4">
        <w:rPr>
          <w:rFonts w:ascii="Times New Roman" w:hAnsi="Times New Roman"/>
          <w:sz w:val="24"/>
          <w:szCs w:val="24"/>
          <w:lang w:val="en-GB" w:eastAsia="fi-FI"/>
        </w:rPr>
        <w:t xml:space="preserve"> and discussed. It was thought that the communication strategy would complement the other CPM strategies, particularly the Resource Mobilization and Capacity Development Strategies. In order to improve the draft communication strategy the IPPC Secretariat requested contracting parties to provide comments.</w:t>
      </w:r>
    </w:p>
    <w:p w:rsidR="00A700C4" w:rsidRPr="00A700C4" w:rsidRDefault="00A700C4" w:rsidP="00A700C4">
      <w:pPr>
        <w:autoSpaceDE w:val="0"/>
        <w:autoSpaceDN w:val="0"/>
        <w:adjustRightInd w:val="0"/>
        <w:spacing w:after="0" w:line="240" w:lineRule="auto"/>
        <w:jc w:val="both"/>
        <w:rPr>
          <w:rFonts w:ascii="Times New Roman" w:hAnsi="Times New Roman"/>
          <w:sz w:val="24"/>
          <w:szCs w:val="24"/>
          <w:lang w:val="en-GB" w:eastAsia="fi-FI"/>
        </w:rPr>
      </w:pPr>
    </w:p>
    <w:p w:rsidR="00A700C4" w:rsidRPr="00A700C4" w:rsidRDefault="00A700C4" w:rsidP="00A700C4">
      <w:pPr>
        <w:autoSpaceDE w:val="0"/>
        <w:autoSpaceDN w:val="0"/>
        <w:adjustRightInd w:val="0"/>
        <w:spacing w:after="0" w:line="240" w:lineRule="auto"/>
        <w:jc w:val="both"/>
        <w:rPr>
          <w:rFonts w:ascii="Times New Roman" w:hAnsi="Times New Roman"/>
          <w:sz w:val="24"/>
          <w:szCs w:val="24"/>
          <w:lang w:val="en-GB" w:eastAsia="fi-FI"/>
        </w:rPr>
      </w:pPr>
      <w:r>
        <w:rPr>
          <w:rFonts w:ascii="Times New Roman" w:hAnsi="Times New Roman"/>
          <w:sz w:val="24"/>
          <w:szCs w:val="24"/>
          <w:lang w:val="en-GB" w:eastAsia="fi-FI"/>
        </w:rPr>
        <w:t>I</w:t>
      </w:r>
      <w:r w:rsidRPr="00A700C4">
        <w:rPr>
          <w:rFonts w:ascii="Times New Roman" w:hAnsi="Times New Roman"/>
          <w:sz w:val="24"/>
          <w:szCs w:val="24"/>
          <w:lang w:val="en-GB" w:eastAsia="fi-FI"/>
        </w:rPr>
        <w:t xml:space="preserve">n </w:t>
      </w:r>
      <w:r>
        <w:rPr>
          <w:rFonts w:ascii="Times New Roman" w:hAnsi="Times New Roman"/>
          <w:sz w:val="24"/>
          <w:szCs w:val="24"/>
          <w:lang w:val="en-GB" w:eastAsia="fi-FI"/>
        </w:rPr>
        <w:t>April 2012,</w:t>
      </w:r>
      <w:r w:rsidRPr="00A700C4">
        <w:rPr>
          <w:rFonts w:ascii="Times New Roman" w:hAnsi="Times New Roman"/>
          <w:sz w:val="24"/>
          <w:szCs w:val="24"/>
          <w:lang w:val="en-GB" w:eastAsia="fi-FI"/>
        </w:rPr>
        <w:t xml:space="preserve"> </w:t>
      </w:r>
      <w:r>
        <w:rPr>
          <w:rFonts w:ascii="Times New Roman" w:hAnsi="Times New Roman"/>
          <w:sz w:val="24"/>
          <w:szCs w:val="24"/>
          <w:lang w:val="en-GB" w:eastAsia="fi-FI"/>
        </w:rPr>
        <w:t>t</w:t>
      </w:r>
      <w:r w:rsidRPr="00A700C4">
        <w:rPr>
          <w:rFonts w:ascii="Times New Roman" w:hAnsi="Times New Roman"/>
          <w:sz w:val="24"/>
          <w:szCs w:val="24"/>
          <w:lang w:val="en-GB" w:eastAsia="fi-FI"/>
        </w:rPr>
        <w:t xml:space="preserve">he European Union and its Member States submitted </w:t>
      </w:r>
      <w:r>
        <w:rPr>
          <w:rFonts w:ascii="Times New Roman" w:hAnsi="Times New Roman"/>
          <w:sz w:val="24"/>
          <w:szCs w:val="24"/>
          <w:lang w:val="en-GB" w:eastAsia="fi-FI"/>
        </w:rPr>
        <w:t>comments to the draft IPPC Communications strategy and specified that a</w:t>
      </w:r>
      <w:r w:rsidRPr="00A700C4">
        <w:rPr>
          <w:rFonts w:ascii="Times New Roman" w:hAnsi="Times New Roman"/>
          <w:sz w:val="24"/>
          <w:szCs w:val="24"/>
          <w:lang w:val="en-GB"/>
        </w:rPr>
        <w:t xml:space="preserve">s one specific element of a future IPPC Communication Strategy </w:t>
      </w:r>
      <w:r>
        <w:rPr>
          <w:rFonts w:ascii="Times New Roman" w:hAnsi="Times New Roman"/>
          <w:sz w:val="24"/>
          <w:szCs w:val="24"/>
          <w:lang w:val="en-GB"/>
        </w:rPr>
        <w:t>it</w:t>
      </w:r>
      <w:r w:rsidRPr="00A700C4">
        <w:rPr>
          <w:rFonts w:ascii="Times New Roman" w:hAnsi="Times New Roman"/>
          <w:sz w:val="24"/>
          <w:szCs w:val="24"/>
          <w:lang w:val="en-GB"/>
        </w:rPr>
        <w:t xml:space="preserve"> would suggest the IPPC, as part of that strategy, considers developing a standardised dedicated university or diploma course regarding the IPPC and its many activities, to be made available for interested universities and educational institutions worldwide as well as for NPPOs and RPPOs.</w:t>
      </w:r>
      <w:r>
        <w:rPr>
          <w:rFonts w:ascii="Times New Roman" w:hAnsi="Times New Roman"/>
          <w:sz w:val="24"/>
          <w:szCs w:val="24"/>
          <w:lang w:val="en-GB"/>
        </w:rPr>
        <w:t xml:space="preserve"> </w:t>
      </w:r>
    </w:p>
    <w:p w:rsidR="00A700C4" w:rsidRDefault="00A700C4" w:rsidP="00A700C4">
      <w:pPr>
        <w:autoSpaceDE w:val="0"/>
        <w:autoSpaceDN w:val="0"/>
        <w:adjustRightInd w:val="0"/>
        <w:spacing w:after="0" w:line="240" w:lineRule="auto"/>
        <w:jc w:val="both"/>
        <w:rPr>
          <w:rFonts w:ascii="Times New Roman" w:hAnsi="Times New Roman"/>
          <w:sz w:val="24"/>
          <w:szCs w:val="24"/>
          <w:lang w:val="en-GB" w:eastAsia="fi-FI"/>
        </w:rPr>
      </w:pPr>
    </w:p>
    <w:p w:rsidR="00A700C4" w:rsidRDefault="00A700C4" w:rsidP="00A700C4">
      <w:pPr>
        <w:autoSpaceDE w:val="0"/>
        <w:autoSpaceDN w:val="0"/>
        <w:adjustRightInd w:val="0"/>
        <w:spacing w:after="0" w:line="240" w:lineRule="auto"/>
        <w:jc w:val="both"/>
        <w:rPr>
          <w:rFonts w:ascii="Times New Roman" w:hAnsi="Times New Roman"/>
          <w:sz w:val="24"/>
          <w:szCs w:val="24"/>
          <w:lang w:val="en-GB" w:eastAsia="fi-FI"/>
        </w:rPr>
      </w:pPr>
      <w:r>
        <w:rPr>
          <w:rFonts w:ascii="Times New Roman" w:hAnsi="Times New Roman"/>
          <w:sz w:val="24"/>
          <w:szCs w:val="24"/>
          <w:lang w:val="en-GB" w:eastAsia="fi-FI"/>
        </w:rPr>
        <w:t xml:space="preserve">The following chapters aim to build on the suggestions by the EU and its </w:t>
      </w:r>
      <w:smartTag w:uri="urn:schemas-microsoft-com:office:smarttags" w:element="place">
        <w:smartTag w:uri="urn:schemas-microsoft-com:office:smarttags" w:element="PlaceName">
          <w:r>
            <w:rPr>
              <w:rFonts w:ascii="Times New Roman" w:hAnsi="Times New Roman"/>
              <w:sz w:val="24"/>
              <w:szCs w:val="24"/>
              <w:lang w:val="en-GB" w:eastAsia="fi-FI"/>
            </w:rPr>
            <w:t>Member</w:t>
          </w:r>
        </w:smartTag>
        <w:r>
          <w:rPr>
            <w:rFonts w:ascii="Times New Roman" w:hAnsi="Times New Roman"/>
            <w:sz w:val="24"/>
            <w:szCs w:val="24"/>
            <w:lang w:val="en-GB" w:eastAsia="fi-FI"/>
          </w:rPr>
          <w:t xml:space="preserve"> </w:t>
        </w:r>
        <w:smartTag w:uri="urn:schemas-microsoft-com:office:smarttags" w:element="PlaceType">
          <w:r>
            <w:rPr>
              <w:rFonts w:ascii="Times New Roman" w:hAnsi="Times New Roman"/>
              <w:sz w:val="24"/>
              <w:szCs w:val="24"/>
              <w:lang w:val="en-GB" w:eastAsia="fi-FI"/>
            </w:rPr>
            <w:t>States</w:t>
          </w:r>
        </w:smartTag>
      </w:smartTag>
      <w:r>
        <w:rPr>
          <w:rFonts w:ascii="Times New Roman" w:hAnsi="Times New Roman"/>
          <w:sz w:val="24"/>
          <w:szCs w:val="24"/>
          <w:lang w:val="en-GB" w:eastAsia="fi-FI"/>
        </w:rPr>
        <w:t xml:space="preserve"> and identif</w:t>
      </w:r>
      <w:r w:rsidR="001E6C42">
        <w:rPr>
          <w:rFonts w:ascii="Times New Roman" w:hAnsi="Times New Roman"/>
          <w:sz w:val="24"/>
          <w:szCs w:val="24"/>
          <w:lang w:val="en-GB" w:eastAsia="fi-FI"/>
        </w:rPr>
        <w:t>y possible components of such a course as well as its potential benefits and disadvantages.</w:t>
      </w:r>
    </w:p>
    <w:p w:rsidR="00A700C4" w:rsidRPr="00A700C4" w:rsidRDefault="00A700C4" w:rsidP="00A700C4">
      <w:pPr>
        <w:autoSpaceDE w:val="0"/>
        <w:autoSpaceDN w:val="0"/>
        <w:adjustRightInd w:val="0"/>
        <w:spacing w:after="0" w:line="240" w:lineRule="auto"/>
        <w:jc w:val="both"/>
        <w:rPr>
          <w:rFonts w:ascii="Times New Roman" w:hAnsi="Times New Roman"/>
          <w:sz w:val="24"/>
          <w:szCs w:val="24"/>
          <w:lang w:val="en-GB"/>
        </w:rPr>
      </w:pPr>
    </w:p>
    <w:p w:rsidR="00A700C4" w:rsidRPr="001E6C42" w:rsidRDefault="001E6C42" w:rsidP="001E6C42">
      <w:pPr>
        <w:numPr>
          <w:ilvl w:val="0"/>
          <w:numId w:val="4"/>
        </w:numPr>
        <w:tabs>
          <w:tab w:val="clear" w:pos="1080"/>
          <w:tab w:val="num" w:pos="540"/>
        </w:tabs>
        <w:spacing w:after="120"/>
        <w:ind w:left="540" w:hanging="540"/>
        <w:jc w:val="center"/>
        <w:rPr>
          <w:rFonts w:ascii="Times New Roman" w:hAnsi="Times New Roman"/>
          <w:b/>
        </w:rPr>
      </w:pPr>
      <w:r w:rsidRPr="001E6C42">
        <w:rPr>
          <w:rFonts w:ascii="Times New Roman" w:hAnsi="Times New Roman"/>
          <w:b/>
          <w:lang w:val="en-GB"/>
        </w:rPr>
        <w:t>Structure and Development of an University Course</w:t>
      </w:r>
    </w:p>
    <w:p w:rsidR="001E6C42" w:rsidRPr="00870303" w:rsidRDefault="00870303" w:rsidP="00870303">
      <w:pPr>
        <w:spacing w:after="120" w:line="240" w:lineRule="auto"/>
        <w:jc w:val="both"/>
        <w:rPr>
          <w:rFonts w:ascii="Times New Roman" w:hAnsi="Times New Roman"/>
          <w:sz w:val="24"/>
          <w:szCs w:val="24"/>
        </w:rPr>
      </w:pPr>
      <w:r>
        <w:rPr>
          <w:rFonts w:ascii="Times New Roman" w:hAnsi="Times New Roman"/>
          <w:sz w:val="24"/>
          <w:szCs w:val="24"/>
        </w:rPr>
        <w:t>A</w:t>
      </w:r>
      <w:r w:rsidR="00A80939" w:rsidRPr="00870303">
        <w:rPr>
          <w:rFonts w:ascii="Times New Roman" w:hAnsi="Times New Roman"/>
          <w:sz w:val="24"/>
          <w:szCs w:val="24"/>
        </w:rPr>
        <w:t xml:space="preserve"> university course on the IPPC and its activities would ideally address “international regulatory phytosanitary matters” and as such cover the IPPC, RPPOs and their relationship with the WTO/SPS Agreement and other inte</w:t>
      </w:r>
      <w:r w:rsidR="00374E45" w:rsidRPr="00870303">
        <w:rPr>
          <w:rFonts w:ascii="Times New Roman" w:hAnsi="Times New Roman"/>
          <w:sz w:val="24"/>
          <w:szCs w:val="24"/>
        </w:rPr>
        <w:t>rnatio</w:t>
      </w:r>
      <w:r w:rsidR="00A80939" w:rsidRPr="00870303">
        <w:rPr>
          <w:rFonts w:ascii="Times New Roman" w:hAnsi="Times New Roman"/>
          <w:sz w:val="24"/>
          <w:szCs w:val="24"/>
        </w:rPr>
        <w:t>n</w:t>
      </w:r>
      <w:r w:rsidR="00374E45" w:rsidRPr="00870303">
        <w:rPr>
          <w:rFonts w:ascii="Times New Roman" w:hAnsi="Times New Roman"/>
          <w:sz w:val="24"/>
          <w:szCs w:val="24"/>
        </w:rPr>
        <w:t>a</w:t>
      </w:r>
      <w:r w:rsidR="00A80939" w:rsidRPr="00870303">
        <w:rPr>
          <w:rFonts w:ascii="Times New Roman" w:hAnsi="Times New Roman"/>
          <w:sz w:val="24"/>
          <w:szCs w:val="24"/>
        </w:rPr>
        <w:t xml:space="preserve">l organizations such as the CBD. A course would </w:t>
      </w:r>
      <w:r>
        <w:rPr>
          <w:rFonts w:ascii="Times New Roman" w:hAnsi="Times New Roman"/>
          <w:sz w:val="24"/>
          <w:szCs w:val="24"/>
        </w:rPr>
        <w:t xml:space="preserve">probably </w:t>
      </w:r>
      <w:r w:rsidR="00A80939" w:rsidRPr="00870303">
        <w:rPr>
          <w:rFonts w:ascii="Times New Roman" w:hAnsi="Times New Roman"/>
          <w:sz w:val="24"/>
          <w:szCs w:val="24"/>
        </w:rPr>
        <w:t xml:space="preserve">be designed in a number of modules, such as pest risk analysis, survey and monitoring as well as other major focal points of the IPPC activities. It would aim to provide students and interested agricultural generalists with the basic principles, policies and techniques of international regulatory phytosanitary concepts and as such </w:t>
      </w:r>
      <w:r w:rsidR="00374E45" w:rsidRPr="00870303">
        <w:rPr>
          <w:rFonts w:ascii="Times New Roman" w:hAnsi="Times New Roman"/>
          <w:sz w:val="24"/>
          <w:szCs w:val="24"/>
        </w:rPr>
        <w:t>raising awareness on a broad scale.</w:t>
      </w:r>
      <w:r w:rsidR="00A80939" w:rsidRPr="00870303">
        <w:rPr>
          <w:rFonts w:ascii="Times New Roman" w:hAnsi="Times New Roman"/>
          <w:sz w:val="24"/>
          <w:szCs w:val="24"/>
        </w:rPr>
        <w:t xml:space="preserve"> </w:t>
      </w:r>
      <w:r w:rsidR="00374E45" w:rsidRPr="00870303">
        <w:rPr>
          <w:rFonts w:ascii="Times New Roman" w:hAnsi="Times New Roman"/>
          <w:sz w:val="24"/>
          <w:szCs w:val="24"/>
        </w:rPr>
        <w:t xml:space="preserve">The course and its modules may need to be designed in </w:t>
      </w:r>
      <w:r w:rsidR="004E79B0">
        <w:rPr>
          <w:rFonts w:ascii="Times New Roman" w:hAnsi="Times New Roman"/>
          <w:sz w:val="24"/>
          <w:szCs w:val="24"/>
        </w:rPr>
        <w:t xml:space="preserve">an </w:t>
      </w:r>
      <w:r w:rsidR="004E79B0" w:rsidRPr="00870303">
        <w:rPr>
          <w:rFonts w:ascii="Times New Roman" w:hAnsi="Times New Roman"/>
          <w:sz w:val="24"/>
          <w:szCs w:val="24"/>
        </w:rPr>
        <w:t xml:space="preserve">online </w:t>
      </w:r>
      <w:r w:rsidR="00374E45" w:rsidRPr="00870303">
        <w:rPr>
          <w:rFonts w:ascii="Times New Roman" w:hAnsi="Times New Roman"/>
          <w:sz w:val="24"/>
          <w:szCs w:val="24"/>
        </w:rPr>
        <w:t>accessible</w:t>
      </w:r>
      <w:r w:rsidR="004E79B0">
        <w:rPr>
          <w:rFonts w:ascii="Times New Roman" w:hAnsi="Times New Roman"/>
          <w:sz w:val="24"/>
          <w:szCs w:val="24"/>
        </w:rPr>
        <w:t xml:space="preserve"> way</w:t>
      </w:r>
      <w:r w:rsidR="00374E45" w:rsidRPr="00870303">
        <w:rPr>
          <w:rFonts w:ascii="Times New Roman" w:hAnsi="Times New Roman"/>
          <w:sz w:val="24"/>
          <w:szCs w:val="24"/>
        </w:rPr>
        <w:t>.</w:t>
      </w:r>
    </w:p>
    <w:p w:rsidR="00374E45" w:rsidRPr="00870303" w:rsidRDefault="00870303" w:rsidP="00870303">
      <w:pPr>
        <w:spacing w:after="120" w:line="240" w:lineRule="auto"/>
        <w:jc w:val="both"/>
        <w:rPr>
          <w:rFonts w:ascii="Times New Roman" w:hAnsi="Times New Roman"/>
          <w:sz w:val="24"/>
          <w:szCs w:val="24"/>
        </w:rPr>
      </w:pPr>
      <w:r>
        <w:rPr>
          <w:rFonts w:ascii="Times New Roman" w:hAnsi="Times New Roman"/>
          <w:sz w:val="24"/>
          <w:szCs w:val="24"/>
        </w:rPr>
        <w:t>The development of a</w:t>
      </w:r>
      <w:r w:rsidR="00374E45" w:rsidRPr="00870303">
        <w:rPr>
          <w:rFonts w:ascii="Times New Roman" w:hAnsi="Times New Roman"/>
          <w:sz w:val="24"/>
          <w:szCs w:val="24"/>
        </w:rPr>
        <w:t xml:space="preserve"> university course is an extensive activity and would probably need a special structural set-up to realize by the IPPC. </w:t>
      </w:r>
      <w:r>
        <w:rPr>
          <w:rFonts w:ascii="Times New Roman" w:hAnsi="Times New Roman"/>
          <w:sz w:val="24"/>
          <w:szCs w:val="24"/>
        </w:rPr>
        <w:t xml:space="preserve">The possible set-up may consist of a coordinator and a special advisory expert group whose members may be responsible for developing individual course modules. </w:t>
      </w:r>
      <w:r w:rsidR="003741F6">
        <w:rPr>
          <w:rFonts w:ascii="Times New Roman" w:hAnsi="Times New Roman"/>
          <w:sz w:val="24"/>
          <w:szCs w:val="24"/>
        </w:rPr>
        <w:t xml:space="preserve">The development of a textbook may be an integral part of the course development. </w:t>
      </w:r>
      <w:r>
        <w:rPr>
          <w:rFonts w:ascii="Times New Roman" w:hAnsi="Times New Roman"/>
          <w:sz w:val="24"/>
          <w:szCs w:val="24"/>
        </w:rPr>
        <w:t>The time necessary for realizing such a project should be estimated at approximately two/three years. Combinations with planned activities on the development of manuals and SOPs may well be desirable</w:t>
      </w:r>
      <w:r w:rsidR="007E35A4">
        <w:rPr>
          <w:rFonts w:ascii="Times New Roman" w:hAnsi="Times New Roman"/>
          <w:sz w:val="24"/>
          <w:szCs w:val="24"/>
        </w:rPr>
        <w:t xml:space="preserve"> and create synergies</w:t>
      </w:r>
      <w:r>
        <w:rPr>
          <w:rFonts w:ascii="Times New Roman" w:hAnsi="Times New Roman"/>
          <w:sz w:val="24"/>
          <w:szCs w:val="24"/>
        </w:rPr>
        <w:t xml:space="preserve">. </w:t>
      </w:r>
      <w:r w:rsidR="003741F6">
        <w:rPr>
          <w:rFonts w:ascii="Times New Roman" w:hAnsi="Times New Roman"/>
          <w:sz w:val="24"/>
          <w:szCs w:val="24"/>
        </w:rPr>
        <w:t>In order to offer an attractive and up-to-date university course, regular revisions of the course should be necessary.</w:t>
      </w:r>
    </w:p>
    <w:p w:rsidR="00374E45" w:rsidRPr="007E35A4" w:rsidRDefault="007E35A4" w:rsidP="00A63DC6">
      <w:pPr>
        <w:spacing w:after="120" w:line="240" w:lineRule="auto"/>
        <w:jc w:val="both"/>
        <w:rPr>
          <w:rFonts w:ascii="Times New Roman" w:hAnsi="Times New Roman"/>
          <w:sz w:val="24"/>
          <w:szCs w:val="24"/>
        </w:rPr>
      </w:pPr>
      <w:r w:rsidRPr="007E35A4">
        <w:rPr>
          <w:rFonts w:ascii="Times New Roman" w:hAnsi="Times New Roman"/>
          <w:sz w:val="24"/>
          <w:szCs w:val="24"/>
        </w:rPr>
        <w:t xml:space="preserve">A university course </w:t>
      </w:r>
      <w:r>
        <w:rPr>
          <w:rFonts w:ascii="Times New Roman" w:hAnsi="Times New Roman"/>
          <w:sz w:val="24"/>
          <w:szCs w:val="24"/>
        </w:rPr>
        <w:t xml:space="preserve">may be predominantly taught at universities in traditional ways (seminar &amp; classroom) and possibly through the internet. The course would be offered free of charge to all universities and higher educational institutions. </w:t>
      </w:r>
      <w:r w:rsidR="00A63DC6">
        <w:rPr>
          <w:rFonts w:ascii="Times New Roman" w:hAnsi="Times New Roman"/>
          <w:sz w:val="24"/>
          <w:szCs w:val="24"/>
        </w:rPr>
        <w:t xml:space="preserve">University staff would, however, need training in </w:t>
      </w:r>
      <w:r w:rsidR="00A63DC6">
        <w:rPr>
          <w:rFonts w:ascii="Times New Roman" w:hAnsi="Times New Roman"/>
          <w:sz w:val="24"/>
          <w:szCs w:val="24"/>
        </w:rPr>
        <w:lastRenderedPageBreak/>
        <w:t xml:space="preserve">order to effectively supervise and mentor students. Such training could be provided by the IPPC, possibly through workshops operating on a cost recovery principle. </w:t>
      </w:r>
    </w:p>
    <w:p w:rsidR="00374E45" w:rsidRDefault="00A63DC6" w:rsidP="002E46C2">
      <w:pPr>
        <w:spacing w:after="120" w:line="240" w:lineRule="auto"/>
        <w:jc w:val="both"/>
        <w:rPr>
          <w:rFonts w:ascii="Times New Roman" w:hAnsi="Times New Roman"/>
          <w:sz w:val="24"/>
          <w:szCs w:val="24"/>
        </w:rPr>
      </w:pPr>
      <w:r>
        <w:rPr>
          <w:rFonts w:ascii="Times New Roman" w:hAnsi="Times New Roman"/>
          <w:sz w:val="24"/>
          <w:szCs w:val="24"/>
        </w:rPr>
        <w:t>Financing this activity may be challenging! Coordinator and the advisory/author group would need to be reimbursed (paid royalties) for their activities</w:t>
      </w:r>
      <w:r w:rsidR="002E46C2">
        <w:rPr>
          <w:rFonts w:ascii="Times New Roman" w:hAnsi="Times New Roman"/>
          <w:sz w:val="24"/>
          <w:szCs w:val="24"/>
        </w:rPr>
        <w:t xml:space="preserve">. Estimating that a coordinator would be employed for two years at USD 150 000 per year and estimating approximately USD 300 000 for author fees and meeting costs one could roughly estimate that the activity would cost USD 600 000 over a two year period. Considering the tight financial situation of the IPPC, this activity could only be realized through extra-budgetary resources. </w:t>
      </w:r>
    </w:p>
    <w:p w:rsidR="002E46C2" w:rsidRPr="007E35A4" w:rsidRDefault="002E46C2" w:rsidP="002E46C2">
      <w:pPr>
        <w:spacing w:after="120" w:line="240" w:lineRule="auto"/>
        <w:jc w:val="both"/>
        <w:rPr>
          <w:rFonts w:ascii="Times New Roman" w:hAnsi="Times New Roman"/>
          <w:sz w:val="24"/>
          <w:szCs w:val="24"/>
        </w:rPr>
      </w:pPr>
    </w:p>
    <w:p w:rsidR="001E6C42" w:rsidRPr="00F22121" w:rsidRDefault="00655720" w:rsidP="002E46C2">
      <w:pPr>
        <w:numPr>
          <w:ilvl w:val="0"/>
          <w:numId w:val="4"/>
        </w:numPr>
        <w:tabs>
          <w:tab w:val="clear" w:pos="1080"/>
          <w:tab w:val="num" w:pos="540"/>
        </w:tabs>
        <w:spacing w:after="120"/>
        <w:ind w:left="540" w:hanging="540"/>
        <w:jc w:val="center"/>
        <w:rPr>
          <w:rFonts w:ascii="Times New Roman" w:hAnsi="Times New Roman"/>
          <w:b/>
          <w:sz w:val="24"/>
          <w:szCs w:val="24"/>
        </w:rPr>
      </w:pPr>
      <w:r w:rsidRPr="00F22121">
        <w:rPr>
          <w:rFonts w:ascii="Times New Roman" w:hAnsi="Times New Roman"/>
          <w:b/>
          <w:sz w:val="24"/>
          <w:szCs w:val="24"/>
        </w:rPr>
        <w:t xml:space="preserve">Potential </w:t>
      </w:r>
      <w:r w:rsidR="002E46C2" w:rsidRPr="00F22121">
        <w:rPr>
          <w:rFonts w:ascii="Times New Roman" w:hAnsi="Times New Roman"/>
          <w:b/>
          <w:sz w:val="24"/>
          <w:szCs w:val="24"/>
        </w:rPr>
        <w:t>Benefits</w:t>
      </w:r>
    </w:p>
    <w:p w:rsidR="002E46C2" w:rsidRPr="00F22121" w:rsidRDefault="00655720" w:rsidP="00F22121">
      <w:pPr>
        <w:spacing w:after="120" w:line="240" w:lineRule="auto"/>
        <w:jc w:val="both"/>
        <w:rPr>
          <w:rFonts w:ascii="Times New Roman" w:hAnsi="Times New Roman"/>
          <w:sz w:val="24"/>
          <w:szCs w:val="24"/>
        </w:rPr>
      </w:pPr>
      <w:r w:rsidRPr="00F22121">
        <w:rPr>
          <w:rFonts w:ascii="Times New Roman" w:hAnsi="Times New Roman"/>
          <w:sz w:val="24"/>
          <w:szCs w:val="24"/>
        </w:rPr>
        <w:t>The potential benefits for the IPPC and national phytosanitary authorities in general can be wide-ranging:</w:t>
      </w:r>
    </w:p>
    <w:p w:rsidR="00655720" w:rsidRPr="00F22121" w:rsidRDefault="00655720" w:rsidP="00F22121">
      <w:pPr>
        <w:numPr>
          <w:ilvl w:val="0"/>
          <w:numId w:val="5"/>
        </w:numPr>
        <w:tabs>
          <w:tab w:val="clear" w:pos="720"/>
          <w:tab w:val="num" w:pos="360"/>
        </w:tabs>
        <w:spacing w:after="120" w:line="240" w:lineRule="auto"/>
        <w:ind w:left="360"/>
        <w:jc w:val="both"/>
        <w:rPr>
          <w:rFonts w:ascii="Times New Roman" w:hAnsi="Times New Roman"/>
          <w:i/>
          <w:sz w:val="24"/>
          <w:szCs w:val="24"/>
        </w:rPr>
      </w:pPr>
      <w:r w:rsidRPr="00F22121">
        <w:rPr>
          <w:rFonts w:ascii="Times New Roman" w:hAnsi="Times New Roman"/>
          <w:i/>
          <w:sz w:val="24"/>
          <w:szCs w:val="24"/>
        </w:rPr>
        <w:t xml:space="preserve">Improving awareness of the IPPC and its </w:t>
      </w:r>
      <w:r w:rsidR="008A31BC">
        <w:rPr>
          <w:rFonts w:ascii="Times New Roman" w:hAnsi="Times New Roman"/>
          <w:i/>
          <w:sz w:val="24"/>
          <w:szCs w:val="24"/>
        </w:rPr>
        <w:t>O</w:t>
      </w:r>
      <w:r w:rsidRPr="00F22121">
        <w:rPr>
          <w:rFonts w:ascii="Times New Roman" w:hAnsi="Times New Roman"/>
          <w:i/>
          <w:sz w:val="24"/>
          <w:szCs w:val="24"/>
        </w:rPr>
        <w:t xml:space="preserve">bjectives and </w:t>
      </w:r>
      <w:r w:rsidR="008A31BC">
        <w:rPr>
          <w:rFonts w:ascii="Times New Roman" w:hAnsi="Times New Roman"/>
          <w:i/>
          <w:sz w:val="24"/>
          <w:szCs w:val="24"/>
        </w:rPr>
        <w:t>A</w:t>
      </w:r>
      <w:r w:rsidRPr="00F22121">
        <w:rPr>
          <w:rFonts w:ascii="Times New Roman" w:hAnsi="Times New Roman"/>
          <w:i/>
          <w:sz w:val="24"/>
          <w:szCs w:val="24"/>
        </w:rPr>
        <w:t xml:space="preserve">ctivities: </w:t>
      </w:r>
      <w:r w:rsidRPr="00F22121">
        <w:rPr>
          <w:rFonts w:ascii="Times New Roman" w:hAnsi="Times New Roman"/>
          <w:sz w:val="24"/>
          <w:szCs w:val="24"/>
        </w:rPr>
        <w:t xml:space="preserve">A university course on regulatory phytosanitary matters would ingrain plant health concepts into the basic education of agricultural and horticultural </w:t>
      </w:r>
      <w:r w:rsidR="00F22121" w:rsidRPr="00F22121">
        <w:rPr>
          <w:rFonts w:ascii="Times New Roman" w:hAnsi="Times New Roman"/>
          <w:sz w:val="24"/>
          <w:szCs w:val="24"/>
        </w:rPr>
        <w:t>professions</w:t>
      </w:r>
      <w:r w:rsidRPr="00F22121">
        <w:rPr>
          <w:rFonts w:ascii="Times New Roman" w:hAnsi="Times New Roman"/>
          <w:sz w:val="24"/>
          <w:szCs w:val="24"/>
        </w:rPr>
        <w:t xml:space="preserve"> and consequently </w:t>
      </w:r>
      <w:r w:rsidR="00F22121" w:rsidRPr="00F22121">
        <w:rPr>
          <w:rFonts w:ascii="Times New Roman" w:hAnsi="Times New Roman"/>
          <w:sz w:val="24"/>
          <w:szCs w:val="24"/>
        </w:rPr>
        <w:t>raise their application. Consequently the phytosanitary security of countries may be improved and the understanding of phytosanitary regulations (and their application) enhanced.</w:t>
      </w:r>
    </w:p>
    <w:p w:rsidR="00655720" w:rsidRPr="00F22121" w:rsidRDefault="00F22121" w:rsidP="00F22121">
      <w:pPr>
        <w:numPr>
          <w:ilvl w:val="0"/>
          <w:numId w:val="5"/>
        </w:numPr>
        <w:tabs>
          <w:tab w:val="clear" w:pos="720"/>
          <w:tab w:val="num" w:pos="360"/>
        </w:tabs>
        <w:spacing w:after="120" w:line="240" w:lineRule="auto"/>
        <w:ind w:left="360"/>
        <w:jc w:val="both"/>
        <w:rPr>
          <w:rFonts w:ascii="Times New Roman" w:hAnsi="Times New Roman"/>
          <w:sz w:val="24"/>
          <w:szCs w:val="24"/>
        </w:rPr>
      </w:pPr>
      <w:r w:rsidRPr="00F22121">
        <w:rPr>
          <w:rFonts w:ascii="Times New Roman" w:hAnsi="Times New Roman"/>
          <w:i/>
          <w:sz w:val="24"/>
          <w:szCs w:val="24"/>
        </w:rPr>
        <w:t xml:space="preserve">Liaison with Research and Training Organizations: </w:t>
      </w:r>
      <w:r w:rsidRPr="00F22121">
        <w:rPr>
          <w:rFonts w:ascii="Times New Roman" w:hAnsi="Times New Roman"/>
          <w:sz w:val="24"/>
          <w:szCs w:val="24"/>
        </w:rPr>
        <w:t xml:space="preserve">For many years the IPPC, notably the ICPM and SPTA had discussed that it would be beneficial to have strong links between the IPPC and </w:t>
      </w:r>
      <w:r w:rsidR="003741F6" w:rsidRPr="00F22121">
        <w:rPr>
          <w:rFonts w:ascii="Times New Roman" w:hAnsi="Times New Roman"/>
          <w:sz w:val="24"/>
          <w:szCs w:val="24"/>
        </w:rPr>
        <w:t>research</w:t>
      </w:r>
      <w:r w:rsidRPr="00F22121">
        <w:rPr>
          <w:rFonts w:ascii="Times New Roman" w:hAnsi="Times New Roman"/>
          <w:sz w:val="24"/>
          <w:szCs w:val="24"/>
        </w:rPr>
        <w:t xml:space="preserve"> and educational institutions</w:t>
      </w:r>
      <w:r>
        <w:rPr>
          <w:rFonts w:ascii="Times New Roman" w:hAnsi="Times New Roman"/>
          <w:sz w:val="24"/>
          <w:szCs w:val="24"/>
        </w:rPr>
        <w:t xml:space="preserve">. ICPM-7 made a decision to that effect. Developing a university course would strengthen the cooperation between the IPPC, national phytosanitary authorities and research and educational institutions and may contribute to </w:t>
      </w:r>
      <w:r w:rsidR="008A31BC">
        <w:rPr>
          <w:rFonts w:ascii="Times New Roman" w:hAnsi="Times New Roman"/>
          <w:sz w:val="24"/>
          <w:szCs w:val="24"/>
        </w:rPr>
        <w:t xml:space="preserve">a </w:t>
      </w:r>
      <w:r>
        <w:rPr>
          <w:rFonts w:ascii="Times New Roman" w:hAnsi="Times New Roman"/>
          <w:sz w:val="24"/>
          <w:szCs w:val="24"/>
        </w:rPr>
        <w:t xml:space="preserve">better </w:t>
      </w:r>
      <w:r w:rsidR="008A31BC">
        <w:rPr>
          <w:rFonts w:ascii="Times New Roman" w:hAnsi="Times New Roman"/>
          <w:sz w:val="24"/>
          <w:szCs w:val="24"/>
        </w:rPr>
        <w:t>understanding of the IPPC and phytosanitary matters in the research community. More research in phytosanitary subjects maybe the result.</w:t>
      </w:r>
    </w:p>
    <w:p w:rsidR="00F22121" w:rsidRPr="008A31BC" w:rsidRDefault="008A31BC" w:rsidP="008A31BC">
      <w:pPr>
        <w:numPr>
          <w:ilvl w:val="0"/>
          <w:numId w:val="5"/>
        </w:numPr>
        <w:tabs>
          <w:tab w:val="clear" w:pos="720"/>
          <w:tab w:val="num" w:pos="360"/>
        </w:tabs>
        <w:spacing w:after="120" w:line="240" w:lineRule="auto"/>
        <w:ind w:left="360"/>
        <w:jc w:val="both"/>
        <w:rPr>
          <w:rFonts w:ascii="Times New Roman" w:hAnsi="Times New Roman"/>
          <w:i/>
          <w:sz w:val="24"/>
          <w:szCs w:val="24"/>
        </w:rPr>
      </w:pPr>
      <w:r w:rsidRPr="008A31BC">
        <w:rPr>
          <w:rFonts w:ascii="Times New Roman" w:hAnsi="Times New Roman"/>
          <w:i/>
          <w:sz w:val="24"/>
          <w:szCs w:val="24"/>
        </w:rPr>
        <w:t xml:space="preserve">Supporting the </w:t>
      </w:r>
      <w:smartTag w:uri="urn:schemas-microsoft-com:office:smarttags" w:element="place">
        <w:smartTag w:uri="urn:schemas-microsoft-com:office:smarttags" w:element="PlaceName">
          <w:r w:rsidRPr="008A31BC">
            <w:rPr>
              <w:rFonts w:ascii="Times New Roman" w:hAnsi="Times New Roman"/>
              <w:i/>
              <w:sz w:val="24"/>
              <w:szCs w:val="24"/>
            </w:rPr>
            <w:t>IPPC</w:t>
          </w:r>
        </w:smartTag>
        <w:r w:rsidRPr="008A31BC">
          <w:rPr>
            <w:rFonts w:ascii="Times New Roman" w:hAnsi="Times New Roman"/>
            <w:i/>
            <w:sz w:val="24"/>
            <w:szCs w:val="24"/>
          </w:rPr>
          <w:t xml:space="preserve"> </w:t>
        </w:r>
        <w:smartTag w:uri="urn:schemas-microsoft-com:office:smarttags" w:element="PlaceName">
          <w:r w:rsidRPr="008A31BC">
            <w:rPr>
              <w:rFonts w:ascii="Times New Roman" w:hAnsi="Times New Roman"/>
              <w:i/>
              <w:sz w:val="24"/>
              <w:szCs w:val="24"/>
            </w:rPr>
            <w:t>Capacity</w:t>
          </w:r>
        </w:smartTag>
        <w:r w:rsidRPr="008A31BC">
          <w:rPr>
            <w:rFonts w:ascii="Times New Roman" w:hAnsi="Times New Roman"/>
            <w:i/>
            <w:sz w:val="24"/>
            <w:szCs w:val="24"/>
          </w:rPr>
          <w:t xml:space="preserve"> </w:t>
        </w:r>
        <w:smartTag w:uri="urn:schemas-microsoft-com:office:smarttags" w:element="PlaceType">
          <w:r w:rsidRPr="008A31BC">
            <w:rPr>
              <w:rFonts w:ascii="Times New Roman" w:hAnsi="Times New Roman"/>
              <w:i/>
              <w:sz w:val="24"/>
              <w:szCs w:val="24"/>
            </w:rPr>
            <w:t>Building</w:t>
          </w:r>
        </w:smartTag>
      </w:smartTag>
      <w:r w:rsidRPr="008A31BC">
        <w:rPr>
          <w:rFonts w:ascii="Times New Roman" w:hAnsi="Times New Roman"/>
          <w:i/>
          <w:sz w:val="24"/>
          <w:szCs w:val="24"/>
        </w:rPr>
        <w:t xml:space="preserve"> Activities: </w:t>
      </w:r>
      <w:r>
        <w:rPr>
          <w:rFonts w:ascii="Times New Roman" w:hAnsi="Times New Roman"/>
          <w:sz w:val="24"/>
          <w:szCs w:val="24"/>
        </w:rPr>
        <w:t>National phytosanitary capacity building activities of the IPPC have considerably increased over recent years. A university course could improve the curricula in developing countries with regard to plant health and substantially contribute to a better understanding of the subject. In addition training offered by international organizations is effective but high staff fluctuations in developing countries make IPPC training activities a regular undertaking. University courses may make such regular repetitions unnecessary.</w:t>
      </w:r>
    </w:p>
    <w:p w:rsidR="00246FF7" w:rsidRPr="008A31BC" w:rsidRDefault="008A31BC" w:rsidP="00246FF7">
      <w:pPr>
        <w:numPr>
          <w:ilvl w:val="0"/>
          <w:numId w:val="5"/>
        </w:numPr>
        <w:tabs>
          <w:tab w:val="clear" w:pos="720"/>
          <w:tab w:val="num" w:pos="360"/>
        </w:tabs>
        <w:spacing w:after="120" w:line="20" w:lineRule="atLeast"/>
        <w:ind w:left="360"/>
        <w:jc w:val="both"/>
        <w:rPr>
          <w:rFonts w:ascii="Times New Roman" w:hAnsi="Times New Roman"/>
          <w:i/>
          <w:sz w:val="24"/>
          <w:szCs w:val="24"/>
        </w:rPr>
      </w:pPr>
      <w:r w:rsidRPr="008A31BC">
        <w:rPr>
          <w:rFonts w:ascii="Times New Roman" w:hAnsi="Times New Roman"/>
          <w:i/>
          <w:sz w:val="24"/>
          <w:szCs w:val="24"/>
        </w:rPr>
        <w:t xml:space="preserve">Synergy with other </w:t>
      </w:r>
      <w:smartTag w:uri="urn:schemas-microsoft-com:office:smarttags" w:element="place">
        <w:smartTag w:uri="urn:schemas-microsoft-com:office:smarttags" w:element="PlaceName">
          <w:r w:rsidRPr="008A31BC">
            <w:rPr>
              <w:rFonts w:ascii="Times New Roman" w:hAnsi="Times New Roman"/>
              <w:i/>
              <w:sz w:val="24"/>
              <w:szCs w:val="24"/>
            </w:rPr>
            <w:t>IPPC</w:t>
          </w:r>
        </w:smartTag>
        <w:r w:rsidRPr="008A31BC">
          <w:rPr>
            <w:rFonts w:ascii="Times New Roman" w:hAnsi="Times New Roman"/>
            <w:i/>
            <w:sz w:val="24"/>
            <w:szCs w:val="24"/>
          </w:rPr>
          <w:t xml:space="preserve"> </w:t>
        </w:r>
        <w:smartTag w:uri="urn:schemas-microsoft-com:office:smarttags" w:element="PlaceName">
          <w:r w:rsidRPr="008A31BC">
            <w:rPr>
              <w:rFonts w:ascii="Times New Roman" w:hAnsi="Times New Roman"/>
              <w:i/>
              <w:sz w:val="24"/>
              <w:szCs w:val="24"/>
            </w:rPr>
            <w:t>Capacity</w:t>
          </w:r>
        </w:smartTag>
        <w:r w:rsidRPr="008A31BC">
          <w:rPr>
            <w:rFonts w:ascii="Times New Roman" w:hAnsi="Times New Roman"/>
            <w:i/>
            <w:sz w:val="24"/>
            <w:szCs w:val="24"/>
          </w:rPr>
          <w:t xml:space="preserve"> </w:t>
        </w:r>
        <w:smartTag w:uri="urn:schemas-microsoft-com:office:smarttags" w:element="PlaceType">
          <w:r w:rsidRPr="008A31BC">
            <w:rPr>
              <w:rFonts w:ascii="Times New Roman" w:hAnsi="Times New Roman"/>
              <w:i/>
              <w:sz w:val="24"/>
              <w:szCs w:val="24"/>
            </w:rPr>
            <w:t>Building</w:t>
          </w:r>
        </w:smartTag>
      </w:smartTag>
      <w:r w:rsidRPr="008A31BC">
        <w:rPr>
          <w:rFonts w:ascii="Times New Roman" w:hAnsi="Times New Roman"/>
          <w:i/>
          <w:sz w:val="24"/>
          <w:szCs w:val="24"/>
        </w:rPr>
        <w:t xml:space="preserve"> Activities: </w:t>
      </w:r>
      <w:r>
        <w:rPr>
          <w:rFonts w:ascii="Times New Roman" w:hAnsi="Times New Roman"/>
          <w:sz w:val="24"/>
          <w:szCs w:val="24"/>
        </w:rPr>
        <w:t>The planned development manuals, SOPs and other training kits under a STDF project is an important activity of the IPPC Secretariat. The development of a university course would be contributing to this activity and would also benefit from it.</w:t>
      </w:r>
    </w:p>
    <w:p w:rsidR="008A31BC" w:rsidRPr="008A31BC" w:rsidRDefault="008A31BC" w:rsidP="00246FF7">
      <w:pPr>
        <w:spacing w:after="120" w:line="20" w:lineRule="atLeast"/>
        <w:jc w:val="both"/>
        <w:rPr>
          <w:rFonts w:ascii="Times New Roman" w:hAnsi="Times New Roman"/>
          <w:i/>
          <w:sz w:val="24"/>
          <w:szCs w:val="24"/>
        </w:rPr>
      </w:pPr>
    </w:p>
    <w:p w:rsidR="002E46C2" w:rsidRDefault="008A31BC" w:rsidP="00246FF7">
      <w:pPr>
        <w:numPr>
          <w:ilvl w:val="0"/>
          <w:numId w:val="4"/>
        </w:numPr>
        <w:tabs>
          <w:tab w:val="clear" w:pos="1080"/>
          <w:tab w:val="num" w:pos="540"/>
        </w:tabs>
        <w:spacing w:after="120" w:line="20" w:lineRule="atLeast"/>
        <w:ind w:left="540" w:hanging="540"/>
        <w:jc w:val="center"/>
        <w:rPr>
          <w:rFonts w:ascii="Times New Roman" w:hAnsi="Times New Roman"/>
          <w:b/>
          <w:sz w:val="24"/>
          <w:szCs w:val="24"/>
        </w:rPr>
      </w:pPr>
      <w:r w:rsidRPr="008A31BC">
        <w:rPr>
          <w:rFonts w:ascii="Times New Roman" w:hAnsi="Times New Roman"/>
          <w:b/>
          <w:sz w:val="24"/>
          <w:szCs w:val="24"/>
        </w:rPr>
        <w:t>Potential Disadvantages</w:t>
      </w:r>
    </w:p>
    <w:p w:rsidR="00246FF7" w:rsidRDefault="00246FF7" w:rsidP="00246FF7">
      <w:pPr>
        <w:spacing w:after="120" w:line="20" w:lineRule="atLeast"/>
        <w:jc w:val="both"/>
        <w:rPr>
          <w:rFonts w:ascii="Times New Roman" w:hAnsi="Times New Roman"/>
          <w:sz w:val="24"/>
          <w:szCs w:val="24"/>
        </w:rPr>
      </w:pPr>
      <w:r>
        <w:rPr>
          <w:rFonts w:ascii="Times New Roman" w:hAnsi="Times New Roman"/>
          <w:sz w:val="24"/>
          <w:szCs w:val="24"/>
        </w:rPr>
        <w:t>The potential disadvantages of developing such a university course are primarily related to the financial and resource repercussions of undertaki</w:t>
      </w:r>
      <w:r w:rsidR="004E79B0">
        <w:rPr>
          <w:rFonts w:ascii="Times New Roman" w:hAnsi="Times New Roman"/>
          <w:sz w:val="24"/>
          <w:szCs w:val="24"/>
        </w:rPr>
        <w:t>ng such an</w:t>
      </w:r>
      <w:r>
        <w:rPr>
          <w:rFonts w:ascii="Times New Roman" w:hAnsi="Times New Roman"/>
          <w:sz w:val="24"/>
          <w:szCs w:val="24"/>
        </w:rPr>
        <w:t xml:space="preserve"> activity:</w:t>
      </w:r>
    </w:p>
    <w:p w:rsidR="00246FF7" w:rsidRPr="00246FF7" w:rsidRDefault="00246FF7" w:rsidP="00246FF7">
      <w:pPr>
        <w:numPr>
          <w:ilvl w:val="0"/>
          <w:numId w:val="6"/>
        </w:numPr>
        <w:tabs>
          <w:tab w:val="clear" w:pos="720"/>
          <w:tab w:val="num" w:pos="360"/>
        </w:tabs>
        <w:spacing w:after="120" w:line="20" w:lineRule="atLeast"/>
        <w:ind w:left="360"/>
        <w:jc w:val="both"/>
        <w:rPr>
          <w:rFonts w:ascii="Times New Roman" w:hAnsi="Times New Roman"/>
          <w:i/>
          <w:sz w:val="24"/>
          <w:szCs w:val="24"/>
        </w:rPr>
      </w:pPr>
      <w:r w:rsidRPr="00246FF7">
        <w:rPr>
          <w:rFonts w:ascii="Times New Roman" w:hAnsi="Times New Roman"/>
          <w:i/>
          <w:sz w:val="24"/>
          <w:szCs w:val="24"/>
        </w:rPr>
        <w:t xml:space="preserve">Financial implications: </w:t>
      </w:r>
      <w:r w:rsidRPr="00246FF7">
        <w:rPr>
          <w:rFonts w:ascii="Times New Roman" w:hAnsi="Times New Roman"/>
          <w:sz w:val="24"/>
          <w:szCs w:val="24"/>
        </w:rPr>
        <w:t>As outlined before the financial implications for the IPPC would amount to a minimum of USD 300 000 annually for a 2-3 year period. These resources cannot be provided by the IPPC Secretariat. Extra-budgetary resources would have to be solicited.</w:t>
      </w:r>
    </w:p>
    <w:p w:rsidR="00246FF7" w:rsidRPr="00246FF7" w:rsidRDefault="00246FF7" w:rsidP="00246FF7">
      <w:pPr>
        <w:numPr>
          <w:ilvl w:val="0"/>
          <w:numId w:val="6"/>
        </w:numPr>
        <w:tabs>
          <w:tab w:val="clear" w:pos="720"/>
          <w:tab w:val="num" w:pos="360"/>
        </w:tabs>
        <w:spacing w:after="120" w:line="20" w:lineRule="atLeast"/>
        <w:ind w:left="360"/>
        <w:jc w:val="both"/>
        <w:rPr>
          <w:rFonts w:ascii="Times New Roman" w:hAnsi="Times New Roman"/>
          <w:i/>
          <w:sz w:val="24"/>
          <w:szCs w:val="24"/>
        </w:rPr>
      </w:pPr>
      <w:r w:rsidRPr="00246FF7">
        <w:rPr>
          <w:rFonts w:ascii="Times New Roman" w:hAnsi="Times New Roman"/>
          <w:i/>
          <w:sz w:val="24"/>
          <w:szCs w:val="24"/>
        </w:rPr>
        <w:lastRenderedPageBreak/>
        <w:t xml:space="preserve">Sustainability requires regular updates and consequently resources: </w:t>
      </w:r>
      <w:r>
        <w:rPr>
          <w:rFonts w:ascii="Times New Roman" w:hAnsi="Times New Roman"/>
          <w:sz w:val="24"/>
          <w:szCs w:val="24"/>
        </w:rPr>
        <w:t xml:space="preserve">The development of a university course is not a one time activity which after its completion is forgotten. The IPPC as a dynamic organization is constantly developing standards and guidance. As a consequence a university course would have to reflect these changes, amendments and additions. This would require that a university course is regularly up-dated. </w:t>
      </w:r>
    </w:p>
    <w:p w:rsidR="00246FF7" w:rsidRPr="00822307" w:rsidRDefault="003741F6" w:rsidP="00246FF7">
      <w:pPr>
        <w:numPr>
          <w:ilvl w:val="0"/>
          <w:numId w:val="6"/>
        </w:numPr>
        <w:tabs>
          <w:tab w:val="clear" w:pos="720"/>
          <w:tab w:val="num" w:pos="360"/>
        </w:tabs>
        <w:spacing w:after="120" w:line="20" w:lineRule="atLeast"/>
        <w:ind w:left="360"/>
        <w:jc w:val="both"/>
        <w:rPr>
          <w:rFonts w:ascii="Times New Roman" w:hAnsi="Times New Roman"/>
          <w:i/>
          <w:sz w:val="24"/>
          <w:szCs w:val="24"/>
        </w:rPr>
      </w:pPr>
      <w:r w:rsidRPr="00822307">
        <w:rPr>
          <w:rFonts w:ascii="Times New Roman" w:hAnsi="Times New Roman"/>
          <w:i/>
          <w:sz w:val="24"/>
          <w:szCs w:val="24"/>
        </w:rPr>
        <w:t>Controversial</w:t>
      </w:r>
      <w:r w:rsidR="00822307" w:rsidRPr="00822307">
        <w:rPr>
          <w:rFonts w:ascii="Times New Roman" w:hAnsi="Times New Roman"/>
          <w:i/>
          <w:sz w:val="24"/>
          <w:szCs w:val="24"/>
        </w:rPr>
        <w:t xml:space="preserve"> interpretation and teaching of IPPC subjects in universities:</w:t>
      </w:r>
      <w:r w:rsidR="00822307" w:rsidRPr="00822307">
        <w:rPr>
          <w:rFonts w:ascii="Times New Roman" w:hAnsi="Times New Roman"/>
          <w:sz w:val="24"/>
          <w:szCs w:val="24"/>
        </w:rPr>
        <w:t xml:space="preserve"> </w:t>
      </w:r>
      <w:r w:rsidR="00822307">
        <w:rPr>
          <w:rFonts w:ascii="Times New Roman" w:hAnsi="Times New Roman"/>
          <w:sz w:val="24"/>
          <w:szCs w:val="24"/>
        </w:rPr>
        <w:t>One development which could evolve over time is the different interpretation and subsequent teaching of IPPC subjects by different universities.</w:t>
      </w:r>
    </w:p>
    <w:p w:rsidR="00822307" w:rsidRPr="00822307" w:rsidRDefault="00822307" w:rsidP="00822307">
      <w:pPr>
        <w:spacing w:after="120" w:line="20" w:lineRule="atLeast"/>
        <w:jc w:val="both"/>
        <w:rPr>
          <w:rFonts w:ascii="Times New Roman" w:hAnsi="Times New Roman"/>
          <w:i/>
          <w:sz w:val="24"/>
          <w:szCs w:val="24"/>
        </w:rPr>
      </w:pPr>
    </w:p>
    <w:p w:rsidR="00246FF7" w:rsidRPr="008A31BC" w:rsidRDefault="00822307" w:rsidP="00246FF7">
      <w:pPr>
        <w:numPr>
          <w:ilvl w:val="0"/>
          <w:numId w:val="4"/>
        </w:numPr>
        <w:tabs>
          <w:tab w:val="clear" w:pos="1080"/>
          <w:tab w:val="num" w:pos="540"/>
        </w:tabs>
        <w:spacing w:after="120" w:line="20" w:lineRule="atLeast"/>
        <w:ind w:left="540" w:hanging="540"/>
        <w:jc w:val="center"/>
        <w:rPr>
          <w:rFonts w:ascii="Times New Roman" w:hAnsi="Times New Roman"/>
          <w:b/>
          <w:sz w:val="24"/>
          <w:szCs w:val="24"/>
        </w:rPr>
      </w:pPr>
      <w:r>
        <w:rPr>
          <w:rFonts w:ascii="Times New Roman" w:hAnsi="Times New Roman"/>
          <w:b/>
          <w:sz w:val="24"/>
          <w:szCs w:val="24"/>
        </w:rPr>
        <w:t>Discussion</w:t>
      </w:r>
    </w:p>
    <w:p w:rsidR="002C2F37" w:rsidRDefault="002C2F37" w:rsidP="00822307">
      <w:pPr>
        <w:spacing w:after="120" w:line="20" w:lineRule="atLeast"/>
        <w:jc w:val="both"/>
        <w:rPr>
          <w:rFonts w:ascii="Times New Roman" w:hAnsi="Times New Roman"/>
          <w:sz w:val="24"/>
          <w:szCs w:val="24"/>
        </w:rPr>
      </w:pPr>
      <w:r>
        <w:rPr>
          <w:rFonts w:ascii="Times New Roman" w:hAnsi="Times New Roman"/>
          <w:sz w:val="24"/>
          <w:szCs w:val="24"/>
        </w:rPr>
        <w:t>The SPG is invited to:</w:t>
      </w:r>
    </w:p>
    <w:p w:rsidR="002C2F37" w:rsidRDefault="00822307" w:rsidP="002C2F37">
      <w:pPr>
        <w:numPr>
          <w:ilvl w:val="0"/>
          <w:numId w:val="7"/>
        </w:numPr>
        <w:spacing w:after="120" w:line="20" w:lineRule="atLeast"/>
        <w:jc w:val="both"/>
        <w:rPr>
          <w:rFonts w:ascii="Times New Roman" w:hAnsi="Times New Roman"/>
          <w:sz w:val="24"/>
          <w:szCs w:val="24"/>
        </w:rPr>
      </w:pPr>
      <w:r w:rsidRPr="002C2F37">
        <w:rPr>
          <w:rFonts w:ascii="Times New Roman" w:hAnsi="Times New Roman"/>
          <w:i/>
          <w:sz w:val="24"/>
          <w:szCs w:val="24"/>
        </w:rPr>
        <w:t xml:space="preserve">discuss </w:t>
      </w:r>
      <w:r>
        <w:rPr>
          <w:rFonts w:ascii="Times New Roman" w:hAnsi="Times New Roman"/>
          <w:sz w:val="24"/>
          <w:szCs w:val="24"/>
        </w:rPr>
        <w:t xml:space="preserve">the subject and </w:t>
      </w:r>
    </w:p>
    <w:p w:rsidR="00A700C4" w:rsidRPr="008A31BC" w:rsidRDefault="00822307" w:rsidP="002C2F37">
      <w:pPr>
        <w:numPr>
          <w:ilvl w:val="0"/>
          <w:numId w:val="7"/>
        </w:numPr>
        <w:spacing w:after="120" w:line="20" w:lineRule="atLeast"/>
        <w:jc w:val="both"/>
        <w:rPr>
          <w:rFonts w:ascii="Times New Roman" w:hAnsi="Times New Roman"/>
          <w:sz w:val="24"/>
          <w:szCs w:val="24"/>
        </w:rPr>
      </w:pPr>
      <w:r w:rsidRPr="002C2F37">
        <w:rPr>
          <w:rFonts w:ascii="Times New Roman" w:hAnsi="Times New Roman"/>
          <w:i/>
          <w:sz w:val="24"/>
          <w:szCs w:val="24"/>
        </w:rPr>
        <w:t xml:space="preserve">recommend </w:t>
      </w:r>
      <w:r>
        <w:rPr>
          <w:rFonts w:ascii="Times New Roman" w:hAnsi="Times New Roman"/>
          <w:sz w:val="24"/>
          <w:szCs w:val="24"/>
        </w:rPr>
        <w:t xml:space="preserve">on how to proceed with this suggestion by the EU and its Member States. The SPG may wish to recommend to the CPM-8 to include this activity on the work-programme of the organization and that the IPPC Secretariat may develop a preliminary </w:t>
      </w:r>
      <w:r w:rsidR="004E79B0">
        <w:rPr>
          <w:rFonts w:ascii="Times New Roman" w:hAnsi="Times New Roman"/>
          <w:sz w:val="24"/>
          <w:szCs w:val="24"/>
        </w:rPr>
        <w:t xml:space="preserve">detailed </w:t>
      </w:r>
      <w:r>
        <w:rPr>
          <w:rFonts w:ascii="Times New Roman" w:hAnsi="Times New Roman"/>
          <w:sz w:val="24"/>
          <w:szCs w:val="24"/>
        </w:rPr>
        <w:t>work programmed and investigate possibilities to solicit extra-budgetary resources for this matter.</w:t>
      </w:r>
    </w:p>
    <w:p w:rsidR="00A700C4" w:rsidRPr="008A31BC" w:rsidRDefault="00A700C4" w:rsidP="008A31BC">
      <w:pPr>
        <w:spacing w:after="120" w:line="20" w:lineRule="atLeast"/>
        <w:rPr>
          <w:rFonts w:ascii="Times New Roman" w:hAnsi="Times New Roman"/>
          <w:sz w:val="24"/>
          <w:szCs w:val="24"/>
        </w:rPr>
      </w:pPr>
    </w:p>
    <w:sectPr w:rsidR="00A700C4" w:rsidRPr="008A31BC" w:rsidSect="000C65D9">
      <w:headerReference w:type="even" r:id="rId7"/>
      <w:headerReference w:type="default" r:id="rId8"/>
      <w:footerReference w:type="even" r:id="rId9"/>
      <w:footerReference w:type="default" r:id="rId10"/>
      <w:headerReference w:type="first" r:id="rId11"/>
      <w:pgSz w:w="11906" w:h="16838"/>
      <w:pgMar w:top="1417" w:right="1134" w:bottom="141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F37" w:rsidRDefault="002C2F37" w:rsidP="002C2F37">
      <w:pPr>
        <w:spacing w:after="0" w:line="240" w:lineRule="auto"/>
      </w:pPr>
      <w:r>
        <w:separator/>
      </w:r>
    </w:p>
  </w:endnote>
  <w:endnote w:type="continuationSeparator" w:id="0">
    <w:p w:rsidR="002C2F37" w:rsidRDefault="002C2F37" w:rsidP="002C2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37" w:rsidRDefault="002C2F37" w:rsidP="000445FF">
    <w:pPr>
      <w:pStyle w:val="Footer"/>
      <w:pBdr>
        <w:top w:val="single" w:sz="4" w:space="1" w:color="auto"/>
      </w:pBdr>
    </w:pPr>
    <w:r w:rsidRPr="002C2F37">
      <w:rPr>
        <w:rFonts w:ascii="Arial" w:hAnsi="Arial" w:cs="Arial"/>
        <w:sz w:val="18"/>
        <w:szCs w:val="18"/>
      </w:rPr>
      <w:t xml:space="preserve">Page </w:t>
    </w:r>
    <w:r w:rsidR="00592764" w:rsidRPr="002C2F37">
      <w:rPr>
        <w:rFonts w:ascii="Arial" w:hAnsi="Arial" w:cs="Arial"/>
        <w:sz w:val="18"/>
        <w:szCs w:val="18"/>
      </w:rPr>
      <w:fldChar w:fldCharType="begin"/>
    </w:r>
    <w:r w:rsidRPr="002C2F37">
      <w:rPr>
        <w:rFonts w:ascii="Arial" w:hAnsi="Arial" w:cs="Arial"/>
        <w:sz w:val="18"/>
        <w:szCs w:val="18"/>
      </w:rPr>
      <w:instrText xml:space="preserve"> PAGE </w:instrText>
    </w:r>
    <w:r w:rsidR="00592764" w:rsidRPr="002C2F37">
      <w:rPr>
        <w:rFonts w:ascii="Arial" w:hAnsi="Arial" w:cs="Arial"/>
        <w:sz w:val="18"/>
        <w:szCs w:val="18"/>
      </w:rPr>
      <w:fldChar w:fldCharType="separate"/>
    </w:r>
    <w:r w:rsidR="00184CFB">
      <w:rPr>
        <w:rFonts w:ascii="Arial" w:hAnsi="Arial" w:cs="Arial"/>
        <w:noProof/>
        <w:sz w:val="18"/>
        <w:szCs w:val="18"/>
      </w:rPr>
      <w:t>2</w:t>
    </w:r>
    <w:r w:rsidR="00592764" w:rsidRPr="002C2F37">
      <w:rPr>
        <w:rFonts w:ascii="Arial" w:hAnsi="Arial" w:cs="Arial"/>
        <w:sz w:val="18"/>
        <w:szCs w:val="18"/>
      </w:rPr>
      <w:fldChar w:fldCharType="end"/>
    </w:r>
    <w:r w:rsidRPr="002C2F37">
      <w:rPr>
        <w:rFonts w:ascii="Arial" w:hAnsi="Arial" w:cs="Arial"/>
        <w:sz w:val="18"/>
        <w:szCs w:val="18"/>
      </w:rPr>
      <w:t xml:space="preserve"> of </w:t>
    </w:r>
    <w:r w:rsidR="00592764" w:rsidRPr="002C2F37">
      <w:rPr>
        <w:rFonts w:ascii="Arial" w:hAnsi="Arial" w:cs="Arial"/>
        <w:sz w:val="18"/>
        <w:szCs w:val="18"/>
      </w:rPr>
      <w:fldChar w:fldCharType="begin"/>
    </w:r>
    <w:r w:rsidRPr="002C2F37">
      <w:rPr>
        <w:rFonts w:ascii="Arial" w:hAnsi="Arial" w:cs="Arial"/>
        <w:sz w:val="18"/>
        <w:szCs w:val="18"/>
      </w:rPr>
      <w:instrText xml:space="preserve"> NUMPAGES  </w:instrText>
    </w:r>
    <w:r w:rsidR="00592764" w:rsidRPr="002C2F37">
      <w:rPr>
        <w:rFonts w:ascii="Arial" w:hAnsi="Arial" w:cs="Arial"/>
        <w:sz w:val="18"/>
        <w:szCs w:val="18"/>
      </w:rPr>
      <w:fldChar w:fldCharType="separate"/>
    </w:r>
    <w:r w:rsidR="00184CFB">
      <w:rPr>
        <w:rFonts w:ascii="Arial" w:hAnsi="Arial" w:cs="Arial"/>
        <w:noProof/>
        <w:sz w:val="18"/>
        <w:szCs w:val="18"/>
      </w:rPr>
      <w:t>3</w:t>
    </w:r>
    <w:r w:rsidR="00592764" w:rsidRPr="002C2F37">
      <w:rPr>
        <w:rFonts w:ascii="Arial" w:hAnsi="Arial" w:cs="Arial"/>
        <w:sz w:val="18"/>
        <w:szCs w:val="18"/>
      </w:rPr>
      <w:fldChar w:fldCharType="end"/>
    </w:r>
    <w:r>
      <w:rPr>
        <w:rFonts w:ascii="Arial" w:hAnsi="Arial" w:cs="Arial"/>
        <w:sz w:val="18"/>
        <w:szCs w:val="18"/>
      </w:rPr>
      <w:t xml:space="preserve">   </w:t>
    </w:r>
  </w:p>
  <w:p w:rsidR="002C2F37" w:rsidRDefault="002C2F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37" w:rsidRPr="009F0F5E" w:rsidRDefault="002C2F37" w:rsidP="000445FF">
    <w:pPr>
      <w:pStyle w:val="Footer1"/>
      <w:pBdr>
        <w:top w:val="single" w:sz="4" w:space="1" w:color="auto"/>
      </w:pBdr>
      <w:tabs>
        <w:tab w:val="clear" w:pos="4320"/>
        <w:tab w:val="clear" w:pos="8640"/>
        <w:tab w:val="right" w:pos="9072"/>
      </w:tabs>
      <w:jc w:val="right"/>
      <w:rPr>
        <w:rFonts w:ascii="Arial" w:eastAsia="Times New Roman" w:hAnsi="Arial" w:cs="Arial"/>
        <w:color w:val="auto"/>
        <w:sz w:val="18"/>
        <w:szCs w:val="18"/>
      </w:rPr>
    </w:pPr>
    <w:r w:rsidRPr="009F0F5E">
      <w:rPr>
        <w:rStyle w:val="PageNumber1"/>
        <w:rFonts w:ascii="Arial" w:hAnsi="Arial" w:cs="Arial"/>
        <w:sz w:val="18"/>
        <w:szCs w:val="18"/>
      </w:rPr>
      <w:t xml:space="preserve">Page </w:t>
    </w:r>
    <w:r w:rsidR="00592764" w:rsidRPr="009F0F5E">
      <w:rPr>
        <w:rStyle w:val="PageNumber1"/>
        <w:rFonts w:ascii="Arial" w:hAnsi="Arial" w:cs="Arial"/>
        <w:sz w:val="18"/>
        <w:szCs w:val="18"/>
      </w:rPr>
      <w:fldChar w:fldCharType="begin"/>
    </w:r>
    <w:r w:rsidRPr="009F0F5E">
      <w:rPr>
        <w:rStyle w:val="PageNumber1"/>
        <w:rFonts w:ascii="Arial" w:hAnsi="Arial" w:cs="Arial"/>
        <w:sz w:val="18"/>
        <w:szCs w:val="18"/>
      </w:rPr>
      <w:instrText xml:space="preserve"> PAGE </w:instrText>
    </w:r>
    <w:r w:rsidR="00592764" w:rsidRPr="009F0F5E">
      <w:rPr>
        <w:rStyle w:val="PageNumber1"/>
        <w:rFonts w:ascii="Arial" w:hAnsi="Arial" w:cs="Arial"/>
        <w:sz w:val="18"/>
        <w:szCs w:val="18"/>
      </w:rPr>
      <w:fldChar w:fldCharType="separate"/>
    </w:r>
    <w:r w:rsidR="00184CFB">
      <w:rPr>
        <w:rStyle w:val="PageNumber1"/>
        <w:rFonts w:ascii="Arial" w:hAnsi="Arial" w:cs="Arial"/>
        <w:noProof/>
        <w:sz w:val="18"/>
        <w:szCs w:val="18"/>
      </w:rPr>
      <w:t>3</w:t>
    </w:r>
    <w:r w:rsidR="00592764" w:rsidRPr="009F0F5E">
      <w:rPr>
        <w:rStyle w:val="PageNumber1"/>
        <w:rFonts w:ascii="Arial" w:hAnsi="Arial" w:cs="Arial"/>
        <w:sz w:val="18"/>
        <w:szCs w:val="18"/>
      </w:rPr>
      <w:fldChar w:fldCharType="end"/>
    </w:r>
    <w:r w:rsidRPr="009F0F5E">
      <w:rPr>
        <w:rStyle w:val="PageNumber1"/>
        <w:rFonts w:ascii="Arial" w:hAnsi="Arial" w:cs="Arial"/>
        <w:sz w:val="18"/>
        <w:szCs w:val="18"/>
      </w:rPr>
      <w:t xml:space="preserve"> of </w:t>
    </w:r>
    <w:r w:rsidR="00592764" w:rsidRPr="009F0F5E">
      <w:rPr>
        <w:rStyle w:val="PageNumber1"/>
        <w:rFonts w:ascii="Arial" w:hAnsi="Arial" w:cs="Arial"/>
        <w:sz w:val="18"/>
        <w:szCs w:val="18"/>
      </w:rPr>
      <w:fldChar w:fldCharType="begin"/>
    </w:r>
    <w:r w:rsidRPr="009F0F5E">
      <w:rPr>
        <w:rStyle w:val="PageNumber1"/>
        <w:rFonts w:ascii="Arial" w:hAnsi="Arial" w:cs="Arial"/>
        <w:sz w:val="18"/>
        <w:szCs w:val="18"/>
      </w:rPr>
      <w:instrText xml:space="preserve"> NUMPAGES </w:instrText>
    </w:r>
    <w:r w:rsidR="00592764" w:rsidRPr="009F0F5E">
      <w:rPr>
        <w:rStyle w:val="PageNumber1"/>
        <w:rFonts w:ascii="Arial" w:hAnsi="Arial" w:cs="Arial"/>
        <w:sz w:val="18"/>
        <w:szCs w:val="18"/>
      </w:rPr>
      <w:fldChar w:fldCharType="separate"/>
    </w:r>
    <w:r w:rsidR="00184CFB">
      <w:rPr>
        <w:rStyle w:val="PageNumber1"/>
        <w:rFonts w:ascii="Arial" w:hAnsi="Arial" w:cs="Arial"/>
        <w:noProof/>
        <w:sz w:val="18"/>
        <w:szCs w:val="18"/>
      </w:rPr>
      <w:t>3</w:t>
    </w:r>
    <w:r w:rsidR="00592764" w:rsidRPr="009F0F5E">
      <w:rPr>
        <w:rStyle w:val="PageNumber1"/>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F37" w:rsidRDefault="002C2F37" w:rsidP="002C2F37">
      <w:pPr>
        <w:spacing w:after="0" w:line="240" w:lineRule="auto"/>
      </w:pPr>
      <w:r>
        <w:separator/>
      </w:r>
    </w:p>
  </w:footnote>
  <w:footnote w:type="continuationSeparator" w:id="0">
    <w:p w:rsidR="002C2F37" w:rsidRDefault="002C2F37" w:rsidP="002C2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5FF" w:rsidRDefault="000445FF" w:rsidP="00DA5D3C">
    <w:pPr>
      <w:pStyle w:val="Header"/>
      <w:pBdr>
        <w:bottom w:val="single" w:sz="4" w:space="1" w:color="auto"/>
      </w:pBdr>
      <w:tabs>
        <w:tab w:val="clear" w:pos="4680"/>
        <w:tab w:val="clear" w:pos="9360"/>
        <w:tab w:val="right" w:pos="9639"/>
      </w:tabs>
    </w:pPr>
    <w:r>
      <w:rPr>
        <w:rFonts w:ascii="Arial" w:hAnsi="Arial" w:cs="Arial"/>
        <w:sz w:val="18"/>
        <w:szCs w:val="18"/>
      </w:rPr>
      <w:t>SPG 2012/19</w:t>
    </w:r>
    <w:r w:rsidRPr="000445FF">
      <w:rPr>
        <w:rFonts w:ascii="Arial" w:eastAsia="ヒラギノ角ゴ Pro W3" w:hAnsi="Arial" w:cs="Arial"/>
        <w:i/>
        <w:color w:val="000000"/>
        <w:sz w:val="18"/>
        <w:szCs w:val="18"/>
      </w:rPr>
      <w:t xml:space="preserve"> </w:t>
    </w:r>
    <w:r>
      <w:rPr>
        <w:rFonts w:ascii="Arial" w:eastAsia="ヒラギノ角ゴ Pro W3" w:hAnsi="Arial" w:cs="Arial"/>
        <w:i/>
        <w:color w:val="000000"/>
        <w:sz w:val="18"/>
        <w:szCs w:val="18"/>
      </w:rPr>
      <w:tab/>
      <w:t>Communication Strategy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37" w:rsidRDefault="000B507A" w:rsidP="000B507A">
    <w:pPr>
      <w:pBdr>
        <w:bottom w:val="single" w:sz="4" w:space="1" w:color="auto"/>
      </w:pBdr>
      <w:tabs>
        <w:tab w:val="right" w:pos="9356"/>
      </w:tabs>
      <w:spacing w:before="240" w:after="0"/>
      <w:ind w:left="709" w:right="282" w:hanging="709"/>
      <w:rPr>
        <w:rFonts w:cs="Arial"/>
        <w:szCs w:val="18"/>
      </w:rPr>
    </w:pPr>
    <w:r>
      <w:rPr>
        <w:rFonts w:ascii="Arial" w:eastAsia="ヒラギノ角ゴ Pro W3" w:hAnsi="Arial" w:cs="Arial"/>
        <w:i/>
        <w:color w:val="000000"/>
        <w:sz w:val="18"/>
        <w:szCs w:val="18"/>
      </w:rPr>
      <w:t>Communication Strategy</w:t>
    </w:r>
    <w:r>
      <w:rPr>
        <w:rFonts w:ascii="Arial" w:eastAsia="ヒラギノ角ゴ Pro W3" w:hAnsi="Arial" w:cs="Arial"/>
        <w:i/>
        <w:color w:val="000000"/>
        <w:sz w:val="18"/>
        <w:szCs w:val="18"/>
      </w:rPr>
      <w:tab/>
    </w:r>
    <w:r w:rsidR="002C2F37">
      <w:rPr>
        <w:rFonts w:ascii="Arial" w:hAnsi="Arial" w:cs="Arial"/>
        <w:sz w:val="18"/>
        <w:szCs w:val="18"/>
      </w:rPr>
      <w:t>SPG 2012/19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5FF" w:rsidRDefault="000B507A" w:rsidP="000445FF">
    <w:pPr>
      <w:tabs>
        <w:tab w:val="left" w:pos="1276"/>
        <w:tab w:val="right" w:pos="9072"/>
      </w:tabs>
      <w:spacing w:before="120"/>
      <w:jc w:val="center"/>
      <w:rPr>
        <w:noProof/>
      </w:rPr>
    </w:pPr>
    <w:r>
      <w:rPr>
        <w:noProof/>
      </w:rPr>
      <w:drawing>
        <wp:anchor distT="0" distB="0" distL="114300" distR="114300" simplePos="0" relativeHeight="251662336" behindDoc="0" locked="0" layoutInCell="1" allowOverlap="1">
          <wp:simplePos x="0" y="0"/>
          <wp:positionH relativeFrom="column">
            <wp:posOffset>86995</wp:posOffset>
          </wp:positionH>
          <wp:positionV relativeFrom="paragraph">
            <wp:posOffset>401320</wp:posOffset>
          </wp:positionV>
          <wp:extent cx="628650" cy="323850"/>
          <wp:effectExtent l="19050" t="0" r="0" b="0"/>
          <wp:wrapSquare wrapText="bothSides"/>
          <wp:docPr id="2" name="Picture 1" descr="Description: 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PPCLogo"/>
                  <pic:cNvPicPr>
                    <a:picLocks noChangeAspect="1" noChangeArrowheads="1"/>
                  </pic:cNvPicPr>
                </pic:nvPicPr>
                <pic:blipFill>
                  <a:blip r:embed="rId1"/>
                  <a:srcRect/>
                  <a:stretch>
                    <a:fillRect/>
                  </a:stretch>
                </pic:blipFill>
                <pic:spPr bwMode="auto">
                  <a:xfrm>
                    <a:off x="0" y="0"/>
                    <a:ext cx="628650" cy="323850"/>
                  </a:xfrm>
                  <a:prstGeom prst="rect">
                    <a:avLst/>
                  </a:prstGeom>
                  <a:noFill/>
                  <a:ln w="9525">
                    <a:noFill/>
                    <a:miter lim="800000"/>
                    <a:headEnd/>
                    <a:tailEnd/>
                  </a:ln>
                </pic:spPr>
              </pic:pic>
            </a:graphicData>
          </a:graphic>
        </wp:anchor>
      </w:drawing>
    </w:r>
    <w:r>
      <w:rPr>
        <w:noProof/>
      </w:rPr>
      <w:drawing>
        <wp:inline distT="0" distB="0" distL="0" distR="0">
          <wp:extent cx="5821045" cy="320675"/>
          <wp:effectExtent l="19050" t="0" r="8255"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821045" cy="320675"/>
                  </a:xfrm>
                  <a:prstGeom prst="rect">
                    <a:avLst/>
                  </a:prstGeom>
                  <a:noFill/>
                  <a:ln w="9525">
                    <a:noFill/>
                    <a:miter lim="800000"/>
                    <a:headEnd/>
                    <a:tailEnd/>
                  </a:ln>
                </pic:spPr>
              </pic:pic>
            </a:graphicData>
          </a:graphic>
        </wp:inline>
      </w:drawing>
    </w:r>
  </w:p>
  <w:p w:rsidR="000445FF" w:rsidRDefault="000445FF" w:rsidP="000445FF">
    <w:pPr>
      <w:pBdr>
        <w:bottom w:val="single" w:sz="4" w:space="1" w:color="auto"/>
      </w:pBdr>
      <w:tabs>
        <w:tab w:val="left" w:pos="1134"/>
        <w:tab w:val="left" w:pos="7286"/>
        <w:tab w:val="right" w:pos="9072"/>
      </w:tabs>
      <w:spacing w:before="240" w:after="0"/>
      <w:ind w:left="992" w:hanging="992"/>
      <w:jc w:val="center"/>
      <w:rPr>
        <w:rFonts w:ascii="Arial" w:hAnsi="Arial" w:cs="Arial"/>
        <w:sz w:val="18"/>
        <w:szCs w:val="18"/>
      </w:rPr>
    </w:pPr>
    <w:r>
      <w:rPr>
        <w:rFonts w:ascii="Arial" w:hAnsi="Arial" w:cs="Arial"/>
        <w:sz w:val="18"/>
        <w:szCs w:val="18"/>
      </w:rPr>
      <w:tab/>
      <w:t xml:space="preserve">International Plant Protection Convention </w:t>
    </w:r>
    <w:r>
      <w:rPr>
        <w:rFonts w:ascii="Arial" w:hAnsi="Arial" w:cs="Arial"/>
        <w:sz w:val="18"/>
        <w:szCs w:val="18"/>
      </w:rPr>
      <w:tab/>
      <w:t>SPG 2012/19</w:t>
    </w:r>
  </w:p>
  <w:p w:rsidR="000445FF" w:rsidRDefault="000445FF" w:rsidP="000445FF">
    <w:pPr>
      <w:pBdr>
        <w:bottom w:val="single" w:sz="4" w:space="1" w:color="auto"/>
      </w:pBdr>
      <w:tabs>
        <w:tab w:val="left" w:pos="1134"/>
        <w:tab w:val="left" w:pos="7286"/>
        <w:tab w:val="right" w:pos="9072"/>
      </w:tabs>
      <w:spacing w:after="120"/>
      <w:ind w:left="992" w:hanging="992"/>
      <w:jc w:val="center"/>
      <w:rPr>
        <w:rFonts w:cs="Arial"/>
        <w:szCs w:val="18"/>
      </w:rPr>
    </w:pPr>
    <w:r>
      <w:rPr>
        <w:rFonts w:ascii="Arial" w:hAnsi="Arial" w:cs="Arial"/>
        <w:sz w:val="18"/>
        <w:szCs w:val="18"/>
      </w:rPr>
      <w:tab/>
    </w:r>
    <w:r>
      <w:rPr>
        <w:rFonts w:ascii="Arial" w:eastAsia="ヒラギノ角ゴ Pro W3" w:hAnsi="Arial" w:cs="Arial"/>
        <w:i/>
        <w:color w:val="000000"/>
        <w:sz w:val="18"/>
        <w:szCs w:val="18"/>
      </w:rPr>
      <w:t>Communication Strategy</w:t>
    </w:r>
    <w:r>
      <w:rPr>
        <w:rFonts w:ascii="Arial" w:eastAsia="ヒラギノ角ゴ Pro W3" w:hAnsi="Arial" w:cs="Arial"/>
        <w:i/>
        <w:color w:val="000000"/>
        <w:sz w:val="18"/>
        <w:szCs w:val="18"/>
      </w:rPr>
      <w:tab/>
      <w:t xml:space="preserve">Agenda item </w:t>
    </w:r>
    <w:r w:rsidR="00184CFB">
      <w:rPr>
        <w:rFonts w:ascii="Arial" w:eastAsia="ヒラギノ角ゴ Pro W3" w:hAnsi="Arial" w:cs="Arial"/>
        <w:i/>
        <w:color w:val="000000"/>
        <w:sz w:val="18"/>
        <w:szCs w:val="18"/>
      </w:rPr>
      <w:t>7.3</w:t>
    </w:r>
  </w:p>
  <w:p w:rsidR="000445FF" w:rsidRDefault="000445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7625"/>
    <w:multiLevelType w:val="hybridMultilevel"/>
    <w:tmpl w:val="04EAD478"/>
    <w:lvl w:ilvl="0" w:tplc="D902E2E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383AC5"/>
    <w:multiLevelType w:val="hybridMultilevel"/>
    <w:tmpl w:val="1C204A98"/>
    <w:lvl w:ilvl="0" w:tplc="132CDE06">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nsid w:val="120741F3"/>
    <w:multiLevelType w:val="hybridMultilevel"/>
    <w:tmpl w:val="C48CBD08"/>
    <w:lvl w:ilvl="0" w:tplc="049E677E">
      <w:start w:val="1"/>
      <w:numFmt w:val="upperRoman"/>
      <w:lvlText w:val="%1."/>
      <w:lvlJc w:val="left"/>
      <w:pPr>
        <w:tabs>
          <w:tab w:val="num" w:pos="1080"/>
        </w:tabs>
        <w:ind w:left="1080" w:hanging="72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nsid w:val="1F006D93"/>
    <w:multiLevelType w:val="hybridMultilevel"/>
    <w:tmpl w:val="8D94012C"/>
    <w:lvl w:ilvl="0" w:tplc="3960A3EE">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nsid w:val="52140C59"/>
    <w:multiLevelType w:val="hybridMultilevel"/>
    <w:tmpl w:val="BFA468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66067"/>
    <w:multiLevelType w:val="hybridMultilevel"/>
    <w:tmpl w:val="37B46296"/>
    <w:lvl w:ilvl="0" w:tplc="D902E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1F3130"/>
    <w:multiLevelType w:val="hybridMultilevel"/>
    <w:tmpl w:val="D52A43D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
  </w:num>
  <w:num w:numId="2">
    <w:abstractNumId w:val="0"/>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1304"/>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700C4"/>
    <w:rsid w:val="000302F1"/>
    <w:rsid w:val="000445FF"/>
    <w:rsid w:val="0004561B"/>
    <w:rsid w:val="00053EB9"/>
    <w:rsid w:val="00082C00"/>
    <w:rsid w:val="00083F9A"/>
    <w:rsid w:val="000902DF"/>
    <w:rsid w:val="00090FD6"/>
    <w:rsid w:val="00092D00"/>
    <w:rsid w:val="00097B78"/>
    <w:rsid w:val="000A68A7"/>
    <w:rsid w:val="000B161C"/>
    <w:rsid w:val="000B507A"/>
    <w:rsid w:val="000C3FAD"/>
    <w:rsid w:val="000C65D9"/>
    <w:rsid w:val="000D6C79"/>
    <w:rsid w:val="000F4FC2"/>
    <w:rsid w:val="000F5659"/>
    <w:rsid w:val="001046C4"/>
    <w:rsid w:val="001158C2"/>
    <w:rsid w:val="00116B6E"/>
    <w:rsid w:val="00131A70"/>
    <w:rsid w:val="00131BBB"/>
    <w:rsid w:val="00132B18"/>
    <w:rsid w:val="001417A6"/>
    <w:rsid w:val="00151ED1"/>
    <w:rsid w:val="00162C60"/>
    <w:rsid w:val="001720BB"/>
    <w:rsid w:val="00180C7F"/>
    <w:rsid w:val="00184CFB"/>
    <w:rsid w:val="00195097"/>
    <w:rsid w:val="001A640D"/>
    <w:rsid w:val="001B53E4"/>
    <w:rsid w:val="001E1640"/>
    <w:rsid w:val="001E6C42"/>
    <w:rsid w:val="00200D6B"/>
    <w:rsid w:val="00207913"/>
    <w:rsid w:val="002315D4"/>
    <w:rsid w:val="002372F3"/>
    <w:rsid w:val="00245512"/>
    <w:rsid w:val="00246FF7"/>
    <w:rsid w:val="002665FB"/>
    <w:rsid w:val="00281CAF"/>
    <w:rsid w:val="00290BAC"/>
    <w:rsid w:val="00293CC0"/>
    <w:rsid w:val="002A0BD5"/>
    <w:rsid w:val="002A4D29"/>
    <w:rsid w:val="002A7B68"/>
    <w:rsid w:val="002B08AC"/>
    <w:rsid w:val="002C1672"/>
    <w:rsid w:val="002C2F37"/>
    <w:rsid w:val="002C3D92"/>
    <w:rsid w:val="002C46B5"/>
    <w:rsid w:val="002E46C2"/>
    <w:rsid w:val="002F01BE"/>
    <w:rsid w:val="002F7B7E"/>
    <w:rsid w:val="00305820"/>
    <w:rsid w:val="00315735"/>
    <w:rsid w:val="00323A2C"/>
    <w:rsid w:val="00330F7B"/>
    <w:rsid w:val="00332E25"/>
    <w:rsid w:val="00334460"/>
    <w:rsid w:val="0034078C"/>
    <w:rsid w:val="00343BBB"/>
    <w:rsid w:val="003459C9"/>
    <w:rsid w:val="0034648C"/>
    <w:rsid w:val="00365CD3"/>
    <w:rsid w:val="00372DC8"/>
    <w:rsid w:val="003741F6"/>
    <w:rsid w:val="00374E45"/>
    <w:rsid w:val="00375377"/>
    <w:rsid w:val="00394194"/>
    <w:rsid w:val="003967F0"/>
    <w:rsid w:val="0039775F"/>
    <w:rsid w:val="003B4982"/>
    <w:rsid w:val="00416602"/>
    <w:rsid w:val="004248BB"/>
    <w:rsid w:val="004249F3"/>
    <w:rsid w:val="00433075"/>
    <w:rsid w:val="004421E3"/>
    <w:rsid w:val="0044679F"/>
    <w:rsid w:val="00452461"/>
    <w:rsid w:val="00472893"/>
    <w:rsid w:val="00493F14"/>
    <w:rsid w:val="004B0E02"/>
    <w:rsid w:val="004C02E7"/>
    <w:rsid w:val="004E321B"/>
    <w:rsid w:val="004E4442"/>
    <w:rsid w:val="004E79B0"/>
    <w:rsid w:val="004F35C4"/>
    <w:rsid w:val="004F40B9"/>
    <w:rsid w:val="0050193E"/>
    <w:rsid w:val="00521113"/>
    <w:rsid w:val="00542B82"/>
    <w:rsid w:val="00543E94"/>
    <w:rsid w:val="0054452D"/>
    <w:rsid w:val="00551677"/>
    <w:rsid w:val="005658CE"/>
    <w:rsid w:val="005804BE"/>
    <w:rsid w:val="00582238"/>
    <w:rsid w:val="00583222"/>
    <w:rsid w:val="00591A5C"/>
    <w:rsid w:val="00592764"/>
    <w:rsid w:val="0059372B"/>
    <w:rsid w:val="005A4F2E"/>
    <w:rsid w:val="005A594C"/>
    <w:rsid w:val="005B7943"/>
    <w:rsid w:val="005C1AD1"/>
    <w:rsid w:val="005C5E0E"/>
    <w:rsid w:val="005D5E96"/>
    <w:rsid w:val="005E5CF4"/>
    <w:rsid w:val="00611B50"/>
    <w:rsid w:val="00632E32"/>
    <w:rsid w:val="00633F38"/>
    <w:rsid w:val="00645365"/>
    <w:rsid w:val="0064546A"/>
    <w:rsid w:val="00654E23"/>
    <w:rsid w:val="00655720"/>
    <w:rsid w:val="00657D87"/>
    <w:rsid w:val="006767D9"/>
    <w:rsid w:val="006807F4"/>
    <w:rsid w:val="00680B64"/>
    <w:rsid w:val="006940CD"/>
    <w:rsid w:val="0069504A"/>
    <w:rsid w:val="00695C30"/>
    <w:rsid w:val="00697516"/>
    <w:rsid w:val="006C051F"/>
    <w:rsid w:val="006E7864"/>
    <w:rsid w:val="0072075C"/>
    <w:rsid w:val="00721494"/>
    <w:rsid w:val="00733421"/>
    <w:rsid w:val="00733569"/>
    <w:rsid w:val="00755E7F"/>
    <w:rsid w:val="00761BC0"/>
    <w:rsid w:val="00772D4F"/>
    <w:rsid w:val="00783536"/>
    <w:rsid w:val="00795574"/>
    <w:rsid w:val="007C3880"/>
    <w:rsid w:val="007D3005"/>
    <w:rsid w:val="007E331B"/>
    <w:rsid w:val="007E35A4"/>
    <w:rsid w:val="007F00EE"/>
    <w:rsid w:val="007F0A74"/>
    <w:rsid w:val="007F31FC"/>
    <w:rsid w:val="007F6C1C"/>
    <w:rsid w:val="008001A6"/>
    <w:rsid w:val="0080195F"/>
    <w:rsid w:val="00810A3C"/>
    <w:rsid w:val="00822307"/>
    <w:rsid w:val="00861859"/>
    <w:rsid w:val="00862284"/>
    <w:rsid w:val="00870303"/>
    <w:rsid w:val="0087285C"/>
    <w:rsid w:val="008906D5"/>
    <w:rsid w:val="00890F8C"/>
    <w:rsid w:val="008954F3"/>
    <w:rsid w:val="008A31BC"/>
    <w:rsid w:val="008A70FA"/>
    <w:rsid w:val="008B7B8B"/>
    <w:rsid w:val="008C0C63"/>
    <w:rsid w:val="008C7648"/>
    <w:rsid w:val="008C7661"/>
    <w:rsid w:val="008D0525"/>
    <w:rsid w:val="008D4106"/>
    <w:rsid w:val="008D51FB"/>
    <w:rsid w:val="008E66D5"/>
    <w:rsid w:val="008F4AE2"/>
    <w:rsid w:val="00900BD4"/>
    <w:rsid w:val="0091471F"/>
    <w:rsid w:val="009147AC"/>
    <w:rsid w:val="00915FA9"/>
    <w:rsid w:val="009178DB"/>
    <w:rsid w:val="009254EB"/>
    <w:rsid w:val="00944012"/>
    <w:rsid w:val="00986E00"/>
    <w:rsid w:val="00986F1B"/>
    <w:rsid w:val="0099529D"/>
    <w:rsid w:val="00996123"/>
    <w:rsid w:val="009961EC"/>
    <w:rsid w:val="009C11CB"/>
    <w:rsid w:val="009C21D3"/>
    <w:rsid w:val="009C7737"/>
    <w:rsid w:val="009D1255"/>
    <w:rsid w:val="009D393D"/>
    <w:rsid w:val="009D6527"/>
    <w:rsid w:val="009F2AD0"/>
    <w:rsid w:val="00A14BEB"/>
    <w:rsid w:val="00A15C19"/>
    <w:rsid w:val="00A22FA0"/>
    <w:rsid w:val="00A34660"/>
    <w:rsid w:val="00A353F5"/>
    <w:rsid w:val="00A46AD3"/>
    <w:rsid w:val="00A63DC6"/>
    <w:rsid w:val="00A700C4"/>
    <w:rsid w:val="00A80939"/>
    <w:rsid w:val="00AA20A6"/>
    <w:rsid w:val="00AA2637"/>
    <w:rsid w:val="00AB1B29"/>
    <w:rsid w:val="00AB5711"/>
    <w:rsid w:val="00AC1FF7"/>
    <w:rsid w:val="00AC4C17"/>
    <w:rsid w:val="00AC7521"/>
    <w:rsid w:val="00AD0052"/>
    <w:rsid w:val="00AD5211"/>
    <w:rsid w:val="00AD7EC8"/>
    <w:rsid w:val="00AE5BF4"/>
    <w:rsid w:val="00AF1A1E"/>
    <w:rsid w:val="00B13D56"/>
    <w:rsid w:val="00B15284"/>
    <w:rsid w:val="00B160E3"/>
    <w:rsid w:val="00B1773F"/>
    <w:rsid w:val="00B2498D"/>
    <w:rsid w:val="00B24FFF"/>
    <w:rsid w:val="00B32FD4"/>
    <w:rsid w:val="00B4422F"/>
    <w:rsid w:val="00B65DDB"/>
    <w:rsid w:val="00B85AC5"/>
    <w:rsid w:val="00B9037F"/>
    <w:rsid w:val="00B9245D"/>
    <w:rsid w:val="00B92933"/>
    <w:rsid w:val="00B96CC6"/>
    <w:rsid w:val="00BA1B1A"/>
    <w:rsid w:val="00BA3C7F"/>
    <w:rsid w:val="00BB391D"/>
    <w:rsid w:val="00BC0209"/>
    <w:rsid w:val="00BC4312"/>
    <w:rsid w:val="00BD0799"/>
    <w:rsid w:val="00BE2CB4"/>
    <w:rsid w:val="00BE5AB1"/>
    <w:rsid w:val="00BE7D16"/>
    <w:rsid w:val="00C0133A"/>
    <w:rsid w:val="00C35ACB"/>
    <w:rsid w:val="00C35C00"/>
    <w:rsid w:val="00C45043"/>
    <w:rsid w:val="00C4580B"/>
    <w:rsid w:val="00C5230E"/>
    <w:rsid w:val="00C5341B"/>
    <w:rsid w:val="00C57E27"/>
    <w:rsid w:val="00C62CEA"/>
    <w:rsid w:val="00C72AA4"/>
    <w:rsid w:val="00C832C3"/>
    <w:rsid w:val="00C960B0"/>
    <w:rsid w:val="00C97C56"/>
    <w:rsid w:val="00CC0196"/>
    <w:rsid w:val="00CD4173"/>
    <w:rsid w:val="00CD56F8"/>
    <w:rsid w:val="00CE4CDD"/>
    <w:rsid w:val="00CF181A"/>
    <w:rsid w:val="00CF658E"/>
    <w:rsid w:val="00D06195"/>
    <w:rsid w:val="00D2256F"/>
    <w:rsid w:val="00D508DE"/>
    <w:rsid w:val="00D56B05"/>
    <w:rsid w:val="00D706AC"/>
    <w:rsid w:val="00D83832"/>
    <w:rsid w:val="00DA02BA"/>
    <w:rsid w:val="00DA5D3C"/>
    <w:rsid w:val="00DF7F36"/>
    <w:rsid w:val="00E1517A"/>
    <w:rsid w:val="00E474CC"/>
    <w:rsid w:val="00E5690F"/>
    <w:rsid w:val="00E57157"/>
    <w:rsid w:val="00E610E5"/>
    <w:rsid w:val="00E77B8C"/>
    <w:rsid w:val="00E85421"/>
    <w:rsid w:val="00E97558"/>
    <w:rsid w:val="00EA22D6"/>
    <w:rsid w:val="00ED603A"/>
    <w:rsid w:val="00EF037F"/>
    <w:rsid w:val="00F22121"/>
    <w:rsid w:val="00F25731"/>
    <w:rsid w:val="00F25A55"/>
    <w:rsid w:val="00F36A41"/>
    <w:rsid w:val="00F45003"/>
    <w:rsid w:val="00F52795"/>
    <w:rsid w:val="00F565F3"/>
    <w:rsid w:val="00F84CE9"/>
    <w:rsid w:val="00F94AA7"/>
    <w:rsid w:val="00FE04E0"/>
    <w:rsid w:val="00FF1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0C4"/>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700C4"/>
    <w:pPr>
      <w:ind w:left="720"/>
      <w:contextualSpacing/>
    </w:pPr>
  </w:style>
  <w:style w:type="paragraph" w:styleId="BalloonText">
    <w:name w:val="Balloon Text"/>
    <w:basedOn w:val="Normal"/>
    <w:semiHidden/>
    <w:rsid w:val="00822307"/>
    <w:rPr>
      <w:rFonts w:ascii="Tahoma" w:hAnsi="Tahoma" w:cs="Tahoma"/>
      <w:sz w:val="16"/>
      <w:szCs w:val="16"/>
    </w:rPr>
  </w:style>
  <w:style w:type="paragraph" w:styleId="Header">
    <w:name w:val="header"/>
    <w:basedOn w:val="Normal"/>
    <w:link w:val="HeaderChar"/>
    <w:rsid w:val="002C2F37"/>
    <w:pPr>
      <w:tabs>
        <w:tab w:val="center" w:pos="4680"/>
        <w:tab w:val="right" w:pos="9360"/>
      </w:tabs>
    </w:pPr>
  </w:style>
  <w:style w:type="character" w:customStyle="1" w:styleId="HeaderChar">
    <w:name w:val="Header Char"/>
    <w:basedOn w:val="DefaultParagraphFont"/>
    <w:link w:val="Header"/>
    <w:rsid w:val="002C2F37"/>
    <w:rPr>
      <w:rFonts w:ascii="Calibri" w:hAnsi="Calibri"/>
      <w:sz w:val="22"/>
      <w:szCs w:val="22"/>
    </w:rPr>
  </w:style>
  <w:style w:type="paragraph" w:styleId="Footer">
    <w:name w:val="footer"/>
    <w:basedOn w:val="Normal"/>
    <w:link w:val="FooterChar"/>
    <w:uiPriority w:val="99"/>
    <w:rsid w:val="002C2F37"/>
    <w:pPr>
      <w:tabs>
        <w:tab w:val="center" w:pos="4680"/>
        <w:tab w:val="right" w:pos="9360"/>
      </w:tabs>
    </w:pPr>
  </w:style>
  <w:style w:type="character" w:customStyle="1" w:styleId="FooterChar">
    <w:name w:val="Footer Char"/>
    <w:basedOn w:val="DefaultParagraphFont"/>
    <w:link w:val="Footer"/>
    <w:uiPriority w:val="99"/>
    <w:rsid w:val="002C2F37"/>
    <w:rPr>
      <w:rFonts w:ascii="Calibri" w:hAnsi="Calibri"/>
      <w:sz w:val="22"/>
      <w:szCs w:val="22"/>
    </w:rPr>
  </w:style>
  <w:style w:type="paragraph" w:customStyle="1" w:styleId="Footer1">
    <w:name w:val="Footer1"/>
    <w:rsid w:val="002C2F37"/>
    <w:pPr>
      <w:tabs>
        <w:tab w:val="center" w:pos="4320"/>
        <w:tab w:val="right" w:pos="8640"/>
      </w:tabs>
    </w:pPr>
    <w:rPr>
      <w:rFonts w:eastAsia="ヒラギノ角ゴ Pro W3"/>
      <w:color w:val="000000"/>
      <w:sz w:val="24"/>
      <w:lang w:val="en-GB"/>
    </w:rPr>
  </w:style>
  <w:style w:type="character" w:customStyle="1" w:styleId="PageNumber1">
    <w:name w:val="Page Number1"/>
    <w:rsid w:val="002C2F37"/>
    <w:rPr>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1081</Words>
  <Characters>6198</Characters>
  <Application>Microsoft Office Word</Application>
  <DocSecurity>0</DocSecurity>
  <Lines>99</Lines>
  <Paragraphs>31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Communication Strategy for the IPPC</vt:lpstr>
      <vt:lpstr>Communication Strategy for the IPPC</vt:lpstr>
    </vt:vector>
  </TitlesOfParts>
  <Company>MMM</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Strategy for the IPPC</dc:title>
  <dc:creator>Ralf Lopian</dc:creator>
  <cp:lastModifiedBy>Antonella</cp:lastModifiedBy>
  <cp:revision>5</cp:revision>
  <cp:lastPrinted>2012-10-04T12:19:00Z</cp:lastPrinted>
  <dcterms:created xsi:type="dcterms:W3CDTF">2012-10-09T08:41:00Z</dcterms:created>
  <dcterms:modified xsi:type="dcterms:W3CDTF">2012-10-09T08:46:00Z</dcterms:modified>
</cp:coreProperties>
</file>