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047F8B" w14:textId="77777777" w:rsidR="00EF078F" w:rsidRPr="002E507B" w:rsidRDefault="000438C2" w:rsidP="00285774">
      <w:pPr>
        <w:pStyle w:val="Title"/>
        <w:spacing w:before="120" w:after="0"/>
        <w:jc w:val="both"/>
        <w:outlineLvl w:val="9"/>
        <w:rPr>
          <w:lang w:val="en-CA"/>
        </w:rPr>
      </w:pPr>
      <w:r>
        <w:rPr>
          <w:lang w:val="en-CA"/>
        </w:rPr>
        <w:t>Re</w:t>
      </w:r>
      <w:r w:rsidR="00C7681F">
        <w:rPr>
          <w:lang w:val="en-CA"/>
        </w:rPr>
        <w:t>port</w:t>
      </w:r>
      <w:r w:rsidR="00C7681F" w:rsidRPr="002E507B">
        <w:rPr>
          <w:lang w:val="en-CA"/>
        </w:rPr>
        <w:t xml:space="preserve"> </w:t>
      </w:r>
      <w:r w:rsidR="00C7681F">
        <w:rPr>
          <w:lang w:val="en-CA"/>
        </w:rPr>
        <w:t xml:space="preserve">of the </w:t>
      </w:r>
      <w:r w:rsidR="00C7681F" w:rsidRPr="002E507B">
        <w:rPr>
          <w:lang w:val="en-CA"/>
        </w:rPr>
        <w:t>Meeting</w:t>
      </w:r>
      <w:r w:rsidR="00C7681F">
        <w:rPr>
          <w:lang w:val="en-CA"/>
        </w:rPr>
        <w:t xml:space="preserve"> of the </w:t>
      </w:r>
      <w:r w:rsidR="00EF078F" w:rsidRPr="002E507B">
        <w:rPr>
          <w:lang w:val="en-CA"/>
        </w:rPr>
        <w:t xml:space="preserve">ephyto steering group </w:t>
      </w:r>
      <w:r w:rsidR="00602BF6" w:rsidRPr="002E507B">
        <w:rPr>
          <w:lang w:val="en-CA"/>
        </w:rPr>
        <w:t xml:space="preserve">(ESG) </w:t>
      </w:r>
      <w:r w:rsidR="00EF078F" w:rsidRPr="002E507B">
        <w:rPr>
          <w:lang w:val="en-CA"/>
        </w:rPr>
        <w:t xml:space="preserve">and </w:t>
      </w:r>
    </w:p>
    <w:p w14:paraId="529DA49A" w14:textId="77777777" w:rsidR="002B225A" w:rsidRPr="002E507B" w:rsidRDefault="00484A81" w:rsidP="00285774">
      <w:pPr>
        <w:pStyle w:val="Title"/>
        <w:spacing w:before="120" w:after="0"/>
        <w:jc w:val="both"/>
        <w:outlineLvl w:val="9"/>
        <w:rPr>
          <w:lang w:val="en-CA"/>
        </w:rPr>
      </w:pPr>
      <w:r w:rsidRPr="002E507B">
        <w:rPr>
          <w:lang w:val="en-CA"/>
        </w:rPr>
        <w:t xml:space="preserve">Project Technical Committee </w:t>
      </w:r>
      <w:r w:rsidR="00602BF6" w:rsidRPr="002E507B">
        <w:rPr>
          <w:lang w:val="en-CA"/>
        </w:rPr>
        <w:t xml:space="preserve">(PTC) </w:t>
      </w:r>
    </w:p>
    <w:p w14:paraId="04C08F20" w14:textId="77777777" w:rsidR="002E507B" w:rsidRPr="00C7681F" w:rsidRDefault="002E507B" w:rsidP="00285774">
      <w:pPr>
        <w:pStyle w:val="Title"/>
        <w:spacing w:before="120" w:after="0"/>
        <w:jc w:val="both"/>
        <w:outlineLvl w:val="9"/>
        <w:rPr>
          <w:lang w:val="en-CA"/>
        </w:rPr>
      </w:pPr>
      <w:r w:rsidRPr="002E507B">
        <w:rPr>
          <w:lang w:val="en-CA"/>
        </w:rPr>
        <w:t xml:space="preserve">World Trade </w:t>
      </w:r>
      <w:r w:rsidRPr="00A00DFE">
        <w:t xml:space="preserve">Organization, </w:t>
      </w:r>
      <w:r w:rsidR="00C7681F" w:rsidRPr="00C7681F">
        <w:rPr>
          <w:lang w:val="en-CA"/>
        </w:rPr>
        <w:t>Geneva,</w:t>
      </w:r>
      <w:r w:rsidRPr="00C7681F">
        <w:rPr>
          <w:lang w:val="en-CA"/>
        </w:rPr>
        <w:t xml:space="preserve"> Switzerland</w:t>
      </w:r>
    </w:p>
    <w:p w14:paraId="6A3F76AB" w14:textId="77777777" w:rsidR="002E507B" w:rsidRDefault="002E507B" w:rsidP="00285774">
      <w:pPr>
        <w:pStyle w:val="Title"/>
        <w:spacing w:before="120" w:after="0"/>
        <w:jc w:val="both"/>
        <w:outlineLvl w:val="9"/>
      </w:pPr>
      <w:r w:rsidRPr="00A00DFE">
        <w:t>13-17 March 2017</w:t>
      </w:r>
      <w:r w:rsidR="00AC342B" w:rsidRPr="00A00DFE">
        <w:t xml:space="preserve"> </w:t>
      </w:r>
    </w:p>
    <w:p w14:paraId="24156E9A" w14:textId="77777777" w:rsidR="001A6AEB" w:rsidRDefault="001A6AEB" w:rsidP="00285774">
      <w:pPr>
        <w:jc w:val="both"/>
      </w:pPr>
    </w:p>
    <w:sdt>
      <w:sdtPr>
        <w:rPr>
          <w:rFonts w:eastAsia="Times New Roman" w:cs="Times New Roman"/>
          <w:b w:val="0"/>
          <w:bCs w:val="0"/>
          <w:color w:val="auto"/>
          <w:sz w:val="24"/>
          <w:szCs w:val="24"/>
          <w:lang w:val="en-GB" w:eastAsia="en-GB"/>
        </w:rPr>
        <w:id w:val="-536896887"/>
        <w:docPartObj>
          <w:docPartGallery w:val="Table of Contents"/>
          <w:docPartUnique/>
        </w:docPartObj>
      </w:sdtPr>
      <w:sdtEndPr>
        <w:rPr>
          <w:noProof/>
        </w:rPr>
      </w:sdtEndPr>
      <w:sdtContent>
        <w:p w14:paraId="5A17D670" w14:textId="171732AF" w:rsidR="005C2D1E" w:rsidRDefault="005C2D1E" w:rsidP="00285774">
          <w:pPr>
            <w:pStyle w:val="TOCHeading"/>
            <w:jc w:val="both"/>
          </w:pPr>
          <w:r>
            <w:t>Contents</w:t>
          </w:r>
        </w:p>
        <w:p w14:paraId="163D3DD7" w14:textId="77777777" w:rsidR="00BB649D" w:rsidRDefault="005C2D1E">
          <w:pPr>
            <w:pStyle w:val="TOC1"/>
            <w:rPr>
              <w:rFonts w:asciiTheme="minorHAnsi" w:eastAsiaTheme="minorEastAsia" w:hAnsiTheme="minorHAnsi" w:cstheme="minorBidi"/>
              <w:noProof/>
              <w:sz w:val="22"/>
              <w:szCs w:val="22"/>
              <w:lang w:val="en-CA" w:eastAsia="en-CA"/>
            </w:rPr>
          </w:pPr>
          <w:r>
            <w:fldChar w:fldCharType="begin"/>
          </w:r>
          <w:r>
            <w:instrText xml:space="preserve"> TOC \o "1-3" \h \z \u </w:instrText>
          </w:r>
          <w:r>
            <w:fldChar w:fldCharType="separate"/>
          </w:r>
          <w:hyperlink w:anchor="_Toc482185416" w:history="1">
            <w:r w:rsidR="00BB649D" w:rsidRPr="00EF76A2">
              <w:rPr>
                <w:rStyle w:val="Hyperlink"/>
                <w:noProof/>
              </w:rPr>
              <w:t>Participants</w:t>
            </w:r>
            <w:r w:rsidR="00BB649D">
              <w:rPr>
                <w:noProof/>
                <w:webHidden/>
              </w:rPr>
              <w:tab/>
            </w:r>
            <w:r w:rsidR="00BB649D">
              <w:rPr>
                <w:noProof/>
                <w:webHidden/>
              </w:rPr>
              <w:fldChar w:fldCharType="begin"/>
            </w:r>
            <w:r w:rsidR="00BB649D">
              <w:rPr>
                <w:noProof/>
                <w:webHidden/>
              </w:rPr>
              <w:instrText xml:space="preserve"> PAGEREF _Toc482185416 \h </w:instrText>
            </w:r>
            <w:r w:rsidR="00BB649D">
              <w:rPr>
                <w:noProof/>
                <w:webHidden/>
              </w:rPr>
            </w:r>
            <w:r w:rsidR="00BB649D">
              <w:rPr>
                <w:noProof/>
                <w:webHidden/>
              </w:rPr>
              <w:fldChar w:fldCharType="separate"/>
            </w:r>
            <w:r w:rsidR="00BB649D">
              <w:rPr>
                <w:noProof/>
                <w:webHidden/>
              </w:rPr>
              <w:t>2</w:t>
            </w:r>
            <w:r w:rsidR="00BB649D">
              <w:rPr>
                <w:noProof/>
                <w:webHidden/>
              </w:rPr>
              <w:fldChar w:fldCharType="end"/>
            </w:r>
          </w:hyperlink>
        </w:p>
        <w:p w14:paraId="467A1DF2"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17" w:history="1">
            <w:r w:rsidR="00BB649D" w:rsidRPr="00EF76A2">
              <w:rPr>
                <w:rStyle w:val="Hyperlink"/>
                <w:noProof/>
              </w:rPr>
              <w:t>Welcome and introductions</w:t>
            </w:r>
            <w:r w:rsidR="00BB649D">
              <w:rPr>
                <w:noProof/>
                <w:webHidden/>
              </w:rPr>
              <w:tab/>
            </w:r>
            <w:r w:rsidR="00BB649D">
              <w:rPr>
                <w:noProof/>
                <w:webHidden/>
              </w:rPr>
              <w:fldChar w:fldCharType="begin"/>
            </w:r>
            <w:r w:rsidR="00BB649D">
              <w:rPr>
                <w:noProof/>
                <w:webHidden/>
              </w:rPr>
              <w:instrText xml:space="preserve"> PAGEREF _Toc482185417 \h </w:instrText>
            </w:r>
            <w:r w:rsidR="00BB649D">
              <w:rPr>
                <w:noProof/>
                <w:webHidden/>
              </w:rPr>
            </w:r>
            <w:r w:rsidR="00BB649D">
              <w:rPr>
                <w:noProof/>
                <w:webHidden/>
              </w:rPr>
              <w:fldChar w:fldCharType="separate"/>
            </w:r>
            <w:r w:rsidR="00BB649D">
              <w:rPr>
                <w:noProof/>
                <w:webHidden/>
              </w:rPr>
              <w:t>2</w:t>
            </w:r>
            <w:r w:rsidR="00BB649D">
              <w:rPr>
                <w:noProof/>
                <w:webHidden/>
              </w:rPr>
              <w:fldChar w:fldCharType="end"/>
            </w:r>
          </w:hyperlink>
        </w:p>
        <w:p w14:paraId="55DBB9A2"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18" w:history="1">
            <w:r w:rsidR="00BB649D" w:rsidRPr="00EF76A2">
              <w:rPr>
                <w:rStyle w:val="Hyperlink"/>
                <w:noProof/>
              </w:rPr>
              <w:t>Selection of rapporteur</w:t>
            </w:r>
            <w:r w:rsidR="00BB649D">
              <w:rPr>
                <w:noProof/>
                <w:webHidden/>
              </w:rPr>
              <w:tab/>
            </w:r>
            <w:r w:rsidR="00BB649D">
              <w:rPr>
                <w:noProof/>
                <w:webHidden/>
              </w:rPr>
              <w:fldChar w:fldCharType="begin"/>
            </w:r>
            <w:r w:rsidR="00BB649D">
              <w:rPr>
                <w:noProof/>
                <w:webHidden/>
              </w:rPr>
              <w:instrText xml:space="preserve"> PAGEREF _Toc482185418 \h </w:instrText>
            </w:r>
            <w:r w:rsidR="00BB649D">
              <w:rPr>
                <w:noProof/>
                <w:webHidden/>
              </w:rPr>
            </w:r>
            <w:r w:rsidR="00BB649D">
              <w:rPr>
                <w:noProof/>
                <w:webHidden/>
              </w:rPr>
              <w:fldChar w:fldCharType="separate"/>
            </w:r>
            <w:r w:rsidR="00BB649D">
              <w:rPr>
                <w:noProof/>
                <w:webHidden/>
              </w:rPr>
              <w:t>2</w:t>
            </w:r>
            <w:r w:rsidR="00BB649D">
              <w:rPr>
                <w:noProof/>
                <w:webHidden/>
              </w:rPr>
              <w:fldChar w:fldCharType="end"/>
            </w:r>
          </w:hyperlink>
        </w:p>
        <w:p w14:paraId="696D6B31"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19" w:history="1">
            <w:r w:rsidR="00BB649D" w:rsidRPr="00EF76A2">
              <w:rPr>
                <w:rStyle w:val="Hyperlink"/>
                <w:noProof/>
              </w:rPr>
              <w:t>Adoption of the agenda</w:t>
            </w:r>
            <w:r w:rsidR="00BB649D">
              <w:rPr>
                <w:noProof/>
                <w:webHidden/>
              </w:rPr>
              <w:tab/>
            </w:r>
            <w:r w:rsidR="00BB649D">
              <w:rPr>
                <w:noProof/>
                <w:webHidden/>
              </w:rPr>
              <w:fldChar w:fldCharType="begin"/>
            </w:r>
            <w:r w:rsidR="00BB649D">
              <w:rPr>
                <w:noProof/>
                <w:webHidden/>
              </w:rPr>
              <w:instrText xml:space="preserve"> PAGEREF _Toc482185419 \h </w:instrText>
            </w:r>
            <w:r w:rsidR="00BB649D">
              <w:rPr>
                <w:noProof/>
                <w:webHidden/>
              </w:rPr>
            </w:r>
            <w:r w:rsidR="00BB649D">
              <w:rPr>
                <w:noProof/>
                <w:webHidden/>
              </w:rPr>
              <w:fldChar w:fldCharType="separate"/>
            </w:r>
            <w:r w:rsidR="00BB649D">
              <w:rPr>
                <w:noProof/>
                <w:webHidden/>
              </w:rPr>
              <w:t>2</w:t>
            </w:r>
            <w:r w:rsidR="00BB649D">
              <w:rPr>
                <w:noProof/>
                <w:webHidden/>
              </w:rPr>
              <w:fldChar w:fldCharType="end"/>
            </w:r>
          </w:hyperlink>
        </w:p>
        <w:p w14:paraId="25B633DC"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20" w:history="1">
            <w:r w:rsidR="00BB649D" w:rsidRPr="00EF76A2">
              <w:rPr>
                <w:rStyle w:val="Hyperlink"/>
                <w:noProof/>
              </w:rPr>
              <w:t>Review of documents</w:t>
            </w:r>
            <w:r w:rsidR="00BB649D">
              <w:rPr>
                <w:noProof/>
                <w:webHidden/>
              </w:rPr>
              <w:tab/>
            </w:r>
            <w:r w:rsidR="00BB649D">
              <w:rPr>
                <w:noProof/>
                <w:webHidden/>
              </w:rPr>
              <w:fldChar w:fldCharType="begin"/>
            </w:r>
            <w:r w:rsidR="00BB649D">
              <w:rPr>
                <w:noProof/>
                <w:webHidden/>
              </w:rPr>
              <w:instrText xml:space="preserve"> PAGEREF _Toc482185420 \h </w:instrText>
            </w:r>
            <w:r w:rsidR="00BB649D">
              <w:rPr>
                <w:noProof/>
                <w:webHidden/>
              </w:rPr>
            </w:r>
            <w:r w:rsidR="00BB649D">
              <w:rPr>
                <w:noProof/>
                <w:webHidden/>
              </w:rPr>
              <w:fldChar w:fldCharType="separate"/>
            </w:r>
            <w:r w:rsidR="00BB649D">
              <w:rPr>
                <w:noProof/>
                <w:webHidden/>
              </w:rPr>
              <w:t>2</w:t>
            </w:r>
            <w:r w:rsidR="00BB649D">
              <w:rPr>
                <w:noProof/>
                <w:webHidden/>
              </w:rPr>
              <w:fldChar w:fldCharType="end"/>
            </w:r>
          </w:hyperlink>
        </w:p>
        <w:p w14:paraId="59F03877"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21" w:history="1">
            <w:r w:rsidR="00BB649D" w:rsidRPr="00EF76A2">
              <w:rPr>
                <w:rStyle w:val="Hyperlink"/>
                <w:noProof/>
              </w:rPr>
              <w:t>Terms of reference (ESG/PTC)</w:t>
            </w:r>
            <w:r w:rsidR="00BB649D">
              <w:rPr>
                <w:noProof/>
                <w:webHidden/>
              </w:rPr>
              <w:tab/>
            </w:r>
            <w:r w:rsidR="00BB649D">
              <w:rPr>
                <w:noProof/>
                <w:webHidden/>
              </w:rPr>
              <w:fldChar w:fldCharType="begin"/>
            </w:r>
            <w:r w:rsidR="00BB649D">
              <w:rPr>
                <w:noProof/>
                <w:webHidden/>
              </w:rPr>
              <w:instrText xml:space="preserve"> PAGEREF _Toc482185421 \h </w:instrText>
            </w:r>
            <w:r w:rsidR="00BB649D">
              <w:rPr>
                <w:noProof/>
                <w:webHidden/>
              </w:rPr>
            </w:r>
            <w:r w:rsidR="00BB649D">
              <w:rPr>
                <w:noProof/>
                <w:webHidden/>
              </w:rPr>
              <w:fldChar w:fldCharType="separate"/>
            </w:r>
            <w:r w:rsidR="00BB649D">
              <w:rPr>
                <w:noProof/>
                <w:webHidden/>
              </w:rPr>
              <w:t>2</w:t>
            </w:r>
            <w:r w:rsidR="00BB649D">
              <w:rPr>
                <w:noProof/>
                <w:webHidden/>
              </w:rPr>
              <w:fldChar w:fldCharType="end"/>
            </w:r>
          </w:hyperlink>
        </w:p>
        <w:p w14:paraId="6FB31A40"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22" w:history="1">
            <w:r w:rsidR="00BB649D" w:rsidRPr="00EF76A2">
              <w:rPr>
                <w:rStyle w:val="Hyperlink"/>
                <w:noProof/>
              </w:rPr>
              <w:t>Legal framework for the operation of the hub and GeNS</w:t>
            </w:r>
            <w:r w:rsidR="00BB649D">
              <w:rPr>
                <w:noProof/>
                <w:webHidden/>
              </w:rPr>
              <w:tab/>
            </w:r>
            <w:r w:rsidR="00BB649D">
              <w:rPr>
                <w:noProof/>
                <w:webHidden/>
              </w:rPr>
              <w:fldChar w:fldCharType="begin"/>
            </w:r>
            <w:r w:rsidR="00BB649D">
              <w:rPr>
                <w:noProof/>
                <w:webHidden/>
              </w:rPr>
              <w:instrText xml:space="preserve"> PAGEREF _Toc482185422 \h </w:instrText>
            </w:r>
            <w:r w:rsidR="00BB649D">
              <w:rPr>
                <w:noProof/>
                <w:webHidden/>
              </w:rPr>
            </w:r>
            <w:r w:rsidR="00BB649D">
              <w:rPr>
                <w:noProof/>
                <w:webHidden/>
              </w:rPr>
              <w:fldChar w:fldCharType="separate"/>
            </w:r>
            <w:r w:rsidR="00BB649D">
              <w:rPr>
                <w:noProof/>
                <w:webHidden/>
              </w:rPr>
              <w:t>3</w:t>
            </w:r>
            <w:r w:rsidR="00BB649D">
              <w:rPr>
                <w:noProof/>
                <w:webHidden/>
              </w:rPr>
              <w:fldChar w:fldCharType="end"/>
            </w:r>
          </w:hyperlink>
        </w:p>
        <w:p w14:paraId="4502EE1A"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23" w:history="1">
            <w:r w:rsidR="00BB649D" w:rsidRPr="00EF76A2">
              <w:rPr>
                <w:rStyle w:val="Hyperlink"/>
                <w:noProof/>
              </w:rPr>
              <w:t>STDF Project Plan</w:t>
            </w:r>
            <w:r w:rsidR="00BB649D">
              <w:rPr>
                <w:noProof/>
                <w:webHidden/>
              </w:rPr>
              <w:tab/>
            </w:r>
            <w:r w:rsidR="00BB649D">
              <w:rPr>
                <w:noProof/>
                <w:webHidden/>
              </w:rPr>
              <w:fldChar w:fldCharType="begin"/>
            </w:r>
            <w:r w:rsidR="00BB649D">
              <w:rPr>
                <w:noProof/>
                <w:webHidden/>
              </w:rPr>
              <w:instrText xml:space="preserve"> PAGEREF _Toc482185423 \h </w:instrText>
            </w:r>
            <w:r w:rsidR="00BB649D">
              <w:rPr>
                <w:noProof/>
                <w:webHidden/>
              </w:rPr>
            </w:r>
            <w:r w:rsidR="00BB649D">
              <w:rPr>
                <w:noProof/>
                <w:webHidden/>
              </w:rPr>
              <w:fldChar w:fldCharType="separate"/>
            </w:r>
            <w:r w:rsidR="00BB649D">
              <w:rPr>
                <w:noProof/>
                <w:webHidden/>
              </w:rPr>
              <w:t>4</w:t>
            </w:r>
            <w:r w:rsidR="00BB649D">
              <w:rPr>
                <w:noProof/>
                <w:webHidden/>
              </w:rPr>
              <w:fldChar w:fldCharType="end"/>
            </w:r>
          </w:hyperlink>
        </w:p>
        <w:p w14:paraId="1C754805"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24" w:history="1">
            <w:r w:rsidR="00BB649D" w:rsidRPr="00EF76A2">
              <w:rPr>
                <w:rStyle w:val="Hyperlink"/>
                <w:noProof/>
              </w:rPr>
              <w:t>CPM</w:t>
            </w:r>
            <w:r w:rsidR="00BB649D">
              <w:rPr>
                <w:noProof/>
                <w:webHidden/>
              </w:rPr>
              <w:tab/>
            </w:r>
            <w:r w:rsidR="00BB649D">
              <w:rPr>
                <w:noProof/>
                <w:webHidden/>
              </w:rPr>
              <w:fldChar w:fldCharType="begin"/>
            </w:r>
            <w:r w:rsidR="00BB649D">
              <w:rPr>
                <w:noProof/>
                <w:webHidden/>
              </w:rPr>
              <w:instrText xml:space="preserve"> PAGEREF _Toc482185424 \h </w:instrText>
            </w:r>
            <w:r w:rsidR="00BB649D">
              <w:rPr>
                <w:noProof/>
                <w:webHidden/>
              </w:rPr>
            </w:r>
            <w:r w:rsidR="00BB649D">
              <w:rPr>
                <w:noProof/>
                <w:webHidden/>
              </w:rPr>
              <w:fldChar w:fldCharType="separate"/>
            </w:r>
            <w:r w:rsidR="00BB649D">
              <w:rPr>
                <w:noProof/>
                <w:webHidden/>
              </w:rPr>
              <w:t>4</w:t>
            </w:r>
            <w:r w:rsidR="00BB649D">
              <w:rPr>
                <w:noProof/>
                <w:webHidden/>
              </w:rPr>
              <w:fldChar w:fldCharType="end"/>
            </w:r>
          </w:hyperlink>
        </w:p>
        <w:p w14:paraId="5A58A2DC"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25" w:history="1">
            <w:r w:rsidR="00BB649D" w:rsidRPr="00EF76A2">
              <w:rPr>
                <w:rStyle w:val="Hyperlink"/>
                <w:noProof/>
              </w:rPr>
              <w:t>Update on IPPC/UNICC contractual arrangements</w:t>
            </w:r>
            <w:r w:rsidR="00BB649D">
              <w:rPr>
                <w:noProof/>
                <w:webHidden/>
              </w:rPr>
              <w:tab/>
            </w:r>
            <w:r w:rsidR="00BB649D">
              <w:rPr>
                <w:noProof/>
                <w:webHidden/>
              </w:rPr>
              <w:fldChar w:fldCharType="begin"/>
            </w:r>
            <w:r w:rsidR="00BB649D">
              <w:rPr>
                <w:noProof/>
                <w:webHidden/>
              </w:rPr>
              <w:instrText xml:space="preserve"> PAGEREF _Toc482185425 \h </w:instrText>
            </w:r>
            <w:r w:rsidR="00BB649D">
              <w:rPr>
                <w:noProof/>
                <w:webHidden/>
              </w:rPr>
            </w:r>
            <w:r w:rsidR="00BB649D">
              <w:rPr>
                <w:noProof/>
                <w:webHidden/>
              </w:rPr>
              <w:fldChar w:fldCharType="separate"/>
            </w:r>
            <w:r w:rsidR="00BB649D">
              <w:rPr>
                <w:noProof/>
                <w:webHidden/>
              </w:rPr>
              <w:t>5</w:t>
            </w:r>
            <w:r w:rsidR="00BB649D">
              <w:rPr>
                <w:noProof/>
                <w:webHidden/>
              </w:rPr>
              <w:fldChar w:fldCharType="end"/>
            </w:r>
          </w:hyperlink>
        </w:p>
        <w:p w14:paraId="156CB0DC"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26" w:history="1">
            <w:r w:rsidR="00BB649D" w:rsidRPr="00EF76A2">
              <w:rPr>
                <w:rStyle w:val="Hyperlink"/>
                <w:noProof/>
              </w:rPr>
              <w:t>HUB development</w:t>
            </w:r>
            <w:r w:rsidR="00BB649D">
              <w:rPr>
                <w:noProof/>
                <w:webHidden/>
              </w:rPr>
              <w:tab/>
            </w:r>
            <w:r w:rsidR="00BB649D">
              <w:rPr>
                <w:noProof/>
                <w:webHidden/>
              </w:rPr>
              <w:fldChar w:fldCharType="begin"/>
            </w:r>
            <w:r w:rsidR="00BB649D">
              <w:rPr>
                <w:noProof/>
                <w:webHidden/>
              </w:rPr>
              <w:instrText xml:space="preserve"> PAGEREF _Toc482185426 \h </w:instrText>
            </w:r>
            <w:r w:rsidR="00BB649D">
              <w:rPr>
                <w:noProof/>
                <w:webHidden/>
              </w:rPr>
            </w:r>
            <w:r w:rsidR="00BB649D">
              <w:rPr>
                <w:noProof/>
                <w:webHidden/>
              </w:rPr>
              <w:fldChar w:fldCharType="separate"/>
            </w:r>
            <w:r w:rsidR="00BB649D">
              <w:rPr>
                <w:noProof/>
                <w:webHidden/>
              </w:rPr>
              <w:t>5</w:t>
            </w:r>
            <w:r w:rsidR="00BB649D">
              <w:rPr>
                <w:noProof/>
                <w:webHidden/>
              </w:rPr>
              <w:fldChar w:fldCharType="end"/>
            </w:r>
          </w:hyperlink>
        </w:p>
        <w:p w14:paraId="05C9A0B9"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27" w:history="1">
            <w:r w:rsidR="00BB649D" w:rsidRPr="00EF76A2">
              <w:rPr>
                <w:rStyle w:val="Hyperlink"/>
                <w:noProof/>
              </w:rPr>
              <w:t>GeNS development</w:t>
            </w:r>
            <w:r w:rsidR="00BB649D">
              <w:rPr>
                <w:noProof/>
                <w:webHidden/>
              </w:rPr>
              <w:tab/>
            </w:r>
            <w:r w:rsidR="00BB649D">
              <w:rPr>
                <w:noProof/>
                <w:webHidden/>
              </w:rPr>
              <w:fldChar w:fldCharType="begin"/>
            </w:r>
            <w:r w:rsidR="00BB649D">
              <w:rPr>
                <w:noProof/>
                <w:webHidden/>
              </w:rPr>
              <w:instrText xml:space="preserve"> PAGEREF _Toc482185427 \h </w:instrText>
            </w:r>
            <w:r w:rsidR="00BB649D">
              <w:rPr>
                <w:noProof/>
                <w:webHidden/>
              </w:rPr>
            </w:r>
            <w:r w:rsidR="00BB649D">
              <w:rPr>
                <w:noProof/>
                <w:webHidden/>
              </w:rPr>
              <w:fldChar w:fldCharType="separate"/>
            </w:r>
            <w:r w:rsidR="00BB649D">
              <w:rPr>
                <w:noProof/>
                <w:webHidden/>
              </w:rPr>
              <w:t>7</w:t>
            </w:r>
            <w:r w:rsidR="00BB649D">
              <w:rPr>
                <w:noProof/>
                <w:webHidden/>
              </w:rPr>
              <w:fldChar w:fldCharType="end"/>
            </w:r>
          </w:hyperlink>
        </w:p>
        <w:p w14:paraId="2327808C"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28" w:history="1">
            <w:r w:rsidR="00BB649D" w:rsidRPr="00EF76A2">
              <w:rPr>
                <w:rStyle w:val="Hyperlink"/>
                <w:noProof/>
              </w:rPr>
              <w:t>Assessment of ASYCER for use as the GeNS</w:t>
            </w:r>
            <w:r w:rsidR="00BB649D">
              <w:rPr>
                <w:noProof/>
                <w:webHidden/>
              </w:rPr>
              <w:tab/>
            </w:r>
            <w:r w:rsidR="00BB649D">
              <w:rPr>
                <w:noProof/>
                <w:webHidden/>
              </w:rPr>
              <w:fldChar w:fldCharType="begin"/>
            </w:r>
            <w:r w:rsidR="00BB649D">
              <w:rPr>
                <w:noProof/>
                <w:webHidden/>
              </w:rPr>
              <w:instrText xml:space="preserve"> PAGEREF _Toc482185428 \h </w:instrText>
            </w:r>
            <w:r w:rsidR="00BB649D">
              <w:rPr>
                <w:noProof/>
                <w:webHidden/>
              </w:rPr>
            </w:r>
            <w:r w:rsidR="00BB649D">
              <w:rPr>
                <w:noProof/>
                <w:webHidden/>
              </w:rPr>
              <w:fldChar w:fldCharType="separate"/>
            </w:r>
            <w:r w:rsidR="00BB649D">
              <w:rPr>
                <w:noProof/>
                <w:webHidden/>
              </w:rPr>
              <w:t>9</w:t>
            </w:r>
            <w:r w:rsidR="00BB649D">
              <w:rPr>
                <w:noProof/>
                <w:webHidden/>
              </w:rPr>
              <w:fldChar w:fldCharType="end"/>
            </w:r>
          </w:hyperlink>
        </w:p>
        <w:p w14:paraId="3D7B3C33"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29" w:history="1">
            <w:r w:rsidR="00BB649D" w:rsidRPr="00EF76A2">
              <w:rPr>
                <w:rStyle w:val="Hyperlink"/>
                <w:noProof/>
              </w:rPr>
              <w:t>Harmonisation of phytosanitary data elements</w:t>
            </w:r>
            <w:r w:rsidR="00BB649D">
              <w:rPr>
                <w:noProof/>
                <w:webHidden/>
              </w:rPr>
              <w:tab/>
            </w:r>
            <w:r w:rsidR="00BB649D">
              <w:rPr>
                <w:noProof/>
                <w:webHidden/>
              </w:rPr>
              <w:fldChar w:fldCharType="begin"/>
            </w:r>
            <w:r w:rsidR="00BB649D">
              <w:rPr>
                <w:noProof/>
                <w:webHidden/>
              </w:rPr>
              <w:instrText xml:space="preserve"> PAGEREF _Toc482185429 \h </w:instrText>
            </w:r>
            <w:r w:rsidR="00BB649D">
              <w:rPr>
                <w:noProof/>
                <w:webHidden/>
              </w:rPr>
            </w:r>
            <w:r w:rsidR="00BB649D">
              <w:rPr>
                <w:noProof/>
                <w:webHidden/>
              </w:rPr>
              <w:fldChar w:fldCharType="separate"/>
            </w:r>
            <w:r w:rsidR="00BB649D">
              <w:rPr>
                <w:noProof/>
                <w:webHidden/>
              </w:rPr>
              <w:t>10</w:t>
            </w:r>
            <w:r w:rsidR="00BB649D">
              <w:rPr>
                <w:noProof/>
                <w:webHidden/>
              </w:rPr>
              <w:fldChar w:fldCharType="end"/>
            </w:r>
          </w:hyperlink>
        </w:p>
        <w:p w14:paraId="3BC132FD"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30" w:history="1">
            <w:r w:rsidR="00BB649D" w:rsidRPr="00EF76A2">
              <w:rPr>
                <w:rStyle w:val="Hyperlink"/>
                <w:noProof/>
              </w:rPr>
              <w:t>Inter-agency collaboration</w:t>
            </w:r>
            <w:r w:rsidR="00BB649D">
              <w:rPr>
                <w:noProof/>
                <w:webHidden/>
              </w:rPr>
              <w:tab/>
            </w:r>
            <w:r w:rsidR="00BB649D">
              <w:rPr>
                <w:noProof/>
                <w:webHidden/>
              </w:rPr>
              <w:fldChar w:fldCharType="begin"/>
            </w:r>
            <w:r w:rsidR="00BB649D">
              <w:rPr>
                <w:noProof/>
                <w:webHidden/>
              </w:rPr>
              <w:instrText xml:space="preserve"> PAGEREF _Toc482185430 \h </w:instrText>
            </w:r>
            <w:r w:rsidR="00BB649D">
              <w:rPr>
                <w:noProof/>
                <w:webHidden/>
              </w:rPr>
            </w:r>
            <w:r w:rsidR="00BB649D">
              <w:rPr>
                <w:noProof/>
                <w:webHidden/>
              </w:rPr>
              <w:fldChar w:fldCharType="separate"/>
            </w:r>
            <w:r w:rsidR="00BB649D">
              <w:rPr>
                <w:noProof/>
                <w:webHidden/>
              </w:rPr>
              <w:t>11</w:t>
            </w:r>
            <w:r w:rsidR="00BB649D">
              <w:rPr>
                <w:noProof/>
                <w:webHidden/>
              </w:rPr>
              <w:fldChar w:fldCharType="end"/>
            </w:r>
          </w:hyperlink>
        </w:p>
        <w:p w14:paraId="7DCDF22B"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31" w:history="1">
            <w:r w:rsidR="00BB649D" w:rsidRPr="00EF76A2">
              <w:rPr>
                <w:rStyle w:val="Hyperlink"/>
                <w:noProof/>
              </w:rPr>
              <w:t>Development of the funding strategy</w:t>
            </w:r>
            <w:r w:rsidR="00BB649D">
              <w:rPr>
                <w:noProof/>
                <w:webHidden/>
              </w:rPr>
              <w:tab/>
            </w:r>
            <w:r w:rsidR="00BB649D">
              <w:rPr>
                <w:noProof/>
                <w:webHidden/>
              </w:rPr>
              <w:fldChar w:fldCharType="begin"/>
            </w:r>
            <w:r w:rsidR="00BB649D">
              <w:rPr>
                <w:noProof/>
                <w:webHidden/>
              </w:rPr>
              <w:instrText xml:space="preserve"> PAGEREF _Toc482185431 \h </w:instrText>
            </w:r>
            <w:r w:rsidR="00BB649D">
              <w:rPr>
                <w:noProof/>
                <w:webHidden/>
              </w:rPr>
            </w:r>
            <w:r w:rsidR="00BB649D">
              <w:rPr>
                <w:noProof/>
                <w:webHidden/>
              </w:rPr>
              <w:fldChar w:fldCharType="separate"/>
            </w:r>
            <w:r w:rsidR="00BB649D">
              <w:rPr>
                <w:noProof/>
                <w:webHidden/>
              </w:rPr>
              <w:t>11</w:t>
            </w:r>
            <w:r w:rsidR="00BB649D">
              <w:rPr>
                <w:noProof/>
                <w:webHidden/>
              </w:rPr>
              <w:fldChar w:fldCharType="end"/>
            </w:r>
          </w:hyperlink>
        </w:p>
        <w:p w14:paraId="60D048CA"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32" w:history="1">
            <w:r w:rsidR="00BB649D" w:rsidRPr="00EF76A2">
              <w:rPr>
                <w:rStyle w:val="Hyperlink"/>
                <w:noProof/>
              </w:rPr>
              <w:t>2017 - Year of Trade Facilitation</w:t>
            </w:r>
            <w:r w:rsidR="00BB649D">
              <w:rPr>
                <w:noProof/>
                <w:webHidden/>
              </w:rPr>
              <w:tab/>
            </w:r>
            <w:r w:rsidR="00BB649D">
              <w:rPr>
                <w:noProof/>
                <w:webHidden/>
              </w:rPr>
              <w:fldChar w:fldCharType="begin"/>
            </w:r>
            <w:r w:rsidR="00BB649D">
              <w:rPr>
                <w:noProof/>
                <w:webHidden/>
              </w:rPr>
              <w:instrText xml:space="preserve"> PAGEREF _Toc482185432 \h </w:instrText>
            </w:r>
            <w:r w:rsidR="00BB649D">
              <w:rPr>
                <w:noProof/>
                <w:webHidden/>
              </w:rPr>
            </w:r>
            <w:r w:rsidR="00BB649D">
              <w:rPr>
                <w:noProof/>
                <w:webHidden/>
              </w:rPr>
              <w:fldChar w:fldCharType="separate"/>
            </w:r>
            <w:r w:rsidR="00BB649D">
              <w:rPr>
                <w:noProof/>
                <w:webHidden/>
              </w:rPr>
              <w:t>12</w:t>
            </w:r>
            <w:r w:rsidR="00BB649D">
              <w:rPr>
                <w:noProof/>
                <w:webHidden/>
              </w:rPr>
              <w:fldChar w:fldCharType="end"/>
            </w:r>
          </w:hyperlink>
        </w:p>
        <w:p w14:paraId="31856040"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33" w:history="1">
            <w:r w:rsidR="00BB649D" w:rsidRPr="00EF76A2">
              <w:rPr>
                <w:rStyle w:val="Hyperlink"/>
                <w:noProof/>
              </w:rPr>
              <w:t>Forward work plan – 2017/18</w:t>
            </w:r>
            <w:r w:rsidR="00BB649D">
              <w:rPr>
                <w:noProof/>
                <w:webHidden/>
              </w:rPr>
              <w:tab/>
            </w:r>
            <w:r w:rsidR="00BB649D">
              <w:rPr>
                <w:noProof/>
                <w:webHidden/>
              </w:rPr>
              <w:fldChar w:fldCharType="begin"/>
            </w:r>
            <w:r w:rsidR="00BB649D">
              <w:rPr>
                <w:noProof/>
                <w:webHidden/>
              </w:rPr>
              <w:instrText xml:space="preserve"> PAGEREF _Toc482185433 \h </w:instrText>
            </w:r>
            <w:r w:rsidR="00BB649D">
              <w:rPr>
                <w:noProof/>
                <w:webHidden/>
              </w:rPr>
            </w:r>
            <w:r w:rsidR="00BB649D">
              <w:rPr>
                <w:noProof/>
                <w:webHidden/>
              </w:rPr>
              <w:fldChar w:fldCharType="separate"/>
            </w:r>
            <w:r w:rsidR="00BB649D">
              <w:rPr>
                <w:noProof/>
                <w:webHidden/>
              </w:rPr>
              <w:t>12</w:t>
            </w:r>
            <w:r w:rsidR="00BB649D">
              <w:rPr>
                <w:noProof/>
                <w:webHidden/>
              </w:rPr>
              <w:fldChar w:fldCharType="end"/>
            </w:r>
          </w:hyperlink>
        </w:p>
        <w:p w14:paraId="64CA3C2F"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34" w:history="1">
            <w:r w:rsidR="00BB649D" w:rsidRPr="00EF76A2">
              <w:rPr>
                <w:rStyle w:val="Hyperlink"/>
                <w:noProof/>
              </w:rPr>
              <w:t>PTC/ESG meetings</w:t>
            </w:r>
            <w:r w:rsidR="00BB649D">
              <w:rPr>
                <w:noProof/>
                <w:webHidden/>
              </w:rPr>
              <w:tab/>
            </w:r>
            <w:r w:rsidR="00BB649D">
              <w:rPr>
                <w:noProof/>
                <w:webHidden/>
              </w:rPr>
              <w:fldChar w:fldCharType="begin"/>
            </w:r>
            <w:r w:rsidR="00BB649D">
              <w:rPr>
                <w:noProof/>
                <w:webHidden/>
              </w:rPr>
              <w:instrText xml:space="preserve"> PAGEREF _Toc482185434 \h </w:instrText>
            </w:r>
            <w:r w:rsidR="00BB649D">
              <w:rPr>
                <w:noProof/>
                <w:webHidden/>
              </w:rPr>
            </w:r>
            <w:r w:rsidR="00BB649D">
              <w:rPr>
                <w:noProof/>
                <w:webHidden/>
              </w:rPr>
              <w:fldChar w:fldCharType="separate"/>
            </w:r>
            <w:r w:rsidR="00BB649D">
              <w:rPr>
                <w:noProof/>
                <w:webHidden/>
              </w:rPr>
              <w:t>12</w:t>
            </w:r>
            <w:r w:rsidR="00BB649D">
              <w:rPr>
                <w:noProof/>
                <w:webHidden/>
              </w:rPr>
              <w:fldChar w:fldCharType="end"/>
            </w:r>
          </w:hyperlink>
        </w:p>
        <w:p w14:paraId="3D73B51C"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35" w:history="1">
            <w:r w:rsidR="00BB649D" w:rsidRPr="00EF76A2">
              <w:rPr>
                <w:rStyle w:val="Hyperlink"/>
                <w:noProof/>
              </w:rPr>
              <w:t>Annex 1 – Meeting agenda</w:t>
            </w:r>
            <w:r w:rsidR="00BB649D">
              <w:rPr>
                <w:noProof/>
                <w:webHidden/>
              </w:rPr>
              <w:tab/>
            </w:r>
            <w:r w:rsidR="00BB649D">
              <w:rPr>
                <w:noProof/>
                <w:webHidden/>
              </w:rPr>
              <w:fldChar w:fldCharType="begin"/>
            </w:r>
            <w:r w:rsidR="00BB649D">
              <w:rPr>
                <w:noProof/>
                <w:webHidden/>
              </w:rPr>
              <w:instrText xml:space="preserve"> PAGEREF _Toc482185435 \h </w:instrText>
            </w:r>
            <w:r w:rsidR="00BB649D">
              <w:rPr>
                <w:noProof/>
                <w:webHidden/>
              </w:rPr>
            </w:r>
            <w:r w:rsidR="00BB649D">
              <w:rPr>
                <w:noProof/>
                <w:webHidden/>
              </w:rPr>
              <w:fldChar w:fldCharType="separate"/>
            </w:r>
            <w:r w:rsidR="00BB649D">
              <w:rPr>
                <w:noProof/>
                <w:webHidden/>
              </w:rPr>
              <w:t>13</w:t>
            </w:r>
            <w:r w:rsidR="00BB649D">
              <w:rPr>
                <w:noProof/>
                <w:webHidden/>
              </w:rPr>
              <w:fldChar w:fldCharType="end"/>
            </w:r>
          </w:hyperlink>
        </w:p>
        <w:p w14:paraId="1AF7CB71"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36" w:history="1">
            <w:r w:rsidR="00BB649D" w:rsidRPr="00EF76A2">
              <w:rPr>
                <w:rStyle w:val="Hyperlink"/>
                <w:noProof/>
              </w:rPr>
              <w:t>Annex 2 – Hub Evaluation Criteria</w:t>
            </w:r>
            <w:r w:rsidR="00BB649D">
              <w:rPr>
                <w:noProof/>
                <w:webHidden/>
              </w:rPr>
              <w:tab/>
            </w:r>
            <w:r w:rsidR="00BB649D">
              <w:rPr>
                <w:noProof/>
                <w:webHidden/>
              </w:rPr>
              <w:fldChar w:fldCharType="begin"/>
            </w:r>
            <w:r w:rsidR="00BB649D">
              <w:rPr>
                <w:noProof/>
                <w:webHidden/>
              </w:rPr>
              <w:instrText xml:space="preserve"> PAGEREF _Toc482185436 \h </w:instrText>
            </w:r>
            <w:r w:rsidR="00BB649D">
              <w:rPr>
                <w:noProof/>
                <w:webHidden/>
              </w:rPr>
            </w:r>
            <w:r w:rsidR="00BB649D">
              <w:rPr>
                <w:noProof/>
                <w:webHidden/>
              </w:rPr>
              <w:fldChar w:fldCharType="separate"/>
            </w:r>
            <w:r w:rsidR="00BB649D">
              <w:rPr>
                <w:noProof/>
                <w:webHidden/>
              </w:rPr>
              <w:t>16</w:t>
            </w:r>
            <w:r w:rsidR="00BB649D">
              <w:rPr>
                <w:noProof/>
                <w:webHidden/>
              </w:rPr>
              <w:fldChar w:fldCharType="end"/>
            </w:r>
          </w:hyperlink>
        </w:p>
        <w:p w14:paraId="2F44607B"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37" w:history="1">
            <w:r w:rsidR="00BB649D" w:rsidRPr="00EF76A2">
              <w:rPr>
                <w:rStyle w:val="Hyperlink"/>
                <w:noProof/>
              </w:rPr>
              <w:t>Annex 3 – Criteria for the evaluation of ASYCER</w:t>
            </w:r>
            <w:r w:rsidR="00BB649D">
              <w:rPr>
                <w:noProof/>
                <w:webHidden/>
              </w:rPr>
              <w:tab/>
            </w:r>
            <w:r w:rsidR="00BB649D">
              <w:rPr>
                <w:noProof/>
                <w:webHidden/>
              </w:rPr>
              <w:fldChar w:fldCharType="begin"/>
            </w:r>
            <w:r w:rsidR="00BB649D">
              <w:rPr>
                <w:noProof/>
                <w:webHidden/>
              </w:rPr>
              <w:instrText xml:space="preserve"> PAGEREF _Toc482185437 \h </w:instrText>
            </w:r>
            <w:r w:rsidR="00BB649D">
              <w:rPr>
                <w:noProof/>
                <w:webHidden/>
              </w:rPr>
            </w:r>
            <w:r w:rsidR="00BB649D">
              <w:rPr>
                <w:noProof/>
                <w:webHidden/>
              </w:rPr>
              <w:fldChar w:fldCharType="separate"/>
            </w:r>
            <w:r w:rsidR="00BB649D">
              <w:rPr>
                <w:noProof/>
                <w:webHidden/>
              </w:rPr>
              <w:t>18</w:t>
            </w:r>
            <w:r w:rsidR="00BB649D">
              <w:rPr>
                <w:noProof/>
                <w:webHidden/>
              </w:rPr>
              <w:fldChar w:fldCharType="end"/>
            </w:r>
          </w:hyperlink>
        </w:p>
        <w:p w14:paraId="6D360B86" w14:textId="77777777" w:rsidR="00BB649D" w:rsidRDefault="00E86517">
          <w:pPr>
            <w:pStyle w:val="TOC1"/>
            <w:rPr>
              <w:rFonts w:asciiTheme="minorHAnsi" w:eastAsiaTheme="minorEastAsia" w:hAnsiTheme="minorHAnsi" w:cstheme="minorBidi"/>
              <w:noProof/>
              <w:sz w:val="22"/>
              <w:szCs w:val="22"/>
              <w:lang w:val="en-CA" w:eastAsia="en-CA"/>
            </w:rPr>
          </w:pPr>
          <w:hyperlink w:anchor="_Toc482185438" w:history="1">
            <w:r w:rsidR="00BB649D" w:rsidRPr="00EF76A2">
              <w:rPr>
                <w:rStyle w:val="Hyperlink"/>
                <w:noProof/>
              </w:rPr>
              <w:t>Annex 4 – Work plan</w:t>
            </w:r>
            <w:r w:rsidR="00BB649D">
              <w:rPr>
                <w:noProof/>
                <w:webHidden/>
              </w:rPr>
              <w:tab/>
            </w:r>
            <w:r w:rsidR="00BB649D">
              <w:rPr>
                <w:noProof/>
                <w:webHidden/>
              </w:rPr>
              <w:fldChar w:fldCharType="begin"/>
            </w:r>
            <w:r w:rsidR="00BB649D">
              <w:rPr>
                <w:noProof/>
                <w:webHidden/>
              </w:rPr>
              <w:instrText xml:space="preserve"> PAGEREF _Toc482185438 \h </w:instrText>
            </w:r>
            <w:r w:rsidR="00BB649D">
              <w:rPr>
                <w:noProof/>
                <w:webHidden/>
              </w:rPr>
            </w:r>
            <w:r w:rsidR="00BB649D">
              <w:rPr>
                <w:noProof/>
                <w:webHidden/>
              </w:rPr>
              <w:fldChar w:fldCharType="separate"/>
            </w:r>
            <w:r w:rsidR="00BB649D">
              <w:rPr>
                <w:noProof/>
                <w:webHidden/>
              </w:rPr>
              <w:t>21</w:t>
            </w:r>
            <w:r w:rsidR="00BB649D">
              <w:rPr>
                <w:noProof/>
                <w:webHidden/>
              </w:rPr>
              <w:fldChar w:fldCharType="end"/>
            </w:r>
          </w:hyperlink>
        </w:p>
        <w:p w14:paraId="5F8A6D0A" w14:textId="4B65AFD4" w:rsidR="005C2D1E" w:rsidRDefault="005C2D1E" w:rsidP="00285774">
          <w:pPr>
            <w:jc w:val="both"/>
          </w:pPr>
          <w:r>
            <w:rPr>
              <w:b/>
              <w:bCs/>
              <w:noProof/>
            </w:rPr>
            <w:fldChar w:fldCharType="end"/>
          </w:r>
        </w:p>
      </w:sdtContent>
    </w:sdt>
    <w:p w14:paraId="77B42C8D" w14:textId="77777777" w:rsidR="00496722" w:rsidRDefault="00496722">
      <w:pPr>
        <w:spacing w:after="0"/>
        <w:rPr>
          <w:rFonts w:eastAsiaTheme="majorEastAsia" w:cstheme="majorBidi"/>
          <w:b/>
          <w:bCs/>
          <w:kern w:val="32"/>
          <w:szCs w:val="32"/>
        </w:rPr>
      </w:pPr>
      <w:r>
        <w:br w:type="page"/>
      </w:r>
    </w:p>
    <w:p w14:paraId="1FB8793B" w14:textId="77D31406" w:rsidR="002E276F" w:rsidRDefault="002E276F" w:rsidP="00285774">
      <w:pPr>
        <w:pStyle w:val="Heading1"/>
        <w:jc w:val="both"/>
      </w:pPr>
      <w:bookmarkStart w:id="0" w:name="_Toc482185416"/>
      <w:r>
        <w:lastRenderedPageBreak/>
        <w:t>Participants</w:t>
      </w:r>
      <w:bookmarkEnd w:id="0"/>
    </w:p>
    <w:p w14:paraId="030F909F" w14:textId="77777777" w:rsidR="00320873" w:rsidRDefault="00320873" w:rsidP="00285774">
      <w:pPr>
        <w:spacing w:after="0"/>
        <w:jc w:val="both"/>
        <w:rPr>
          <w:lang w:val="en-CA"/>
        </w:rPr>
        <w:sectPr w:rsidR="00320873" w:rsidSect="00F340CD">
          <w:headerReference w:type="even" r:id="rId8"/>
          <w:headerReference w:type="default" r:id="rId9"/>
          <w:footerReference w:type="even" r:id="rId10"/>
          <w:footerReference w:type="default" r:id="rId11"/>
          <w:headerReference w:type="first" r:id="rId12"/>
          <w:pgSz w:w="11907" w:h="16840" w:code="9"/>
          <w:pgMar w:top="722" w:right="1134" w:bottom="964" w:left="1134" w:header="709" w:footer="709" w:gutter="0"/>
          <w:cols w:space="708"/>
          <w:docGrid w:linePitch="360"/>
        </w:sectPr>
      </w:pPr>
    </w:p>
    <w:p w14:paraId="072BE27B" w14:textId="77777777" w:rsidR="002E276F" w:rsidRPr="002E276F" w:rsidRDefault="002E276F" w:rsidP="00285774">
      <w:pPr>
        <w:spacing w:after="0"/>
        <w:jc w:val="both"/>
        <w:rPr>
          <w:lang w:val="en-CA"/>
        </w:rPr>
      </w:pPr>
      <w:r w:rsidRPr="002E276F">
        <w:rPr>
          <w:lang w:val="en-CA"/>
        </w:rPr>
        <w:t xml:space="preserve">Walter </w:t>
      </w:r>
      <w:proofErr w:type="spellStart"/>
      <w:r w:rsidRPr="002E276F">
        <w:rPr>
          <w:lang w:val="en-CA"/>
        </w:rPr>
        <w:t>Alessandrini</w:t>
      </w:r>
      <w:proofErr w:type="spellEnd"/>
      <w:r w:rsidRPr="002E276F">
        <w:rPr>
          <w:lang w:val="en-CA"/>
        </w:rPr>
        <w:t>, AR (South America)</w:t>
      </w:r>
    </w:p>
    <w:p w14:paraId="399C3D70" w14:textId="77777777" w:rsidR="002E276F" w:rsidRPr="002E276F" w:rsidRDefault="002E276F" w:rsidP="00285774">
      <w:pPr>
        <w:spacing w:after="0"/>
        <w:jc w:val="both"/>
        <w:rPr>
          <w:lang w:val="en-CA"/>
        </w:rPr>
      </w:pPr>
      <w:proofErr w:type="spellStart"/>
      <w:r w:rsidRPr="002E276F">
        <w:rPr>
          <w:lang w:val="en-CA"/>
        </w:rPr>
        <w:t>Maoyu</w:t>
      </w:r>
      <w:proofErr w:type="spellEnd"/>
      <w:r w:rsidRPr="002E276F">
        <w:rPr>
          <w:lang w:val="en-CA"/>
        </w:rPr>
        <w:t xml:space="preserve"> Chen, CN (Asia)</w:t>
      </w:r>
    </w:p>
    <w:p w14:paraId="39EDB75D" w14:textId="77777777" w:rsidR="002E276F" w:rsidRPr="002E276F" w:rsidRDefault="002E276F" w:rsidP="00285774">
      <w:pPr>
        <w:spacing w:after="0"/>
        <w:jc w:val="both"/>
        <w:rPr>
          <w:lang w:val="en-CA"/>
        </w:rPr>
      </w:pPr>
      <w:r w:rsidRPr="002E276F">
        <w:rPr>
          <w:lang w:val="en-CA"/>
        </w:rPr>
        <w:t>Christian Dellis</w:t>
      </w:r>
      <w:r w:rsidR="00320873">
        <w:rPr>
          <w:lang w:val="en-CA"/>
        </w:rPr>
        <w:t>,</w:t>
      </w:r>
      <w:r w:rsidRPr="002E276F">
        <w:rPr>
          <w:lang w:val="en-CA"/>
        </w:rPr>
        <w:t xml:space="preserve"> US (North America)</w:t>
      </w:r>
    </w:p>
    <w:p w14:paraId="6FA0327D" w14:textId="77777777" w:rsidR="002E276F" w:rsidRDefault="002E276F" w:rsidP="00285774">
      <w:pPr>
        <w:spacing w:after="0"/>
        <w:jc w:val="both"/>
      </w:pPr>
      <w:r>
        <w:t xml:space="preserve">Erik </w:t>
      </w:r>
      <w:proofErr w:type="spellStart"/>
      <w:r>
        <w:t>Bosker</w:t>
      </w:r>
      <w:proofErr w:type="spellEnd"/>
      <w:r w:rsidR="00320873">
        <w:t>,</w:t>
      </w:r>
      <w:r>
        <w:t xml:space="preserve"> CODEX, CCFICS</w:t>
      </w:r>
    </w:p>
    <w:p w14:paraId="6FBDDF17" w14:textId="77777777" w:rsidR="002E276F" w:rsidRDefault="00952AFA" w:rsidP="00285774">
      <w:pPr>
        <w:spacing w:after="0"/>
        <w:jc w:val="both"/>
      </w:pPr>
      <w:r>
        <w:t xml:space="preserve">Craig Fedchock, </w:t>
      </w:r>
      <w:r w:rsidR="002E276F">
        <w:t>IPPC Secretariat</w:t>
      </w:r>
    </w:p>
    <w:p w14:paraId="622474F5" w14:textId="7937CB73" w:rsidR="002E276F" w:rsidRDefault="002E276F" w:rsidP="00285774">
      <w:pPr>
        <w:spacing w:after="0"/>
        <w:jc w:val="both"/>
      </w:pPr>
      <w:r>
        <w:t>Nico Horn</w:t>
      </w:r>
      <w:r w:rsidR="00952AFA">
        <w:t>,</w:t>
      </w:r>
      <w:r>
        <w:t xml:space="preserve"> N</w:t>
      </w:r>
      <w:r w:rsidR="00011848">
        <w:t>L</w:t>
      </w:r>
      <w:r>
        <w:t xml:space="preserve"> (Europe)</w:t>
      </w:r>
    </w:p>
    <w:p w14:paraId="2BA7C1BB" w14:textId="77777777" w:rsidR="002E276F" w:rsidRPr="002E276F" w:rsidRDefault="002E276F" w:rsidP="00285774">
      <w:pPr>
        <w:spacing w:after="0"/>
        <w:jc w:val="both"/>
        <w:rPr>
          <w:lang w:val="en-CA"/>
        </w:rPr>
      </w:pPr>
      <w:proofErr w:type="spellStart"/>
      <w:r w:rsidRPr="002E276F">
        <w:rPr>
          <w:lang w:val="en-CA"/>
        </w:rPr>
        <w:t>Kenza</w:t>
      </w:r>
      <w:proofErr w:type="spellEnd"/>
      <w:r w:rsidRPr="002E276F">
        <w:rPr>
          <w:lang w:val="en-CA"/>
        </w:rPr>
        <w:t xml:space="preserve"> Le </w:t>
      </w:r>
      <w:proofErr w:type="spellStart"/>
      <w:r w:rsidRPr="002E276F">
        <w:rPr>
          <w:lang w:val="en-CA"/>
        </w:rPr>
        <w:t>Mentec</w:t>
      </w:r>
      <w:proofErr w:type="spellEnd"/>
      <w:r w:rsidR="00952AFA">
        <w:rPr>
          <w:lang w:val="en-CA"/>
        </w:rPr>
        <w:t>,</w:t>
      </w:r>
      <w:r w:rsidR="00320873">
        <w:rPr>
          <w:lang w:val="en-CA"/>
        </w:rPr>
        <w:t xml:space="preserve"> </w:t>
      </w:r>
      <w:r>
        <w:rPr>
          <w:lang w:val="en-CA"/>
        </w:rPr>
        <w:t>STDF</w:t>
      </w:r>
    </w:p>
    <w:p w14:paraId="5DBFFDE5" w14:textId="426CBA13" w:rsidR="002E276F" w:rsidRPr="002E276F" w:rsidRDefault="002E276F" w:rsidP="00285774">
      <w:pPr>
        <w:spacing w:after="0"/>
        <w:jc w:val="both"/>
        <w:rPr>
          <w:lang w:val="en-CA"/>
        </w:rPr>
      </w:pPr>
      <w:proofErr w:type="spellStart"/>
      <w:r w:rsidRPr="002E276F">
        <w:rPr>
          <w:lang w:val="en-CA"/>
        </w:rPr>
        <w:t>Younes</w:t>
      </w:r>
      <w:proofErr w:type="spellEnd"/>
      <w:r w:rsidRPr="002E276F">
        <w:rPr>
          <w:lang w:val="en-CA"/>
        </w:rPr>
        <w:t xml:space="preserve"> </w:t>
      </w:r>
      <w:proofErr w:type="spellStart"/>
      <w:r w:rsidRPr="002E276F">
        <w:rPr>
          <w:lang w:val="en-CA"/>
        </w:rPr>
        <w:t>K</w:t>
      </w:r>
      <w:r w:rsidR="00011848">
        <w:rPr>
          <w:lang w:val="en-CA"/>
        </w:rPr>
        <w:t>a</w:t>
      </w:r>
      <w:r w:rsidRPr="002E276F">
        <w:rPr>
          <w:lang w:val="en-CA"/>
        </w:rPr>
        <w:t>bbab</w:t>
      </w:r>
      <w:proofErr w:type="spellEnd"/>
      <w:r>
        <w:rPr>
          <w:lang w:val="en-CA"/>
        </w:rPr>
        <w:t xml:space="preserve"> M</w:t>
      </w:r>
      <w:r w:rsidR="00011848">
        <w:rPr>
          <w:lang w:val="en-CA"/>
        </w:rPr>
        <w:t>A</w:t>
      </w:r>
      <w:r>
        <w:rPr>
          <w:lang w:val="en-CA"/>
        </w:rPr>
        <w:t xml:space="preserve"> (Near East)</w:t>
      </w:r>
    </w:p>
    <w:p w14:paraId="297C27AA" w14:textId="77777777" w:rsidR="002E276F" w:rsidRPr="00320873" w:rsidRDefault="002E276F" w:rsidP="00285774">
      <w:pPr>
        <w:spacing w:after="0"/>
        <w:jc w:val="both"/>
        <w:rPr>
          <w:lang w:val="fr-FR"/>
        </w:rPr>
      </w:pPr>
      <w:r w:rsidRPr="00320873">
        <w:rPr>
          <w:lang w:val="fr-FR"/>
        </w:rPr>
        <w:t>Peter Neimanis (Chair) AU (</w:t>
      </w:r>
      <w:r w:rsidR="00320873" w:rsidRPr="00320873">
        <w:rPr>
          <w:lang w:val="fr-FR"/>
        </w:rPr>
        <w:t>Pacific)</w:t>
      </w:r>
    </w:p>
    <w:p w14:paraId="1B0A66B3" w14:textId="77777777" w:rsidR="002E276F" w:rsidRDefault="002E276F" w:rsidP="00285774">
      <w:pPr>
        <w:spacing w:after="0"/>
        <w:jc w:val="both"/>
      </w:pPr>
      <w:proofErr w:type="spellStart"/>
      <w:r>
        <w:t>Gianluca</w:t>
      </w:r>
      <w:proofErr w:type="spellEnd"/>
      <w:r w:rsidRPr="002E276F">
        <w:t xml:space="preserve"> </w:t>
      </w:r>
      <w:proofErr w:type="spellStart"/>
      <w:r>
        <w:t>Nuzzo</w:t>
      </w:r>
      <w:proofErr w:type="spellEnd"/>
      <w:r w:rsidR="00320873">
        <w:t>, UNICC</w:t>
      </w:r>
    </w:p>
    <w:p w14:paraId="79128E81" w14:textId="77777777" w:rsidR="002E276F" w:rsidRDefault="002E276F" w:rsidP="00285774">
      <w:pPr>
        <w:spacing w:after="0"/>
        <w:jc w:val="both"/>
      </w:pPr>
      <w:r>
        <w:t>Simon</w:t>
      </w:r>
      <w:r w:rsidRPr="002E276F">
        <w:t xml:space="preserve"> </w:t>
      </w:r>
      <w:r>
        <w:t>Padilla</w:t>
      </w:r>
      <w:r w:rsidR="00320873">
        <w:t>, STDF</w:t>
      </w:r>
    </w:p>
    <w:p w14:paraId="57F1F4E1" w14:textId="77777777" w:rsidR="002E276F" w:rsidRDefault="002E276F" w:rsidP="00285774">
      <w:pPr>
        <w:spacing w:after="0"/>
        <w:jc w:val="both"/>
      </w:pPr>
      <w:r>
        <w:t>Shashank</w:t>
      </w:r>
      <w:r w:rsidRPr="002E276F">
        <w:t xml:space="preserve"> </w:t>
      </w:r>
      <w:r>
        <w:t>Rai</w:t>
      </w:r>
      <w:r w:rsidR="00320873">
        <w:t>, UNICC</w:t>
      </w:r>
    </w:p>
    <w:p w14:paraId="784C4C0D" w14:textId="77777777" w:rsidR="002E276F" w:rsidRDefault="002E276F" w:rsidP="00285774">
      <w:pPr>
        <w:spacing w:after="0"/>
        <w:jc w:val="both"/>
      </w:pPr>
      <w:r>
        <w:t>Shane Sela</w:t>
      </w:r>
      <w:r w:rsidR="00320873">
        <w:t>, IPPC</w:t>
      </w:r>
    </w:p>
    <w:p w14:paraId="220E99A4" w14:textId="77777777" w:rsidR="002E276F" w:rsidRPr="002E276F" w:rsidRDefault="002E276F" w:rsidP="00285774">
      <w:pPr>
        <w:spacing w:after="0"/>
        <w:jc w:val="both"/>
        <w:rPr>
          <w:lang w:val="en-CA"/>
        </w:rPr>
      </w:pPr>
      <w:r w:rsidRPr="002E276F">
        <w:rPr>
          <w:lang w:val="en-CA"/>
        </w:rPr>
        <w:t>Josiah Syanda</w:t>
      </w:r>
      <w:r w:rsidR="00320873">
        <w:rPr>
          <w:lang w:val="en-CA"/>
        </w:rPr>
        <w:t>, KE (Africa)</w:t>
      </w:r>
    </w:p>
    <w:p w14:paraId="2528F96D" w14:textId="77777777" w:rsidR="002E276F" w:rsidRPr="002E276F" w:rsidRDefault="002E276F" w:rsidP="00285774">
      <w:pPr>
        <w:spacing w:after="0"/>
        <w:jc w:val="both"/>
        <w:rPr>
          <w:lang w:val="en-CA"/>
        </w:rPr>
      </w:pPr>
      <w:proofErr w:type="spellStart"/>
      <w:r w:rsidRPr="002E276F">
        <w:rPr>
          <w:lang w:val="en-CA"/>
        </w:rPr>
        <w:t>Venkatram</w:t>
      </w:r>
      <w:proofErr w:type="spellEnd"/>
      <w:r w:rsidRPr="002E276F">
        <w:rPr>
          <w:lang w:val="en-CA"/>
        </w:rPr>
        <w:t xml:space="preserve"> </w:t>
      </w:r>
      <w:proofErr w:type="spellStart"/>
      <w:r w:rsidRPr="002E276F">
        <w:rPr>
          <w:lang w:val="en-CA"/>
        </w:rPr>
        <w:t>Venkateswaran</w:t>
      </w:r>
      <w:proofErr w:type="spellEnd"/>
      <w:r w:rsidR="00320873">
        <w:rPr>
          <w:lang w:val="en-CA"/>
        </w:rPr>
        <w:t>, UNICC</w:t>
      </w:r>
    </w:p>
    <w:p w14:paraId="2FF5A410" w14:textId="77777777" w:rsidR="00320873" w:rsidRDefault="00320873" w:rsidP="00285774">
      <w:pPr>
        <w:pStyle w:val="Heading1"/>
        <w:jc w:val="both"/>
        <w:sectPr w:rsidR="00320873" w:rsidSect="00320873">
          <w:type w:val="continuous"/>
          <w:pgSz w:w="11907" w:h="16840" w:code="9"/>
          <w:pgMar w:top="722" w:right="1134" w:bottom="964" w:left="1134" w:header="709" w:footer="709" w:gutter="0"/>
          <w:cols w:num="2" w:space="708"/>
          <w:docGrid w:linePitch="360"/>
        </w:sectPr>
      </w:pPr>
    </w:p>
    <w:p w14:paraId="7DA3CF01" w14:textId="77777777" w:rsidR="00C54842" w:rsidRDefault="00C54842" w:rsidP="00285774">
      <w:pPr>
        <w:pStyle w:val="Heading1"/>
        <w:jc w:val="both"/>
      </w:pPr>
      <w:bookmarkStart w:id="1" w:name="_Toc482185417"/>
      <w:r w:rsidRPr="00C54842">
        <w:t>Welcome and introductions</w:t>
      </w:r>
      <w:bookmarkEnd w:id="1"/>
    </w:p>
    <w:p w14:paraId="1049475C" w14:textId="77777777" w:rsidR="00F23998" w:rsidRDefault="00A00DFE" w:rsidP="00285774">
      <w:pPr>
        <w:jc w:val="both"/>
      </w:pPr>
      <w:r>
        <w:t>The IPPC Secretariat opened the meeting. He thanked the meeting participants</w:t>
      </w:r>
      <w:r w:rsidR="00F23998">
        <w:t xml:space="preserve"> and the United International Computing Centre (UNICC) for attending. He noted that the meeting participants had to travel significant distances to attend and were strongly committed to advancing the ePhyto Solution. The IPPC Secretariat thanked </w:t>
      </w:r>
      <w:r>
        <w:t>the host</w:t>
      </w:r>
      <w:r w:rsidR="00F23998">
        <w:t>, the Standards and Trade Development Facility (STDF)</w:t>
      </w:r>
      <w:r>
        <w:t xml:space="preserve"> for</w:t>
      </w:r>
      <w:r w:rsidR="00F23998">
        <w:t xml:space="preserve"> the commitment to participating in the meeting and for</w:t>
      </w:r>
      <w:r>
        <w:t xml:space="preserve"> arranging the meeting location. </w:t>
      </w:r>
    </w:p>
    <w:p w14:paraId="664360C6" w14:textId="00828F8E" w:rsidR="00A00DFE" w:rsidRPr="00A00DFE" w:rsidRDefault="00A00DFE" w:rsidP="00285774">
      <w:pPr>
        <w:jc w:val="both"/>
      </w:pPr>
      <w:r>
        <w:t xml:space="preserve">The Chair remarked that this was the first </w:t>
      </w:r>
      <w:r w:rsidR="005F4BCD">
        <w:t xml:space="preserve">in person </w:t>
      </w:r>
      <w:r>
        <w:t xml:space="preserve">meeting of </w:t>
      </w:r>
      <w:r w:rsidR="005F4BCD">
        <w:t xml:space="preserve">the Project Technical Committee (PTC) and the ePhyto Steering Group (ESG) in </w:t>
      </w:r>
      <w:r>
        <w:t xml:space="preserve">2017 and that there was a lot of work to complete in getting </w:t>
      </w:r>
      <w:r w:rsidR="005F4BCD">
        <w:t xml:space="preserve">the required </w:t>
      </w:r>
      <w:r>
        <w:t xml:space="preserve">technical information finalized for advancing the development of the ePhyto Solution. He also noted that the </w:t>
      </w:r>
      <w:r w:rsidR="005F4BCD">
        <w:t>work</w:t>
      </w:r>
      <w:r w:rsidR="00F23998">
        <w:t xml:space="preserve"> </w:t>
      </w:r>
      <w:r w:rsidR="005F4BCD">
        <w:t>plan o</w:t>
      </w:r>
      <w:r w:rsidR="00F23998">
        <w:t>f</w:t>
      </w:r>
      <w:r w:rsidR="005F4BCD">
        <w:t xml:space="preserve"> the PTC/ESG needed to be thoroughly </w:t>
      </w:r>
      <w:r w:rsidR="007F7C24">
        <w:t>worked through</w:t>
      </w:r>
      <w:r w:rsidR="005F4BCD">
        <w:t xml:space="preserve"> to allow the members to more easily identify their workloads given that much of the work is completed on the sides of their desks. </w:t>
      </w:r>
    </w:p>
    <w:p w14:paraId="41E4694A" w14:textId="77777777" w:rsidR="00C54842" w:rsidRDefault="00C54842" w:rsidP="00285774">
      <w:pPr>
        <w:pStyle w:val="Heading1"/>
        <w:jc w:val="both"/>
      </w:pPr>
      <w:bookmarkStart w:id="2" w:name="_Toc482185418"/>
      <w:r w:rsidRPr="00C54842">
        <w:t>Selection of rapporteur</w:t>
      </w:r>
      <w:bookmarkEnd w:id="2"/>
    </w:p>
    <w:p w14:paraId="72A82228" w14:textId="77777777" w:rsidR="00F23998" w:rsidRPr="00F23998" w:rsidRDefault="00F23998" w:rsidP="00285774">
      <w:pPr>
        <w:jc w:val="both"/>
      </w:pPr>
      <w:r>
        <w:t xml:space="preserve">Mr. Nico Horn was acclaimed as rapporteur. The members and the Secretariat thanked Mr. Horn for stepping forward. </w:t>
      </w:r>
    </w:p>
    <w:p w14:paraId="37335669" w14:textId="77777777" w:rsidR="00C54842" w:rsidRDefault="00C54842" w:rsidP="00285774">
      <w:pPr>
        <w:pStyle w:val="Heading1"/>
        <w:jc w:val="both"/>
      </w:pPr>
      <w:bookmarkStart w:id="3" w:name="_Toc482185419"/>
      <w:r w:rsidRPr="00C54842">
        <w:t>Adoption of the agenda</w:t>
      </w:r>
      <w:bookmarkEnd w:id="3"/>
    </w:p>
    <w:p w14:paraId="4786D9FA" w14:textId="58251EFD" w:rsidR="00F23998" w:rsidRPr="00F23998" w:rsidRDefault="00F23998" w:rsidP="00285774">
      <w:pPr>
        <w:jc w:val="both"/>
      </w:pPr>
      <w:r>
        <w:t>The members reviewed the agenda</w:t>
      </w:r>
      <w:r w:rsidR="00550893">
        <w:t xml:space="preserve"> (Annex 1</w:t>
      </w:r>
      <w:r w:rsidR="003C4CC7">
        <w:t>)</w:t>
      </w:r>
      <w:r>
        <w:t xml:space="preserve">. They agreed to adjust timing of several agenda items to permit the </w:t>
      </w:r>
      <w:r w:rsidR="004F44B8">
        <w:t>UNICC</w:t>
      </w:r>
      <w:r>
        <w:t xml:space="preserve"> staff and members of the STDF to </w:t>
      </w:r>
      <w:r w:rsidR="004F44B8">
        <w:t>attend</w:t>
      </w:r>
      <w:r>
        <w:t xml:space="preserve"> </w:t>
      </w:r>
      <w:r w:rsidR="00505022">
        <w:t xml:space="preserve">other </w:t>
      </w:r>
      <w:r>
        <w:t xml:space="preserve">meetings. </w:t>
      </w:r>
    </w:p>
    <w:p w14:paraId="1B6531E0" w14:textId="77777777" w:rsidR="00C54842" w:rsidRDefault="00C54842" w:rsidP="00285774">
      <w:pPr>
        <w:pStyle w:val="Heading1"/>
        <w:jc w:val="both"/>
      </w:pPr>
      <w:bookmarkStart w:id="4" w:name="_Toc482185420"/>
      <w:r w:rsidRPr="00C54842">
        <w:t>Review of documents</w:t>
      </w:r>
      <w:bookmarkEnd w:id="4"/>
    </w:p>
    <w:p w14:paraId="143720FD" w14:textId="77777777" w:rsidR="004F44B8" w:rsidRPr="004F44B8" w:rsidRDefault="004F44B8" w:rsidP="00285774">
      <w:pPr>
        <w:jc w:val="both"/>
      </w:pPr>
      <w:r>
        <w:t>The documents list was reviewed. Most documents had been posted to the work area of the PTC, but several additional documents were provided by members in the week prior to the meeting and these had been circulated to members but had not been posted. The additional documents would be posted to the work area by the end of the meeting.</w:t>
      </w:r>
    </w:p>
    <w:p w14:paraId="21F94FBF" w14:textId="77777777" w:rsidR="00C54842" w:rsidRDefault="00C54842" w:rsidP="00285774">
      <w:pPr>
        <w:pStyle w:val="Heading1"/>
        <w:jc w:val="both"/>
      </w:pPr>
      <w:bookmarkStart w:id="5" w:name="_Toc482185421"/>
      <w:r w:rsidRPr="00C54842">
        <w:t>Terms of reference (ESG/PTC)</w:t>
      </w:r>
      <w:bookmarkEnd w:id="5"/>
    </w:p>
    <w:p w14:paraId="747510F3" w14:textId="77777777" w:rsidR="00406D55" w:rsidRDefault="00ED1C38" w:rsidP="00285774">
      <w:pPr>
        <w:jc w:val="both"/>
      </w:pPr>
      <w:r>
        <w:t>The members</w:t>
      </w:r>
      <w:r w:rsidR="00406D55">
        <w:t xml:space="preserve"> reviewed the Terms of Reference (</w:t>
      </w:r>
      <w:proofErr w:type="spellStart"/>
      <w:r w:rsidR="00406D55">
        <w:t>ToR</w:t>
      </w:r>
      <w:proofErr w:type="spellEnd"/>
      <w:r w:rsidR="00406D55">
        <w:t>) of both the PTC and ESG</w:t>
      </w:r>
      <w:r w:rsidR="0010057B">
        <w:t>.</w:t>
      </w:r>
      <w:r w:rsidR="00406D55">
        <w:t xml:space="preserve"> The IPPC Secretariat reported t</w:t>
      </w:r>
      <w:r>
        <w:t xml:space="preserve">hat the ESG </w:t>
      </w:r>
      <w:proofErr w:type="spellStart"/>
      <w:r>
        <w:t>ToR</w:t>
      </w:r>
      <w:proofErr w:type="spellEnd"/>
      <w:r>
        <w:t xml:space="preserve"> had </w:t>
      </w:r>
      <w:r w:rsidR="00406D55">
        <w:t xml:space="preserve">been reviewed by the Commission of Phytosanitary Measures (CPM) Bureau, several changes had been suggested and the </w:t>
      </w:r>
      <w:proofErr w:type="spellStart"/>
      <w:r w:rsidR="00406D55">
        <w:t>ToR</w:t>
      </w:r>
      <w:proofErr w:type="spellEnd"/>
      <w:r w:rsidR="00406D55">
        <w:t xml:space="preserve"> adjusted accordingly.</w:t>
      </w:r>
    </w:p>
    <w:p w14:paraId="4A182DD1" w14:textId="77777777" w:rsidR="00ED1C38" w:rsidRDefault="00ED1C38" w:rsidP="00285774">
      <w:pPr>
        <w:jc w:val="both"/>
      </w:pPr>
      <w:r>
        <w:t>The</w:t>
      </w:r>
      <w:r w:rsidR="00406D55">
        <w:t xml:space="preserve"> members recognized that the</w:t>
      </w:r>
      <w:r>
        <w:t xml:space="preserve"> CPM Bureau member</w:t>
      </w:r>
      <w:r w:rsidR="00406D55">
        <w:t xml:space="preserve"> of the ESG is unable to participate frequently. It was recognized that this member had a number of other important priorities in relation to the operation of the Bureau and the CPM. The members felt that it was still important</w:t>
      </w:r>
      <w:r w:rsidR="00C53920">
        <w:t xml:space="preserve"> that</w:t>
      </w:r>
      <w:r w:rsidR="00406D55">
        <w:t xml:space="preserve"> the Bureau be represented during meetings to provide both advice</w:t>
      </w:r>
      <w:r w:rsidR="00627B76">
        <w:t xml:space="preserve"> and</w:t>
      </w:r>
      <w:r w:rsidR="00406D55">
        <w:t xml:space="preserve"> governance to the </w:t>
      </w:r>
      <w:r w:rsidR="00406D55">
        <w:lastRenderedPageBreak/>
        <w:t>ESG. The members proposed that</w:t>
      </w:r>
      <w:r>
        <w:t xml:space="preserve"> the Secre</w:t>
      </w:r>
      <w:r w:rsidR="00D940D7">
        <w:t xml:space="preserve">tariat raise the participation </w:t>
      </w:r>
      <w:r>
        <w:t>o</w:t>
      </w:r>
      <w:r w:rsidR="00D940D7">
        <w:t>f</w:t>
      </w:r>
      <w:r>
        <w:t xml:space="preserve"> the Bureau</w:t>
      </w:r>
      <w:r w:rsidR="00D940D7">
        <w:t xml:space="preserve"> to the Bureau members during its next meeting in </w:t>
      </w:r>
      <w:r w:rsidR="00D940D7" w:rsidRPr="00505022">
        <w:t>Incheon</w:t>
      </w:r>
      <w:r w:rsidRPr="00505022">
        <w:t>.</w:t>
      </w:r>
      <w:r>
        <w:t xml:space="preserve"> </w:t>
      </w:r>
    </w:p>
    <w:p w14:paraId="1CA2885D" w14:textId="77777777" w:rsidR="0010057B" w:rsidRDefault="0010057B" w:rsidP="00285774">
      <w:pPr>
        <w:jc w:val="both"/>
      </w:pPr>
      <w:r>
        <w:t xml:space="preserve">The IPPC Secretariat indicated that the </w:t>
      </w:r>
      <w:proofErr w:type="spellStart"/>
      <w:r>
        <w:t>ToR</w:t>
      </w:r>
      <w:proofErr w:type="spellEnd"/>
      <w:r>
        <w:t xml:space="preserve"> of the PTC had not been changed since previously being reviewed by the membership in 2016. The tasks of the PTC were still in keeping with providing technical advice and guidance to advancing the ePhyto Project supported by the STDF and other partners. </w:t>
      </w:r>
    </w:p>
    <w:p w14:paraId="22561EAB" w14:textId="0488394B" w:rsidR="0010057B" w:rsidRDefault="0010057B" w:rsidP="00285774">
      <w:pPr>
        <w:jc w:val="both"/>
      </w:pPr>
      <w:r>
        <w:t xml:space="preserve">The Chair noted that other related committees and groups are also elements to the development of the project and he was unclear how </w:t>
      </w:r>
      <w:r w:rsidR="00607C52">
        <w:t xml:space="preserve">the </w:t>
      </w:r>
      <w:r>
        <w:t xml:space="preserve">advice </w:t>
      </w:r>
      <w:r w:rsidR="00607C52">
        <w:t xml:space="preserve">of </w:t>
      </w:r>
      <w:r>
        <w:t xml:space="preserve">the various groups would </w:t>
      </w:r>
      <w:r w:rsidR="00505022">
        <w:t xml:space="preserve">fit in with </w:t>
      </w:r>
      <w:r w:rsidR="00607C52">
        <w:t>the timely</w:t>
      </w:r>
      <w:r>
        <w:t xml:space="preserve"> development of the project. The IPPC Secretariat </w:t>
      </w:r>
      <w:r w:rsidR="00607C52">
        <w:t xml:space="preserve">noted that the Secretariat </w:t>
      </w:r>
      <w:r>
        <w:t>is responsible for the project</w:t>
      </w:r>
      <w:r w:rsidR="00607C52">
        <w:t>’s</w:t>
      </w:r>
      <w:r>
        <w:t xml:space="preserve"> development and </w:t>
      </w:r>
      <w:r w:rsidR="007F7C24">
        <w:t>t</w:t>
      </w:r>
      <w:r w:rsidR="00607C52">
        <w:t xml:space="preserve">hat the project will be advanced </w:t>
      </w:r>
      <w:r w:rsidR="007F7C24">
        <w:t>through</w:t>
      </w:r>
      <w:r w:rsidR="00607C52">
        <w:t xml:space="preserve"> gathering advice in reasonable timeframes from the various committees based upon their roles and responsibilities. In some cases, the purpose of including other committees in the development of the project was not just for advice related to project development but also in sharing advances in development with members of other organizations undertaking similar work. Although such a structure has been one factor in slowing the advancement of the ePhyto Solution, it is </w:t>
      </w:r>
      <w:r w:rsidR="001239C5">
        <w:t xml:space="preserve">also </w:t>
      </w:r>
      <w:r w:rsidR="00607C52">
        <w:t xml:space="preserve">recognized that the Solution will be </w:t>
      </w:r>
      <w:r w:rsidR="001239C5">
        <w:t xml:space="preserve">capable of greater international integration with other </w:t>
      </w:r>
      <w:r w:rsidR="00165953">
        <w:t>paperless</w:t>
      </w:r>
      <w:r w:rsidR="001239C5">
        <w:t xml:space="preserve"> initiatives</w:t>
      </w:r>
      <w:r w:rsidR="00165953">
        <w:t xml:space="preserve"> which is important for countries undertaking business process changes to implement these paperless systems within national initiatives. </w:t>
      </w:r>
    </w:p>
    <w:p w14:paraId="5CE35984" w14:textId="18DB36D9" w:rsidR="00ED1C38" w:rsidRDefault="00122B47" w:rsidP="00285774">
      <w:pPr>
        <w:jc w:val="both"/>
      </w:pPr>
      <w:r>
        <w:t xml:space="preserve">The members </w:t>
      </w:r>
      <w:r w:rsidR="00165953">
        <w:t xml:space="preserve">agreed that the IPPC Secretariat should continue to act as the </w:t>
      </w:r>
      <w:r w:rsidR="007F7C24">
        <w:t xml:space="preserve">key </w:t>
      </w:r>
      <w:r w:rsidR="000B39D5">
        <w:t>liaison</w:t>
      </w:r>
      <w:r w:rsidR="007F7C24">
        <w:t xml:space="preserve"> point</w:t>
      </w:r>
      <w:r w:rsidR="00165953">
        <w:t xml:space="preserve"> </w:t>
      </w:r>
      <w:r w:rsidR="00505022">
        <w:t xml:space="preserve">with </w:t>
      </w:r>
      <w:r w:rsidR="00165953">
        <w:t xml:space="preserve">other international organizations. They also proposed that the </w:t>
      </w:r>
      <w:r w:rsidR="00505022">
        <w:t xml:space="preserve">ESG </w:t>
      </w:r>
      <w:r w:rsidR="00165953">
        <w:t xml:space="preserve">IPPC </w:t>
      </w:r>
      <w:r w:rsidR="00E91D96">
        <w:t>Secretariat</w:t>
      </w:r>
      <w:r w:rsidR="00165953">
        <w:t xml:space="preserve"> should continue to </w:t>
      </w:r>
      <w:r w:rsidR="00505022">
        <w:t xml:space="preserve">invite </w:t>
      </w:r>
      <w:r w:rsidR="00165953">
        <w:t>members of these other international organizations in PTC/ESG meetings to share information as appropriate with the responsibilities of the committee/group</w:t>
      </w:r>
      <w:r w:rsidR="007F7C24">
        <w:t>, as appropriate</w:t>
      </w:r>
    </w:p>
    <w:p w14:paraId="18EDFD2A" w14:textId="0C1D083E" w:rsidR="000B39D5" w:rsidRPr="00ED1C38" w:rsidRDefault="000B39D5" w:rsidP="00285774">
      <w:pPr>
        <w:jc w:val="both"/>
      </w:pPr>
      <w:r>
        <w:t xml:space="preserve">The members reviewed the participation of UN/CEFACT on the PTC. The STDF noted that there had been a number of issues in developing harmonized lists and codes which may have been more effectively addressed if a UN/CEFACT member could have advocated the changes required in the schema </w:t>
      </w:r>
      <w:r w:rsidR="00505022">
        <w:t xml:space="preserve">in the relevant UN/CEFACT working group </w:t>
      </w:r>
      <w:r>
        <w:t xml:space="preserve">on behalf of the IPPC. The members agreed that the participation of a UN/CEFACT representative would be beneficial for some discussions related to issues with the schema. However it was also noted that many of the discussions of the group were related to other technical and capacity development topics which are not relevant to the UN/CEFACT. Some members had consulted with UN/CEFACT representatives and proposed contacting an appropriate representative from the Agriculture Domain of UN/CEFACT to participate in meetings of the PTC as is required. </w:t>
      </w:r>
      <w:r w:rsidR="007C386E">
        <w:t>Recognizing the limited funding available to the project, the IPPC Secretariat suggested that participation of a UN/CEFACT representative should only be pursed when required by specific topic discussions to avoid supporting their attendance at the meetings where they may not be able to contribute broadly to the topics on the agenda. The IPPC Secretariat indicated that they will attend the next UN/CEFACT Forum in Geneva</w:t>
      </w:r>
      <w:r w:rsidR="00030A18" w:rsidRPr="00030A18">
        <w:t xml:space="preserve"> to understand UN</w:t>
      </w:r>
      <w:r w:rsidR="00030A18">
        <w:t>/</w:t>
      </w:r>
      <w:r w:rsidR="00030A18" w:rsidRPr="00030A18">
        <w:t xml:space="preserve">CEFACT processes </w:t>
      </w:r>
      <w:r w:rsidR="00030A18">
        <w:t xml:space="preserve">for standard setting </w:t>
      </w:r>
      <w:r w:rsidR="00030A18" w:rsidRPr="00030A18">
        <w:t>and</w:t>
      </w:r>
      <w:r w:rsidR="00030A18">
        <w:t xml:space="preserve"> to</w:t>
      </w:r>
      <w:r w:rsidR="00030A18" w:rsidRPr="00030A18">
        <w:t xml:space="preserve"> maintain </w:t>
      </w:r>
      <w:r w:rsidR="00030A18">
        <w:t>represe</w:t>
      </w:r>
      <w:r w:rsidR="00DA7303">
        <w:t>ntation of the Secretariat on</w:t>
      </w:r>
      <w:r w:rsidR="00030A18">
        <w:t xml:space="preserve"> UN/CEFACT. Additionally, the Secretariat </w:t>
      </w:r>
      <w:r w:rsidR="007C386E">
        <w:t xml:space="preserve">could bring up any issues raised </w:t>
      </w:r>
      <w:r w:rsidR="00505022">
        <w:t xml:space="preserve">by </w:t>
      </w:r>
      <w:r w:rsidR="007C386E">
        <w:t>the PTC/ESG</w:t>
      </w:r>
      <w:r w:rsidR="00030A18">
        <w:t xml:space="preserve"> and in future address and specific issues related to the schema and its use in phytosanitary certification</w:t>
      </w:r>
      <w:r w:rsidR="007C386E">
        <w:t>.</w:t>
      </w:r>
    </w:p>
    <w:p w14:paraId="7D15F06C" w14:textId="77777777" w:rsidR="00C54842" w:rsidRDefault="00C54842" w:rsidP="00285774">
      <w:pPr>
        <w:pStyle w:val="Heading1"/>
        <w:jc w:val="both"/>
      </w:pPr>
      <w:bookmarkStart w:id="6" w:name="_Toc482185422"/>
      <w:r w:rsidRPr="00C54842">
        <w:t>Legal framework for the operation of the hub and GeNS</w:t>
      </w:r>
      <w:bookmarkEnd w:id="6"/>
    </w:p>
    <w:p w14:paraId="4DB559F7" w14:textId="77777777" w:rsidR="005A5B36" w:rsidRDefault="00165953" w:rsidP="00285774">
      <w:pPr>
        <w:jc w:val="both"/>
      </w:pPr>
      <w:r>
        <w:t xml:space="preserve">The IPPC Secretariat </w:t>
      </w:r>
      <w:r w:rsidR="007C386E">
        <w:t>has contacted the Food and Agriculture Organization (FAO) Legal Office regarding defining the appropriate legal framework for the operation of the Solution. The FAO Legal Office has reviewed sample</w:t>
      </w:r>
      <w:r w:rsidR="009322D7">
        <w:t xml:space="preserve"> agreements provided by members and suggested that it </w:t>
      </w:r>
      <w:r w:rsidR="005A5B36">
        <w:t>will</w:t>
      </w:r>
      <w:r w:rsidR="009322D7">
        <w:t xml:space="preserve"> develop </w:t>
      </w:r>
      <w:r w:rsidR="005A5B36">
        <w:t xml:space="preserve">agreements </w:t>
      </w:r>
      <w:r w:rsidR="009322D7">
        <w:t xml:space="preserve">outlining the terms and obligations </w:t>
      </w:r>
      <w:r w:rsidR="005A5B36">
        <w:t xml:space="preserve">of </w:t>
      </w:r>
      <w:r w:rsidR="009322D7">
        <w:t xml:space="preserve">using the Hub and Generic ePhyto </w:t>
      </w:r>
      <w:r w:rsidR="009322D7">
        <w:lastRenderedPageBreak/>
        <w:t>National System (GeNS). Countries would be required to sign the</w:t>
      </w:r>
      <w:r w:rsidR="005A5B36">
        <w:t>se</w:t>
      </w:r>
      <w:r w:rsidR="009322D7">
        <w:t xml:space="preserve"> agreement</w:t>
      </w:r>
      <w:r w:rsidR="005A5B36">
        <w:t>s</w:t>
      </w:r>
      <w:r w:rsidR="009322D7">
        <w:t xml:space="preserve"> as part of an on-boarding process. </w:t>
      </w:r>
    </w:p>
    <w:p w14:paraId="414946F3" w14:textId="200F7890" w:rsidR="005A5B36" w:rsidRDefault="00DD2C3A" w:rsidP="00285774">
      <w:pPr>
        <w:jc w:val="both"/>
      </w:pPr>
      <w:r>
        <w:t xml:space="preserve">Members noted that currently some countries also require a service agreement between countries to confirm the operational parameters of the service. Countries would </w:t>
      </w:r>
      <w:r w:rsidR="00FB1458">
        <w:t xml:space="preserve">most </w:t>
      </w:r>
      <w:r>
        <w:t xml:space="preserve">likely </w:t>
      </w:r>
      <w:r w:rsidR="00FB1458">
        <w:t xml:space="preserve">still </w:t>
      </w:r>
      <w:r>
        <w:t xml:space="preserve">require such an agreement to confirm the operational parameters of the hub service. The UNICC noted that the Hub is operated by the UNICC as service provider to the IPPC Secretariat </w:t>
      </w:r>
      <w:r w:rsidR="00FB1458">
        <w:t xml:space="preserve">and the UNICC will have a service agreement with the IPPC secretariat. </w:t>
      </w:r>
      <w:r w:rsidR="00E17159">
        <w:t>Therefore</w:t>
      </w:r>
      <w:r>
        <w:t xml:space="preserve"> such any agreement on service operation should be between the IPPC Secretariat and the country. However, recognizing that the operating parameters for the hub are being established by the UNICC, the UNICC agreed to develop a short guidance document based upon the agreement templates provided by members that could be revised to form the framework for an agreement between the IPPC and countries. </w:t>
      </w:r>
      <w:r w:rsidR="0090581F">
        <w:t>Members</w:t>
      </w:r>
      <w:r>
        <w:t xml:space="preserve"> felt that countries may still require slight </w:t>
      </w:r>
      <w:r w:rsidR="00E17159">
        <w:t xml:space="preserve">country-specific </w:t>
      </w:r>
      <w:r>
        <w:t xml:space="preserve">adjustments to </w:t>
      </w:r>
      <w:r w:rsidR="005A5B36">
        <w:t>the service</w:t>
      </w:r>
      <w:r>
        <w:t xml:space="preserve"> agreement to address specific country-based needs. </w:t>
      </w:r>
    </w:p>
    <w:p w14:paraId="3333B989" w14:textId="77777777" w:rsidR="0090581F" w:rsidRPr="00165953" w:rsidRDefault="0090581F" w:rsidP="00285774">
      <w:pPr>
        <w:jc w:val="both"/>
      </w:pPr>
      <w:r>
        <w:t>The IPPC Secretariat agreed to continue to consult with the FAO Legal Office to finalize both the obligations and responsibilities agreement</w:t>
      </w:r>
      <w:r w:rsidR="005A5B36">
        <w:t>s</w:t>
      </w:r>
      <w:r>
        <w:t xml:space="preserve"> as well as the service agreement</w:t>
      </w:r>
      <w:r w:rsidR="005A5B36">
        <w:t xml:space="preserve"> outlining the operational parameters of the hub</w:t>
      </w:r>
      <w:r>
        <w:t xml:space="preserve"> so that </w:t>
      </w:r>
      <w:r w:rsidR="005A5B36">
        <w:t>these documents</w:t>
      </w:r>
      <w:r>
        <w:t xml:space="preserve"> may be tested for use during the piloting phase.</w:t>
      </w:r>
    </w:p>
    <w:p w14:paraId="62618DC4" w14:textId="77777777" w:rsidR="00C54842" w:rsidRDefault="00C54842" w:rsidP="00285774">
      <w:pPr>
        <w:pStyle w:val="Heading1"/>
        <w:jc w:val="both"/>
      </w:pPr>
      <w:bookmarkStart w:id="7" w:name="_Toc482185423"/>
      <w:r w:rsidRPr="00C54842">
        <w:t>STDF Project Plan</w:t>
      </w:r>
      <w:bookmarkEnd w:id="7"/>
    </w:p>
    <w:p w14:paraId="53887F9A" w14:textId="0C90E2DD" w:rsidR="0090581F" w:rsidRPr="0090581F" w:rsidRDefault="005A5B36" w:rsidP="00285774">
      <w:pPr>
        <w:jc w:val="both"/>
      </w:pPr>
      <w:r>
        <w:t xml:space="preserve">The IPPC Secretariat confirmed that the project plan had been approved in December and that the project funds had been transferred to FAO. Although the funds have not been deposited in a specific account, the spending of both funds provided by STDF and by donor members are being tracked separately and spending reports can be presented to CPM or CPM Bureau. </w:t>
      </w:r>
      <w:r w:rsidR="00E24652">
        <w:t xml:space="preserve">Donor funding provided by the United States </w:t>
      </w:r>
      <w:r>
        <w:t>in early 2016</w:t>
      </w:r>
      <w:r w:rsidR="00E24652">
        <w:t xml:space="preserve">, for example, was used to pay for the drafting </w:t>
      </w:r>
      <w:r>
        <w:t xml:space="preserve">work </w:t>
      </w:r>
      <w:r w:rsidR="00E24652">
        <w:t xml:space="preserve">in </w:t>
      </w:r>
      <w:r>
        <w:t>defining the specifications for the hub and GeNS</w:t>
      </w:r>
      <w:r w:rsidR="00E24652" w:rsidRPr="00E24652">
        <w:t xml:space="preserve"> </w:t>
      </w:r>
      <w:r w:rsidR="00E24652">
        <w:t>undertaken by the UNICC</w:t>
      </w:r>
      <w:r>
        <w:t>.</w:t>
      </w:r>
      <w:r w:rsidR="00E24652">
        <w:t xml:space="preserve"> </w:t>
      </w:r>
    </w:p>
    <w:p w14:paraId="36942A43" w14:textId="77777777" w:rsidR="00C54842" w:rsidRDefault="00C54842" w:rsidP="00285774">
      <w:pPr>
        <w:pStyle w:val="Heading1"/>
        <w:jc w:val="both"/>
      </w:pPr>
      <w:bookmarkStart w:id="8" w:name="_Toc482185424"/>
      <w:r w:rsidRPr="00C54842">
        <w:t>CPM</w:t>
      </w:r>
      <w:bookmarkEnd w:id="8"/>
    </w:p>
    <w:p w14:paraId="6D2614B8" w14:textId="2D5BF4C1" w:rsidR="00552730" w:rsidRDefault="00552730" w:rsidP="00285774">
      <w:pPr>
        <w:jc w:val="both"/>
      </w:pPr>
      <w:r>
        <w:t xml:space="preserve">The IPPC Secretariat has drafted a paper for presentation to CPM-12. The members had reviewed the paper. One member noted that the revised </w:t>
      </w:r>
      <w:proofErr w:type="spellStart"/>
      <w:r>
        <w:t>ToR</w:t>
      </w:r>
      <w:proofErr w:type="spellEnd"/>
      <w:r>
        <w:t xml:space="preserve"> of the ESG was not included in the paper and proposed that perhaps CPM should endorse the revised </w:t>
      </w:r>
      <w:proofErr w:type="spellStart"/>
      <w:r>
        <w:t>ToR</w:t>
      </w:r>
      <w:proofErr w:type="spellEnd"/>
      <w:r>
        <w:t xml:space="preserve">. The Secretariat noted that the paper did request that CPM continue to support the ESG and that the process for revision of the </w:t>
      </w:r>
      <w:proofErr w:type="spellStart"/>
      <w:r>
        <w:t>ToR</w:t>
      </w:r>
      <w:proofErr w:type="spellEnd"/>
      <w:r>
        <w:t xml:space="preserve"> is included in point 7 of the paper. The Secretariat agreed to further discuss the need for including the specific revised </w:t>
      </w:r>
      <w:proofErr w:type="spellStart"/>
      <w:r>
        <w:t>ToR</w:t>
      </w:r>
      <w:proofErr w:type="spellEnd"/>
      <w:r>
        <w:t xml:space="preserve"> at CPM-12 with the CPM Bureau at its April meeting.</w:t>
      </w:r>
      <w:r w:rsidR="00ED72DA">
        <w:t xml:space="preserve">  </w:t>
      </w:r>
    </w:p>
    <w:p w14:paraId="68F5C283" w14:textId="77777777" w:rsidR="00ED72DA" w:rsidRDefault="00ED72DA" w:rsidP="00285774">
      <w:pPr>
        <w:jc w:val="both"/>
      </w:pPr>
      <w:r>
        <w:t>The Secretariat noted that it will be developing a presentation reporting on developments in ePhyto for presentation to CPM-12. The Secretariat agreed to share the presentation with members for comment.</w:t>
      </w:r>
    </w:p>
    <w:p w14:paraId="37341C8B" w14:textId="0E11C94F" w:rsidR="00552730" w:rsidRDefault="00552730" w:rsidP="00285774">
      <w:pPr>
        <w:jc w:val="both"/>
      </w:pPr>
      <w:r>
        <w:t xml:space="preserve">The Secretariat </w:t>
      </w:r>
      <w:r w:rsidR="00ED72DA">
        <w:t xml:space="preserve">also </w:t>
      </w:r>
      <w:r>
        <w:t xml:space="preserve">reported that </w:t>
      </w:r>
      <w:r w:rsidR="007D61F3">
        <w:t>a</w:t>
      </w:r>
      <w:r>
        <w:t xml:space="preserve"> one hour </w:t>
      </w:r>
      <w:r w:rsidR="000F163D">
        <w:t xml:space="preserve">side session on ePhyto is planned for CPM-12. The STDF and the </w:t>
      </w:r>
      <w:r w:rsidR="007D61F3">
        <w:t xml:space="preserve">IPPC </w:t>
      </w:r>
      <w:r w:rsidR="000F163D">
        <w:t>Secretariat have proposed that the side session focus</w:t>
      </w:r>
      <w:r w:rsidR="00A90602">
        <w:t>es</w:t>
      </w:r>
      <w:r w:rsidR="000F163D">
        <w:t xml:space="preserve"> on providing NPPOs with an understanding of </w:t>
      </w:r>
      <w:r w:rsidR="00ED72DA">
        <w:t>trade facilitation (TF) organizations which operate in countries and which may be used to support ePhyto adoption by leveraging government TF policies. Members agreed that such a session would be very useful for countries and would provide more relevant information than repeating information on the operation of the ePhyto Solution which has been presented previously. However, members cautioned that a presentation would have to provide specific information on how NPPO</w:t>
      </w:r>
      <w:r w:rsidR="00A90602">
        <w:t>s</w:t>
      </w:r>
      <w:r w:rsidR="00ED72DA">
        <w:t xml:space="preserve"> could engage with TF and government policy organizations </w:t>
      </w:r>
      <w:r w:rsidR="00ED72DA">
        <w:lastRenderedPageBreak/>
        <w:t xml:space="preserve">to advance a national ePhyto implementation agenda. Recognizing the time constraints for the session, members agreed to develop and present some ideas for a presentation. </w:t>
      </w:r>
    </w:p>
    <w:p w14:paraId="6537CB1F" w14:textId="77777777" w:rsidR="00C54842" w:rsidRDefault="00C54842" w:rsidP="00285774">
      <w:pPr>
        <w:pStyle w:val="Heading1"/>
        <w:jc w:val="both"/>
      </w:pPr>
      <w:bookmarkStart w:id="9" w:name="_Toc482185425"/>
      <w:r w:rsidRPr="00C54842">
        <w:t>Update on IPPC/UNICC contractual arrangements</w:t>
      </w:r>
      <w:bookmarkEnd w:id="9"/>
    </w:p>
    <w:p w14:paraId="2878612B" w14:textId="77777777" w:rsidR="003B6AAA" w:rsidRDefault="00871468" w:rsidP="00285774">
      <w:pPr>
        <w:jc w:val="both"/>
      </w:pPr>
      <w:r>
        <w:t xml:space="preserve">The UNICC reported that an agreement to support the development and operation of the hub had been presented to the IPPC Secretariat. The agreement had been reviewed by the Secretariat and has been forwarded to the FAO Information Technology </w:t>
      </w:r>
      <w:proofErr w:type="spellStart"/>
      <w:r>
        <w:t>Office</w:t>
      </w:r>
      <w:proofErr w:type="spellEnd"/>
      <w:r>
        <w:t xml:space="preserve"> (CIO). The CIO is responsible for information technology </w:t>
      </w:r>
      <w:r w:rsidR="00A22F1F">
        <w:t xml:space="preserve">(IT) </w:t>
      </w:r>
      <w:r>
        <w:t xml:space="preserve">service agreements and has been requested to sign the agreement so that work can commence. It is expected that the agreement should be signed within a few weeks. </w:t>
      </w:r>
    </w:p>
    <w:p w14:paraId="2D348098" w14:textId="3C14C02D" w:rsidR="00871468" w:rsidRPr="003B6AAA" w:rsidRDefault="00871468" w:rsidP="00285774">
      <w:pPr>
        <w:jc w:val="both"/>
      </w:pPr>
      <w:r>
        <w:t xml:space="preserve">The agreement spells out the project costs of establishing the system and operating it for a two year period. The projected costs are similar to those identified in the project budget. It is clear from these however, that the project funds will not support operation of the system until a self-sustaining funding model has been adopted and operationalized by CPM. The members noted that CPM has </w:t>
      </w:r>
      <w:r w:rsidR="00A90602">
        <w:t xml:space="preserve">to be </w:t>
      </w:r>
      <w:r>
        <w:t xml:space="preserve">made aware that bridge funding will be required to sustain the system until funding model is operating. The Secretariat should </w:t>
      </w:r>
      <w:r w:rsidR="00694A4F">
        <w:t>once again</w:t>
      </w:r>
      <w:r>
        <w:t xml:space="preserve"> ra</w:t>
      </w:r>
      <w:r w:rsidR="00694A4F">
        <w:t xml:space="preserve">ise </w:t>
      </w:r>
      <w:r w:rsidR="00A90602">
        <w:t xml:space="preserve">during its presentation to CPM </w:t>
      </w:r>
      <w:r w:rsidR="00694A4F">
        <w:t>the need to obtain donor funding to support operation.</w:t>
      </w:r>
    </w:p>
    <w:p w14:paraId="5236161E" w14:textId="77777777" w:rsidR="00C54842" w:rsidRDefault="00C54842" w:rsidP="00285774">
      <w:pPr>
        <w:pStyle w:val="Heading1"/>
        <w:jc w:val="both"/>
      </w:pPr>
      <w:bookmarkStart w:id="10" w:name="_Toc482185426"/>
      <w:r w:rsidRPr="00C54842">
        <w:t>HUB development</w:t>
      </w:r>
      <w:bookmarkEnd w:id="10"/>
    </w:p>
    <w:p w14:paraId="7FFB6100" w14:textId="77777777" w:rsidR="007D61F3" w:rsidRDefault="0075598D" w:rsidP="00285774">
      <w:pPr>
        <w:jc w:val="both"/>
      </w:pPr>
      <w:r>
        <w:t>T</w:t>
      </w:r>
      <w:r w:rsidR="007D61F3">
        <w:t>he UNICC presented the revised h</w:t>
      </w:r>
      <w:r>
        <w:t>ub specification. They noted that most of the changes made to the document following comments from the PTC were editorial</w:t>
      </w:r>
      <w:r w:rsidR="007D61F3">
        <w:t xml:space="preserve"> although a few were substantial and suggested that the members review them during the meeting</w:t>
      </w:r>
      <w:r>
        <w:t xml:space="preserve">. </w:t>
      </w:r>
      <w:r w:rsidR="007D61F3">
        <w:t xml:space="preserve">The members reviewed these elements as follows: </w:t>
      </w:r>
    </w:p>
    <w:p w14:paraId="69C5309D" w14:textId="77777777" w:rsidR="007D61F3" w:rsidRDefault="007D61F3" w:rsidP="00285774">
      <w:pPr>
        <w:pStyle w:val="ListParagraph"/>
        <w:numPr>
          <w:ilvl w:val="0"/>
          <w:numId w:val="33"/>
        </w:numPr>
        <w:jc w:val="both"/>
      </w:pPr>
      <w:r w:rsidRPr="007D61F3">
        <w:rPr>
          <w:i/>
        </w:rPr>
        <w:t>C</w:t>
      </w:r>
      <w:r w:rsidR="000B0DF3" w:rsidRPr="007D61F3">
        <w:rPr>
          <w:i/>
        </w:rPr>
        <w:t xml:space="preserve">ertificates issued for commodities </w:t>
      </w:r>
      <w:r w:rsidRPr="007D61F3">
        <w:rPr>
          <w:i/>
        </w:rPr>
        <w:t>in-</w:t>
      </w:r>
      <w:r w:rsidR="000B0DF3" w:rsidRPr="007D61F3">
        <w:rPr>
          <w:i/>
        </w:rPr>
        <w:t xml:space="preserve">transit </w:t>
      </w:r>
      <w:r w:rsidRPr="007D61F3">
        <w:rPr>
          <w:i/>
        </w:rPr>
        <w:t>to a third country</w:t>
      </w:r>
      <w:r>
        <w:t xml:space="preserve"> -</w:t>
      </w:r>
      <w:r w:rsidR="000B0DF3">
        <w:t xml:space="preserve"> The </w:t>
      </w:r>
      <w:r>
        <w:t>members</w:t>
      </w:r>
      <w:r w:rsidR="000B0DF3">
        <w:t xml:space="preserve"> agreed that the </w:t>
      </w:r>
      <w:r>
        <w:t xml:space="preserve">electronic </w:t>
      </w:r>
      <w:r w:rsidR="000B0DF3">
        <w:t xml:space="preserve">certificate </w:t>
      </w:r>
      <w:r>
        <w:t>needs to</w:t>
      </w:r>
      <w:r w:rsidR="000B0DF3">
        <w:t xml:space="preserve"> meet the requirements of both the destination country and the transit country and </w:t>
      </w:r>
      <w:r>
        <w:t xml:space="preserve">therefore it is appropriate that the certificate issued should meet both countries requirements and the </w:t>
      </w:r>
      <w:r w:rsidR="00A90602">
        <w:t xml:space="preserve">same </w:t>
      </w:r>
      <w:r>
        <w:t>certificate would be</w:t>
      </w:r>
      <w:r w:rsidR="000B0DF3">
        <w:t xml:space="preserve"> placed in </w:t>
      </w:r>
      <w:r w:rsidR="00A90602">
        <w:t xml:space="preserve">different </w:t>
      </w:r>
      <w:r w:rsidR="000B0DF3">
        <w:t xml:space="preserve">envelopes issued to each country.  </w:t>
      </w:r>
    </w:p>
    <w:p w14:paraId="4CE6DB5D" w14:textId="73D63CB4" w:rsidR="00221FB3" w:rsidRDefault="007D61F3" w:rsidP="00285774">
      <w:pPr>
        <w:pStyle w:val="ListParagraph"/>
        <w:numPr>
          <w:ilvl w:val="0"/>
          <w:numId w:val="33"/>
        </w:numPr>
        <w:jc w:val="both"/>
      </w:pPr>
      <w:r w:rsidRPr="007D61F3">
        <w:rPr>
          <w:i/>
        </w:rPr>
        <w:t>C</w:t>
      </w:r>
      <w:r w:rsidR="00221FB3" w:rsidRPr="007D61F3">
        <w:rPr>
          <w:i/>
        </w:rPr>
        <w:t>odes used for the status of the certificate</w:t>
      </w:r>
      <w:r w:rsidR="00221FB3">
        <w:t xml:space="preserve"> </w:t>
      </w:r>
      <w:r>
        <w:t xml:space="preserve">– the members </w:t>
      </w:r>
      <w:r w:rsidR="00221FB3">
        <w:t xml:space="preserve">concluded that the </w:t>
      </w:r>
      <w:r>
        <w:t xml:space="preserve">codes: </w:t>
      </w:r>
      <w:r w:rsidR="00221FB3">
        <w:t xml:space="preserve"> issued, approved, withdrawn and rejected are the only </w:t>
      </w:r>
      <w:r>
        <w:t>ones</w:t>
      </w:r>
      <w:r w:rsidR="00221FB3">
        <w:t xml:space="preserve"> required to </w:t>
      </w:r>
      <w:r>
        <w:t>complete all transactions associated with exchange of certificates</w:t>
      </w:r>
      <w:r w:rsidR="00221FB3">
        <w:t>.</w:t>
      </w:r>
      <w:r w:rsidR="00030A18">
        <w:t xml:space="preserve"> Furthermore, the members agreed that during the pilot only the codes for issued and withdrawn would be used.</w:t>
      </w:r>
    </w:p>
    <w:p w14:paraId="4F7A60F1" w14:textId="031D49CE" w:rsidR="006868BA" w:rsidRDefault="006868BA" w:rsidP="00285774">
      <w:pPr>
        <w:pStyle w:val="ListParagraph"/>
        <w:numPr>
          <w:ilvl w:val="0"/>
          <w:numId w:val="33"/>
        </w:numPr>
        <w:jc w:val="both"/>
      </w:pPr>
      <w:r w:rsidRPr="006868BA">
        <w:rPr>
          <w:i/>
        </w:rPr>
        <w:t xml:space="preserve">Reporting requirements </w:t>
      </w:r>
      <w:r>
        <w:rPr>
          <w:i/>
        </w:rPr>
        <w:t>–</w:t>
      </w:r>
      <w:r>
        <w:t xml:space="preserve"> after considering whether the system should provide detailed reporting, the members concluded that the most effective solution that allows the greatest flexibility is to provide countries with access to the </w:t>
      </w:r>
      <w:r w:rsidR="000771C6">
        <w:t xml:space="preserve">exchange </w:t>
      </w:r>
      <w:r>
        <w:t xml:space="preserve">data </w:t>
      </w:r>
      <w:r w:rsidR="000771C6">
        <w:t xml:space="preserve">in the form of a downloadable file which could be </w:t>
      </w:r>
      <w:r w:rsidR="00A90602">
        <w:t xml:space="preserve">edited </w:t>
      </w:r>
      <w:r w:rsidR="000771C6">
        <w:t>and</w:t>
      </w:r>
      <w:r>
        <w:t xml:space="preserve"> analysed (e.g. by using Microsoft Excel, etc.).</w:t>
      </w:r>
    </w:p>
    <w:p w14:paraId="203A2C5D" w14:textId="77777777" w:rsidR="00F647B0" w:rsidRDefault="007D61F3" w:rsidP="00285774">
      <w:pPr>
        <w:jc w:val="both"/>
      </w:pPr>
      <w:r>
        <w:t xml:space="preserve">Some other minor changes were discussed and included in the document. </w:t>
      </w:r>
      <w:r w:rsidR="00A330F5">
        <w:t xml:space="preserve">The </w:t>
      </w:r>
      <w:r>
        <w:t xml:space="preserve">specification was then approved by the members </w:t>
      </w:r>
      <w:r w:rsidR="00A330F5">
        <w:t xml:space="preserve">and </w:t>
      </w:r>
      <w:r w:rsidR="00B55663">
        <w:t>finalized</w:t>
      </w:r>
      <w:r>
        <w:t xml:space="preserve"> to prevent any further changes </w:t>
      </w:r>
      <w:r w:rsidR="00F647B0">
        <w:t>until after development</w:t>
      </w:r>
      <w:r w:rsidR="00A330F5">
        <w:t xml:space="preserve">. </w:t>
      </w:r>
    </w:p>
    <w:p w14:paraId="72C4BD3B" w14:textId="77777777" w:rsidR="005A3340" w:rsidRDefault="005A3340" w:rsidP="00285774">
      <w:pPr>
        <w:jc w:val="both"/>
      </w:pPr>
      <w:r>
        <w:t xml:space="preserve">The members </w:t>
      </w:r>
      <w:r w:rsidR="00A330F5">
        <w:t>th</w:t>
      </w:r>
      <w:r>
        <w:t>en reviewed the WSDL document as follows:</w:t>
      </w:r>
    </w:p>
    <w:p w14:paraId="009C6B49" w14:textId="121584DC" w:rsidR="005A3340" w:rsidRDefault="005A3340" w:rsidP="00285774">
      <w:pPr>
        <w:pStyle w:val="ListParagraph"/>
        <w:numPr>
          <w:ilvl w:val="0"/>
          <w:numId w:val="35"/>
        </w:numPr>
        <w:jc w:val="both"/>
      </w:pPr>
      <w:r w:rsidRPr="005A3340">
        <w:rPr>
          <w:i/>
        </w:rPr>
        <w:t>M</w:t>
      </w:r>
      <w:r w:rsidR="0044493B" w:rsidRPr="005A3340">
        <w:rPr>
          <w:i/>
        </w:rPr>
        <w:t xml:space="preserve">aximum size of files </w:t>
      </w:r>
      <w:r w:rsidRPr="005A3340">
        <w:rPr>
          <w:i/>
        </w:rPr>
        <w:t>to be exchanged</w:t>
      </w:r>
      <w:r>
        <w:t xml:space="preserve"> – the members </w:t>
      </w:r>
      <w:r w:rsidR="00030A18">
        <w:t xml:space="preserve">agreed that the only attachments to be included should be those which support re-export phytosanitary certification (e.g. original phytosanitary certificate). They also </w:t>
      </w:r>
      <w:r>
        <w:t xml:space="preserve">expressed the </w:t>
      </w:r>
      <w:r w:rsidR="0044493B">
        <w:t xml:space="preserve">need to limit </w:t>
      </w:r>
      <w:r w:rsidR="00C67FE2">
        <w:t>volumes being sent to reduce server costs.</w:t>
      </w:r>
      <w:r>
        <w:t xml:space="preserve"> However they </w:t>
      </w:r>
      <w:r w:rsidR="00F647B0">
        <w:t xml:space="preserve">concluded that no specific limitation should </w:t>
      </w:r>
      <w:r w:rsidR="00F647B0">
        <w:lastRenderedPageBreak/>
        <w:t>be applied but the volumes of the transactions should be monitored during the pilot to determine if large volume files are being exchanged.</w:t>
      </w:r>
    </w:p>
    <w:p w14:paraId="0BCC83E6" w14:textId="322E7513" w:rsidR="005A3340" w:rsidRDefault="00030A18" w:rsidP="00285774">
      <w:pPr>
        <w:pStyle w:val="ListParagraph"/>
        <w:numPr>
          <w:ilvl w:val="0"/>
          <w:numId w:val="35"/>
        </w:numPr>
        <w:jc w:val="both"/>
      </w:pPr>
      <w:r>
        <w:rPr>
          <w:i/>
        </w:rPr>
        <w:t>Terminology used in the WSDL description</w:t>
      </w:r>
      <w:r w:rsidR="00F647B0" w:rsidRPr="005A3340">
        <w:rPr>
          <w:i/>
        </w:rPr>
        <w:t xml:space="preserve"> </w:t>
      </w:r>
      <w:r w:rsidR="005A3340">
        <w:rPr>
          <w:i/>
        </w:rPr>
        <w:t xml:space="preserve">- </w:t>
      </w:r>
      <w:r w:rsidR="005A3340" w:rsidRPr="005A3340">
        <w:t>t</w:t>
      </w:r>
      <w:r w:rsidR="00F647B0" w:rsidRPr="005A3340">
        <w:t>hey</w:t>
      </w:r>
      <w:r w:rsidR="00F647B0">
        <w:t xml:space="preserve"> made a number of requests to clarify the text</w:t>
      </w:r>
      <w:r w:rsidR="005A3340">
        <w:t xml:space="preserve"> of the WSDL </w:t>
      </w:r>
      <w:r w:rsidR="00F647B0">
        <w:t xml:space="preserve">so that it could be easily understood by </w:t>
      </w:r>
      <w:r w:rsidR="005A3340">
        <w:t>national plant protection organizations (NPPOs)</w:t>
      </w:r>
      <w:r w:rsidR="00F647B0">
        <w:t xml:space="preserve"> </w:t>
      </w:r>
      <w:r w:rsidR="001C3435">
        <w:t xml:space="preserve">while recognizing that real intent of the document is for IT specialists. </w:t>
      </w:r>
    </w:p>
    <w:p w14:paraId="3FECC0C2" w14:textId="434064E4" w:rsidR="006737E7" w:rsidRDefault="005A3340" w:rsidP="00285774">
      <w:pPr>
        <w:pStyle w:val="ListParagraph"/>
        <w:numPr>
          <w:ilvl w:val="0"/>
          <w:numId w:val="35"/>
        </w:numPr>
        <w:jc w:val="both"/>
      </w:pPr>
      <w:r>
        <w:rPr>
          <w:i/>
        </w:rPr>
        <w:t xml:space="preserve">Review of the use of ISO </w:t>
      </w:r>
      <w:r w:rsidR="003309A1">
        <w:rPr>
          <w:i/>
        </w:rPr>
        <w:t xml:space="preserve">country </w:t>
      </w:r>
      <w:r>
        <w:rPr>
          <w:i/>
        </w:rPr>
        <w:t xml:space="preserve">codes </w:t>
      </w:r>
      <w:r w:rsidR="003309A1">
        <w:rPr>
          <w:i/>
        </w:rPr>
        <w:t xml:space="preserve">on </w:t>
      </w:r>
      <w:r w:rsidR="005F37A8">
        <w:rPr>
          <w:i/>
        </w:rPr>
        <w:t>the envelope</w:t>
      </w:r>
      <w:r>
        <w:rPr>
          <w:i/>
        </w:rPr>
        <w:t xml:space="preserve"> -</w:t>
      </w:r>
      <w:r>
        <w:t xml:space="preserve"> t</w:t>
      </w:r>
      <w:r w:rsidR="00707A8A">
        <w:t xml:space="preserve">he members noted that some NPPOs </w:t>
      </w:r>
      <w:r w:rsidR="007C72F4">
        <w:t xml:space="preserve">represent areas </w:t>
      </w:r>
      <w:r w:rsidR="00707A8A">
        <w:t xml:space="preserve">not </w:t>
      </w:r>
      <w:r w:rsidR="006737E7">
        <w:t xml:space="preserve">internationally </w:t>
      </w:r>
      <w:r w:rsidR="00707A8A">
        <w:t xml:space="preserve">recognized as countries. To ensure consistency in the terminology the system should </w:t>
      </w:r>
      <w:r w:rsidR="006737E7">
        <w:t xml:space="preserve">only recognize transactions using the </w:t>
      </w:r>
      <w:r w:rsidR="00707A8A">
        <w:t xml:space="preserve">ISO </w:t>
      </w:r>
      <w:r w:rsidR="006737E7">
        <w:t xml:space="preserve">two letter </w:t>
      </w:r>
      <w:r w:rsidR="00707A8A">
        <w:t xml:space="preserve">code </w:t>
      </w:r>
      <w:r w:rsidR="006737E7">
        <w:t xml:space="preserve">since these are available for most </w:t>
      </w:r>
      <w:r w:rsidR="00707A8A">
        <w:t>location</w:t>
      </w:r>
      <w:r w:rsidR="006737E7">
        <w:t xml:space="preserve">s with an </w:t>
      </w:r>
      <w:r w:rsidR="00707A8A">
        <w:t>NPPO</w:t>
      </w:r>
      <w:r w:rsidR="006737E7">
        <w:t xml:space="preserve">, without the system </w:t>
      </w:r>
      <w:r w:rsidR="003309A1">
        <w:t xml:space="preserve">recognizing </w:t>
      </w:r>
      <w:r w:rsidR="006737E7">
        <w:t xml:space="preserve">a </w:t>
      </w:r>
      <w:r w:rsidR="007C72F4">
        <w:t>location as a country</w:t>
      </w:r>
      <w:r w:rsidR="00707A8A">
        <w:t xml:space="preserve">. </w:t>
      </w:r>
    </w:p>
    <w:p w14:paraId="78ABAC46" w14:textId="5A100C7D" w:rsidR="00C67FE2" w:rsidRDefault="006737E7" w:rsidP="00285774">
      <w:pPr>
        <w:pStyle w:val="ListParagraph"/>
        <w:numPr>
          <w:ilvl w:val="0"/>
          <w:numId w:val="35"/>
        </w:numPr>
        <w:jc w:val="both"/>
      </w:pPr>
      <w:r>
        <w:rPr>
          <w:i/>
        </w:rPr>
        <w:t>Communication of approval of certificates by the importing country</w:t>
      </w:r>
      <w:r w:rsidR="00DA7303">
        <w:rPr>
          <w:rStyle w:val="CommentReference"/>
        </w:rPr>
        <w:t xml:space="preserve"> </w:t>
      </w:r>
      <w:r w:rsidR="00DA7303">
        <w:t xml:space="preserve">– members noted that approval of certificates is not undertaken when certificates are issued in paper format. Hence a requirement that a receiving country notify the exporting country that a </w:t>
      </w:r>
      <w:r w:rsidR="00E91D96">
        <w:t>certificate</w:t>
      </w:r>
      <w:r w:rsidR="00DA7303">
        <w:t xml:space="preserve"> has been accepted ads a new requirement. T</w:t>
      </w:r>
      <w:r>
        <w:t xml:space="preserve">he members </w:t>
      </w:r>
      <w:r w:rsidR="00DA7303">
        <w:t xml:space="preserve">also </w:t>
      </w:r>
      <w:r>
        <w:t xml:space="preserve">noted </w:t>
      </w:r>
      <w:r w:rsidR="00190436">
        <w:t xml:space="preserve">that the </w:t>
      </w:r>
      <w:r>
        <w:t xml:space="preserve">scope of service </w:t>
      </w:r>
      <w:r w:rsidR="00190436">
        <w:t xml:space="preserve">is </w:t>
      </w:r>
      <w:r>
        <w:t xml:space="preserve">only </w:t>
      </w:r>
      <w:r w:rsidR="00190436">
        <w:t>the exchange of a certificate from the exporting country to th</w:t>
      </w:r>
      <w:r>
        <w:t>e importing country without the communication of the certificate status by t</w:t>
      </w:r>
      <w:r w:rsidR="00190436">
        <w:t>he importing country</w:t>
      </w:r>
      <w:r>
        <w:t xml:space="preserve"> to the exporting country</w:t>
      </w:r>
      <w:r w:rsidR="00DA7303">
        <w:t>. However</w:t>
      </w:r>
      <w:r w:rsidR="00190436">
        <w:t xml:space="preserve"> bilaterally countries could agree upon messages being returned through the hub</w:t>
      </w:r>
      <w:r>
        <w:t xml:space="preserve"> to verify the status of the consignment</w:t>
      </w:r>
      <w:r w:rsidR="00190436">
        <w:t xml:space="preserve">. For example, country A could agree with country B to provide an envelope with a status code: “approved” to verify that the certificate was accepted by the importing country. </w:t>
      </w:r>
      <w:r w:rsidR="00B85976">
        <w:t xml:space="preserve">However, the members noted that </w:t>
      </w:r>
      <w:r w:rsidR="003309A1">
        <w:t xml:space="preserve">harmonisation of </w:t>
      </w:r>
      <w:r w:rsidR="00B85976">
        <w:t>such transaction</w:t>
      </w:r>
      <w:r w:rsidR="003309A1">
        <w:t>s</w:t>
      </w:r>
      <w:r w:rsidR="00B85976">
        <w:t xml:space="preserve"> is complicated given that countries would need to determine what</w:t>
      </w:r>
      <w:r w:rsidR="003309A1">
        <w:t xml:space="preserve"> terms such as </w:t>
      </w:r>
      <w:r w:rsidR="00B85976">
        <w:t xml:space="preserve"> “approved” </w:t>
      </w:r>
      <w:r>
        <w:t>confirms</w:t>
      </w:r>
      <w:r w:rsidR="00B85976">
        <w:t xml:space="preserve"> (e.g. release of the goods, approval of the certificate as meeting import requirements, etc.).</w:t>
      </w:r>
    </w:p>
    <w:p w14:paraId="6CFD0133" w14:textId="77777777" w:rsidR="006737E7" w:rsidRDefault="006737E7" w:rsidP="00285774">
      <w:pPr>
        <w:jc w:val="both"/>
      </w:pPr>
      <w:r>
        <w:t>Other minor adjustments to the document were als</w:t>
      </w:r>
      <w:r w:rsidR="006868BA">
        <w:t>o</w:t>
      </w:r>
      <w:r>
        <w:t xml:space="preserve"> discussed by the members and the document approved. </w:t>
      </w:r>
    </w:p>
    <w:p w14:paraId="4123E076" w14:textId="77777777" w:rsidR="008F6DA0" w:rsidRDefault="006737E7" w:rsidP="00285774">
      <w:pPr>
        <w:jc w:val="both"/>
      </w:pPr>
      <w:r>
        <w:t xml:space="preserve">The UNICC agreed to revise the hub and WSDL documents by </w:t>
      </w:r>
      <w:r w:rsidR="008F6DA0">
        <w:t>27</w:t>
      </w:r>
      <w:r w:rsidR="008F6DA0" w:rsidRPr="008F6DA0">
        <w:rPr>
          <w:vertAlign w:val="superscript"/>
        </w:rPr>
        <w:t>th</w:t>
      </w:r>
      <w:r w:rsidR="008F6DA0">
        <w:t xml:space="preserve"> </w:t>
      </w:r>
      <w:r>
        <w:t xml:space="preserve">March </w:t>
      </w:r>
      <w:r w:rsidR="008F6DA0">
        <w:t xml:space="preserve">2017 </w:t>
      </w:r>
      <w:r>
        <w:t xml:space="preserve">at which </w:t>
      </w:r>
      <w:r w:rsidR="006868BA">
        <w:t xml:space="preserve">time </w:t>
      </w:r>
      <w:r>
        <w:t xml:space="preserve">both </w:t>
      </w:r>
      <w:r w:rsidR="006868BA">
        <w:t>documents</w:t>
      </w:r>
      <w:r>
        <w:t xml:space="preserve"> would be considered</w:t>
      </w:r>
      <w:r w:rsidR="008F6DA0">
        <w:t xml:space="preserve"> </w:t>
      </w:r>
      <w:r w:rsidR="006868BA">
        <w:t>finalised</w:t>
      </w:r>
      <w:r w:rsidR="008F6DA0">
        <w:t xml:space="preserve"> until after development and piloting</w:t>
      </w:r>
      <w:r w:rsidR="006868BA">
        <w:t xml:space="preserve"> of the hub</w:t>
      </w:r>
      <w:r w:rsidR="008F6DA0">
        <w:t>.</w:t>
      </w:r>
    </w:p>
    <w:p w14:paraId="1866EE1B" w14:textId="77777777" w:rsidR="00591933" w:rsidRDefault="00591933" w:rsidP="00285774">
      <w:pPr>
        <w:jc w:val="both"/>
      </w:pPr>
      <w:r>
        <w:t xml:space="preserve">The UNICC indicated that the system should be ready for piloting in late July or early August. A service level guide will also be developed by the UNICC to describe the service operation details including contact information, how service issues will be addressed, etc. </w:t>
      </w:r>
    </w:p>
    <w:p w14:paraId="3FC9301D" w14:textId="5FAAE815" w:rsidR="008F6DA0" w:rsidRDefault="007173FA" w:rsidP="00285774">
      <w:pPr>
        <w:jc w:val="both"/>
      </w:pPr>
      <w:r>
        <w:t xml:space="preserve">The members noted that there is also a need for additional </w:t>
      </w:r>
      <w:r w:rsidR="008F6DA0">
        <w:t xml:space="preserve">guidance </w:t>
      </w:r>
      <w:r>
        <w:t xml:space="preserve">documents to </w:t>
      </w:r>
      <w:r w:rsidR="008F6DA0">
        <w:t>assist</w:t>
      </w:r>
      <w:r>
        <w:t xml:space="preserve"> countries</w:t>
      </w:r>
      <w:r w:rsidR="008F6DA0">
        <w:t xml:space="preserve"> with </w:t>
      </w:r>
      <w:r>
        <w:t xml:space="preserve">implementing </w:t>
      </w:r>
      <w:r w:rsidR="003309A1">
        <w:t xml:space="preserve">exchange </w:t>
      </w:r>
      <w:r w:rsidR="008F6DA0">
        <w:t xml:space="preserve">through </w:t>
      </w:r>
      <w:r>
        <w:t>the hub. For example, countries will require guid</w:t>
      </w:r>
      <w:r w:rsidR="003309A1">
        <w:t>ance</w:t>
      </w:r>
      <w:r>
        <w:t xml:space="preserve"> on connecting to the hub. UNICC </w:t>
      </w:r>
      <w:r w:rsidR="008F6DA0">
        <w:t>agreed</w:t>
      </w:r>
      <w:r>
        <w:t xml:space="preserve"> that these documents will be produced as part of the development and implementation of the hub</w:t>
      </w:r>
      <w:r w:rsidR="005C6F00">
        <w:t>, o</w:t>
      </w:r>
      <w:r>
        <w:t xml:space="preserve">nce the FAO-UNICC agreement is </w:t>
      </w:r>
      <w:r w:rsidR="005C6F00">
        <w:t>finalized</w:t>
      </w:r>
      <w:r>
        <w:t>.</w:t>
      </w:r>
      <w:r w:rsidR="005C6F00">
        <w:t xml:space="preserve"> </w:t>
      </w:r>
    </w:p>
    <w:p w14:paraId="2447AC1E" w14:textId="545791B8" w:rsidR="005A3340" w:rsidRDefault="005C6F00" w:rsidP="00285774">
      <w:pPr>
        <w:jc w:val="both"/>
      </w:pPr>
      <w:r>
        <w:t xml:space="preserve">The UNICC </w:t>
      </w:r>
      <w:r w:rsidR="006868BA">
        <w:t>indicated</w:t>
      </w:r>
      <w:r>
        <w:t xml:space="preserve"> that during the </w:t>
      </w:r>
      <w:r w:rsidR="006868BA">
        <w:t xml:space="preserve">development of the hub, </w:t>
      </w:r>
      <w:r>
        <w:t xml:space="preserve">some testing </w:t>
      </w:r>
      <w:r w:rsidR="006868BA">
        <w:t>will be required prior to the pilot</w:t>
      </w:r>
      <w:r>
        <w:t xml:space="preserve">. </w:t>
      </w:r>
      <w:r w:rsidR="003B066F">
        <w:t>This is to test the environment, rather than the exchange</w:t>
      </w:r>
      <w:r w:rsidR="00E8469D">
        <w:t>, with ‘empty envelopes’</w:t>
      </w:r>
      <w:r w:rsidR="003B066F">
        <w:t>.</w:t>
      </w:r>
      <w:r w:rsidR="00E8469D">
        <w:t xml:space="preserve"> </w:t>
      </w:r>
      <w:r>
        <w:t>This includes testin</w:t>
      </w:r>
      <w:r w:rsidR="006868BA">
        <w:t>g the API, for example</w:t>
      </w:r>
      <w:r>
        <w:t xml:space="preserve">. </w:t>
      </w:r>
      <w:r w:rsidR="006868BA">
        <w:t>T</w:t>
      </w:r>
      <w:r>
        <w:t xml:space="preserve">he members of the PTC/ESG will provide expertise </w:t>
      </w:r>
      <w:r w:rsidR="006868BA">
        <w:t xml:space="preserve">through </w:t>
      </w:r>
      <w:r>
        <w:t xml:space="preserve">their in-house </w:t>
      </w:r>
      <w:r w:rsidR="006868BA">
        <w:t>information technology</w:t>
      </w:r>
      <w:r>
        <w:t xml:space="preserve"> staff to </w:t>
      </w:r>
      <w:r w:rsidR="006868BA">
        <w:t xml:space="preserve">undertake </w:t>
      </w:r>
      <w:r>
        <w:t xml:space="preserve">this </w:t>
      </w:r>
      <w:r w:rsidR="006868BA">
        <w:t>testing</w:t>
      </w:r>
      <w:r>
        <w:t xml:space="preserve">. </w:t>
      </w:r>
      <w:r w:rsidR="006868BA">
        <w:t>The UNICC indicated that they will establish an electronic collaboration platform where test countries can carry out mock exchanges.</w:t>
      </w:r>
      <w:r w:rsidR="000771C6">
        <w:t xml:space="preserve"> With respect to the test environment, t</w:t>
      </w:r>
      <w:r w:rsidR="005A3340">
        <w:t xml:space="preserve">he UNICC </w:t>
      </w:r>
      <w:r w:rsidR="000771C6">
        <w:t>reported</w:t>
      </w:r>
      <w:r w:rsidR="005A3340">
        <w:t xml:space="preserve"> that they will be developing a test plan which </w:t>
      </w:r>
      <w:r w:rsidR="000771C6">
        <w:t>may</w:t>
      </w:r>
      <w:r w:rsidR="005A3340">
        <w:t xml:space="preserve"> be reviewed by the PTC. </w:t>
      </w:r>
    </w:p>
    <w:p w14:paraId="6CA2BDBB" w14:textId="3A96637E" w:rsidR="007A56B3" w:rsidRDefault="005A0714" w:rsidP="00285774">
      <w:pPr>
        <w:jc w:val="both"/>
      </w:pPr>
      <w:r>
        <w:t xml:space="preserve">The additional components required for implementing the pilot, including the legal documents, pilot testing requirements, business modelling requirements, etc. </w:t>
      </w:r>
      <w:r w:rsidR="00C7681F">
        <w:t xml:space="preserve">is likely to require </w:t>
      </w:r>
      <w:r w:rsidR="00C7681F">
        <w:lastRenderedPageBreak/>
        <w:t>significantly longer</w:t>
      </w:r>
      <w:r w:rsidR="000771C6">
        <w:t xml:space="preserve"> development time</w:t>
      </w:r>
      <w:r w:rsidR="00C7681F">
        <w:t xml:space="preserve">. Furthermore countries will require time to establish requests for change, etc. As a result, the commencement of the pilot is likely to </w:t>
      </w:r>
      <w:r w:rsidR="000771C6">
        <w:t>start</w:t>
      </w:r>
      <w:r w:rsidR="00C7681F">
        <w:t xml:space="preserve"> later in 2017.</w:t>
      </w:r>
    </w:p>
    <w:p w14:paraId="3A55B009" w14:textId="0DFCF534" w:rsidR="007A56B3" w:rsidRDefault="007A56B3" w:rsidP="00285774">
      <w:pPr>
        <w:jc w:val="both"/>
      </w:pPr>
      <w:r>
        <w:t xml:space="preserve">The members </w:t>
      </w:r>
      <w:r w:rsidR="000771C6">
        <w:t xml:space="preserve">noted that </w:t>
      </w:r>
      <w:r w:rsidR="003309A1">
        <w:t xml:space="preserve">countries </w:t>
      </w:r>
      <w:r w:rsidR="000771C6">
        <w:t xml:space="preserve">have not received much information regarding the developments in ePhyto since </w:t>
      </w:r>
      <w:r w:rsidR="003B066F">
        <w:t>early</w:t>
      </w:r>
      <w:r w:rsidR="000771C6">
        <w:t xml:space="preserve">-2016, they felt that </w:t>
      </w:r>
      <w:r>
        <w:t xml:space="preserve">an update on the potential requirements for implementing the </w:t>
      </w:r>
      <w:r w:rsidR="000771C6">
        <w:t>hub service</w:t>
      </w:r>
      <w:r w:rsidR="00842A99">
        <w:t xml:space="preserve"> </w:t>
      </w:r>
      <w:r w:rsidR="000771C6">
        <w:t>would</w:t>
      </w:r>
      <w:r w:rsidR="00842A99">
        <w:t xml:space="preserve"> ensure that countries that are preparing to implement systems can be </w:t>
      </w:r>
      <w:r w:rsidR="000771C6">
        <w:t>ready to implement at the appropriate time</w:t>
      </w:r>
      <w:r w:rsidR="00842A99">
        <w:t xml:space="preserve">. </w:t>
      </w:r>
    </w:p>
    <w:p w14:paraId="044F21EA" w14:textId="77777777" w:rsidR="00722D8B" w:rsidRDefault="00722D8B" w:rsidP="00285774">
      <w:pPr>
        <w:jc w:val="both"/>
      </w:pPr>
      <w:r>
        <w:t xml:space="preserve">The members reviewed the timeline for the development of the hub and GeNS. They noted that the GeNS would require significantly more time for development, given that an evaluation of the ASYCER system will initially need to be undertaken. They concluded that this divergence in development timeframes should not slow testing of the hub. They proposed that testing of the hub by countries with existing national systems should proceed independently of the testing of the GeNS. This approach would therefore result in two separate pilots. </w:t>
      </w:r>
    </w:p>
    <w:p w14:paraId="6AD4BCE9" w14:textId="37FD8042" w:rsidR="0006664E" w:rsidRDefault="00722D8B" w:rsidP="00285774">
      <w:pPr>
        <w:jc w:val="both"/>
      </w:pPr>
      <w:r>
        <w:t>They</w:t>
      </w:r>
      <w:r w:rsidR="0006664E" w:rsidRPr="0006664E">
        <w:t xml:space="preserve"> </w:t>
      </w:r>
      <w:r w:rsidR="00B1223E">
        <w:t xml:space="preserve">then </w:t>
      </w:r>
      <w:r w:rsidR="0006664E" w:rsidRPr="0006664E">
        <w:t>considered the criteria required for the evaluation of the hub</w:t>
      </w:r>
      <w:r w:rsidR="003B066F">
        <w:t xml:space="preserve"> pilot</w:t>
      </w:r>
      <w:r w:rsidR="0006664E">
        <w:t>. Th</w:t>
      </w:r>
      <w:r w:rsidR="000771C6">
        <w:t xml:space="preserve">ey developed some detailed suggestions </w:t>
      </w:r>
      <w:r w:rsidR="00B55663">
        <w:t>on what criteria c</w:t>
      </w:r>
      <w:r w:rsidR="000771C6">
        <w:t>ould be used. The</w:t>
      </w:r>
      <w:r w:rsidR="003C4CC7">
        <w:t xml:space="preserve"> details are appended as Annex 2</w:t>
      </w:r>
      <w:r w:rsidR="000771C6">
        <w:t>. The general considerations included: the simplicity of operation; the appropriateness of the test plan; the clarity and completeness of the on-boarding process</w:t>
      </w:r>
      <w:r>
        <w:t xml:space="preserve">; the appropriateness of the legal framework for operation; whether the technical details included </w:t>
      </w:r>
      <w:r w:rsidR="00C00A41">
        <w:t xml:space="preserve">on </w:t>
      </w:r>
      <w:r>
        <w:t>the envelope were sufficient; etc.</w:t>
      </w:r>
    </w:p>
    <w:p w14:paraId="7E602B9B" w14:textId="77777777" w:rsidR="0006664E" w:rsidRDefault="00786E68" w:rsidP="00285774">
      <w:pPr>
        <w:jc w:val="both"/>
      </w:pPr>
      <w:r>
        <w:t xml:space="preserve">The group agreed that the </w:t>
      </w:r>
      <w:r w:rsidR="00B55663">
        <w:t xml:space="preserve">hub </w:t>
      </w:r>
      <w:r>
        <w:t>pilot should be limited to 120 days followed by</w:t>
      </w:r>
      <w:r w:rsidR="00B55663">
        <w:t xml:space="preserve"> an</w:t>
      </w:r>
      <w:r>
        <w:t xml:space="preserve"> evaluation </w:t>
      </w:r>
      <w:r w:rsidR="00B55663">
        <w:t>completed in</w:t>
      </w:r>
      <w:r>
        <w:t xml:space="preserve"> 30 days. </w:t>
      </w:r>
    </w:p>
    <w:p w14:paraId="4A75C7FA" w14:textId="77777777" w:rsidR="00FB6D56" w:rsidRDefault="00FB6D56" w:rsidP="00285774">
      <w:pPr>
        <w:jc w:val="both"/>
      </w:pPr>
      <w:r>
        <w:t xml:space="preserve">The UNICC </w:t>
      </w:r>
      <w:r w:rsidR="00B55663">
        <w:t xml:space="preserve">also </w:t>
      </w:r>
      <w:r>
        <w:t xml:space="preserve">explained their service warranty. They indicated that they provide </w:t>
      </w:r>
      <w:r w:rsidR="00B55663">
        <w:t>an unlimited</w:t>
      </w:r>
      <w:r>
        <w:t xml:space="preserve"> service warranty following production. </w:t>
      </w:r>
      <w:r w:rsidR="00B55663">
        <w:t>However following production any changes in service operation or routine maintenance will be factored into the operating costs of the system.</w:t>
      </w:r>
    </w:p>
    <w:p w14:paraId="2385A69A" w14:textId="77777777" w:rsidR="00C54842" w:rsidRDefault="00C54842" w:rsidP="00285774">
      <w:pPr>
        <w:pStyle w:val="Heading1"/>
        <w:jc w:val="both"/>
      </w:pPr>
      <w:bookmarkStart w:id="11" w:name="_Toc482185427"/>
      <w:r w:rsidRPr="00C54842">
        <w:t>GeNS development</w:t>
      </w:r>
      <w:bookmarkEnd w:id="11"/>
    </w:p>
    <w:p w14:paraId="5955212F" w14:textId="77777777" w:rsidR="00B55663" w:rsidRDefault="0052495F" w:rsidP="00285774">
      <w:pPr>
        <w:jc w:val="both"/>
      </w:pPr>
      <w:r>
        <w:t xml:space="preserve">The members </w:t>
      </w:r>
      <w:r w:rsidR="00DA2C56">
        <w:t>reviewed</w:t>
      </w:r>
      <w:r>
        <w:t xml:space="preserve"> the specifications based upon the changes made by UNICC</w:t>
      </w:r>
      <w:r w:rsidR="00DA2C56">
        <w:t xml:space="preserve"> in re</w:t>
      </w:r>
      <w:r w:rsidR="00D068A7">
        <w:t>s</w:t>
      </w:r>
      <w:r w:rsidR="00DA2C56">
        <w:t>ponse to comments from the PTC/ESG resulting from its meeting in Argentina</w:t>
      </w:r>
      <w:r w:rsidR="00B55663">
        <w:t xml:space="preserve"> and proposed the following:</w:t>
      </w:r>
    </w:p>
    <w:p w14:paraId="31E6ED9A" w14:textId="77777777" w:rsidR="00B55663" w:rsidRDefault="00B55663" w:rsidP="00285774">
      <w:pPr>
        <w:pStyle w:val="ListParagraph"/>
        <w:numPr>
          <w:ilvl w:val="0"/>
          <w:numId w:val="36"/>
        </w:numPr>
        <w:jc w:val="both"/>
      </w:pPr>
      <w:r w:rsidRPr="00B55663">
        <w:rPr>
          <w:i/>
        </w:rPr>
        <w:t>NPPO administrators</w:t>
      </w:r>
      <w:r>
        <w:t xml:space="preserve"> – they </w:t>
      </w:r>
      <w:r w:rsidR="00952AFA">
        <w:t xml:space="preserve">emphasized the need to </w:t>
      </w:r>
      <w:r>
        <w:t>have</w:t>
      </w:r>
      <w:r w:rsidR="00952AFA">
        <w:t xml:space="preserve"> at least two NPPO administrators </w:t>
      </w:r>
      <w:r>
        <w:t xml:space="preserve">identified </w:t>
      </w:r>
      <w:r w:rsidR="00952AFA">
        <w:t>so that a contact point is always available. The administrator should be able to assign administrator rights to others in the NPPO</w:t>
      </w:r>
      <w:r>
        <w:t xml:space="preserve"> operation and change the status of NPPO roles</w:t>
      </w:r>
      <w:r w:rsidR="00952AFA">
        <w:t>. This option should allow the NPPO to consistently maintain administrators</w:t>
      </w:r>
      <w:r>
        <w:t xml:space="preserve">. The </w:t>
      </w:r>
      <w:r w:rsidR="00952AFA">
        <w:t xml:space="preserve">UNICC </w:t>
      </w:r>
      <w:r>
        <w:t xml:space="preserve">agreed </w:t>
      </w:r>
      <w:r w:rsidR="00952AFA">
        <w:t xml:space="preserve">to </w:t>
      </w:r>
      <w:r>
        <w:t xml:space="preserve">administratively </w:t>
      </w:r>
      <w:r w:rsidR="00952AFA">
        <w:t>maintain an up to date contact point in the country</w:t>
      </w:r>
      <w:r>
        <w:t xml:space="preserve"> by requiring the NPPO to update the listing of the NPPO administrators on a routine basis</w:t>
      </w:r>
      <w:r w:rsidR="00952AFA">
        <w:t>.</w:t>
      </w:r>
    </w:p>
    <w:p w14:paraId="03360B82" w14:textId="05C093AD" w:rsidR="007E1218" w:rsidRDefault="00B55663" w:rsidP="00285774">
      <w:pPr>
        <w:pStyle w:val="ListParagraph"/>
        <w:numPr>
          <w:ilvl w:val="0"/>
          <w:numId w:val="36"/>
        </w:numPr>
        <w:jc w:val="both"/>
      </w:pPr>
      <w:r>
        <w:rPr>
          <w:i/>
        </w:rPr>
        <w:t xml:space="preserve">Offline access </w:t>
      </w:r>
      <w:r>
        <w:t>– the</w:t>
      </w:r>
      <w:r w:rsidR="00DA2C56">
        <w:t xml:space="preserve"> members noted that in some developing countries access to the </w:t>
      </w:r>
      <w:r>
        <w:t xml:space="preserve">internet </w:t>
      </w:r>
      <w:r w:rsidR="00DA2C56">
        <w:t xml:space="preserve">may be </w:t>
      </w:r>
      <w:r w:rsidR="00C00A41">
        <w:t xml:space="preserve">interrupted </w:t>
      </w:r>
      <w:r>
        <w:t xml:space="preserve">or network connections may be weak. </w:t>
      </w:r>
      <w:r w:rsidR="00DA2C56">
        <w:t xml:space="preserve">The UNICC agreed to </w:t>
      </w:r>
      <w:r>
        <w:t xml:space="preserve">identify separately </w:t>
      </w:r>
      <w:r w:rsidR="00DA2C56">
        <w:t xml:space="preserve">the cost of developing an offline module. </w:t>
      </w:r>
      <w:r w:rsidR="007E1218">
        <w:t>The offline component w</w:t>
      </w:r>
      <w:r w:rsidR="004361FB">
        <w:t>ould be centrally managed to ensure consistency between the overall system and the offline data entry.</w:t>
      </w:r>
    </w:p>
    <w:p w14:paraId="4B64368B" w14:textId="47EDFE1B" w:rsidR="007E1218" w:rsidRDefault="007E1218" w:rsidP="00285774">
      <w:pPr>
        <w:pStyle w:val="ListParagraph"/>
        <w:numPr>
          <w:ilvl w:val="0"/>
          <w:numId w:val="36"/>
        </w:numPr>
        <w:jc w:val="both"/>
      </w:pPr>
      <w:r w:rsidRPr="007E1218">
        <w:rPr>
          <w:i/>
        </w:rPr>
        <w:t xml:space="preserve">Administrator’s ability to configure the system – </w:t>
      </w:r>
      <w:r w:rsidRPr="007E1218">
        <w:t xml:space="preserve">Although the members did not propose that administrator should have broad abilities to configure the system, they felt that administrators should be clear on what features could be configured. </w:t>
      </w:r>
      <w:r w:rsidR="00C2707A" w:rsidRPr="007E1218">
        <w:t xml:space="preserve">The members noted that </w:t>
      </w:r>
      <w:r>
        <w:t xml:space="preserve">this should be clear in the training of countries. </w:t>
      </w:r>
    </w:p>
    <w:p w14:paraId="5E8D54CE" w14:textId="77777777" w:rsidR="007E1218" w:rsidRDefault="007E1218" w:rsidP="00285774">
      <w:pPr>
        <w:pStyle w:val="ListParagraph"/>
        <w:numPr>
          <w:ilvl w:val="0"/>
          <w:numId w:val="36"/>
        </w:numPr>
        <w:jc w:val="both"/>
      </w:pPr>
      <w:r>
        <w:rPr>
          <w:i/>
        </w:rPr>
        <w:lastRenderedPageBreak/>
        <w:t>Withdrawal of certificates and/or replacement of certificates –</w:t>
      </w:r>
      <w:r>
        <w:t xml:space="preserve"> the </w:t>
      </w:r>
      <w:r w:rsidR="00D068A7">
        <w:t xml:space="preserve">members clarified the workflow related to </w:t>
      </w:r>
      <w:r>
        <w:t xml:space="preserve">the withdrawal or </w:t>
      </w:r>
      <w:r w:rsidR="00D068A7">
        <w:t xml:space="preserve">replacement </w:t>
      </w:r>
      <w:r w:rsidR="00D66FA8">
        <w:t xml:space="preserve">of </w:t>
      </w:r>
      <w:r w:rsidR="00D068A7">
        <w:t xml:space="preserve">certificates. </w:t>
      </w:r>
      <w:r>
        <w:t>They noted that the workflows were combined, but that in many cases a company may request withdrawal of the certificate without requiring a replacement certificate. While in other cases they may request that the original certificate be replaced with a new certificate. The withdrawal process may be summarized as the issuance of a withdraw</w:t>
      </w:r>
      <w:r w:rsidR="00D66FA8">
        <w:t>a</w:t>
      </w:r>
      <w:r>
        <w:t xml:space="preserve">l request envelope, while the replacement process is “withdrawal” followed by </w:t>
      </w:r>
      <w:r w:rsidR="00D66FA8">
        <w:t xml:space="preserve"> the request </w:t>
      </w:r>
      <w:r>
        <w:t>“create new certificate”</w:t>
      </w:r>
    </w:p>
    <w:p w14:paraId="6EFB394D" w14:textId="2538B37E" w:rsidR="00B61790" w:rsidRDefault="007E1218" w:rsidP="00285774">
      <w:pPr>
        <w:pStyle w:val="ListParagraph"/>
        <w:numPr>
          <w:ilvl w:val="0"/>
          <w:numId w:val="36"/>
        </w:numPr>
        <w:jc w:val="both"/>
      </w:pPr>
      <w:r>
        <w:rPr>
          <w:i/>
        </w:rPr>
        <w:t>Copy of certificates</w:t>
      </w:r>
      <w:r w:rsidR="00D66FA8">
        <w:rPr>
          <w:i/>
        </w:rPr>
        <w:t xml:space="preserve"> for repeated certificate requests</w:t>
      </w:r>
      <w:r>
        <w:rPr>
          <w:i/>
        </w:rPr>
        <w:t xml:space="preserve"> –</w:t>
      </w:r>
      <w:r>
        <w:t xml:space="preserve"> t</w:t>
      </w:r>
      <w:r w:rsidR="00617750">
        <w:t>he members considered the work flow of certificates being issued for repeat consignments and for shipments that are split f</w:t>
      </w:r>
      <w:r w:rsidR="00D66FA8">
        <w:t>ol</w:t>
      </w:r>
      <w:r w:rsidR="00617750">
        <w:t>lowing issu</w:t>
      </w:r>
      <w:r w:rsidR="00D66FA8">
        <w:t>ance</w:t>
      </w:r>
      <w:r w:rsidR="00617750">
        <w:t xml:space="preserve"> of a certificate. The work flows introduce the need to copy and edit information. </w:t>
      </w:r>
      <w:r w:rsidR="001E75B6">
        <w:t>However, the members agreed that the copy of information should be simple and not introduce complexities in managing and securing</w:t>
      </w:r>
      <w:r w:rsidR="00D66FA8">
        <w:t xml:space="preserve"> of</w:t>
      </w:r>
      <w:r w:rsidR="001E75B6">
        <w:t xml:space="preserve"> the information. </w:t>
      </w:r>
      <w:r w:rsidR="00700071">
        <w:t xml:space="preserve">The members agreed that the copy function initiates a new request and should allow users to edit the fields as required. The members also noted that the copy function should be available for </w:t>
      </w:r>
      <w:r w:rsidR="00D66FA8">
        <w:t xml:space="preserve">certificate requests, for </w:t>
      </w:r>
      <w:r w:rsidR="00700071">
        <w:t>issued certificates and for certificates in the queue for issuance.</w:t>
      </w:r>
    </w:p>
    <w:p w14:paraId="1E5D659C" w14:textId="77777777" w:rsidR="00030A18" w:rsidRDefault="00B61790" w:rsidP="00285774">
      <w:pPr>
        <w:pStyle w:val="ListParagraph"/>
        <w:numPr>
          <w:ilvl w:val="0"/>
          <w:numId w:val="36"/>
        </w:numPr>
        <w:jc w:val="both"/>
      </w:pPr>
      <w:r>
        <w:rPr>
          <w:i/>
        </w:rPr>
        <w:t>Issuance of Phytosanitary Certificates for R</w:t>
      </w:r>
      <w:r w:rsidRPr="00B61790">
        <w:rPr>
          <w:i/>
        </w:rPr>
        <w:t>e-export</w:t>
      </w:r>
      <w:r>
        <w:t xml:space="preserve"> – the </w:t>
      </w:r>
      <w:r w:rsidR="00117ECC">
        <w:t xml:space="preserve">members reviewed the workflow of </w:t>
      </w:r>
      <w:r w:rsidR="00D66FA8">
        <w:t xml:space="preserve">issuance of certificates for re-export </w:t>
      </w:r>
      <w:r>
        <w:t xml:space="preserve">developed </w:t>
      </w:r>
      <w:r w:rsidR="00117ECC">
        <w:t xml:space="preserve">by UNICC </w:t>
      </w:r>
      <w:r>
        <w:t xml:space="preserve">and </w:t>
      </w:r>
      <w:r w:rsidR="00117ECC">
        <w:t>appropriately</w:t>
      </w:r>
      <w:r>
        <w:t xml:space="preserve"> revised it to </w:t>
      </w:r>
      <w:r w:rsidR="00117ECC">
        <w:t>reflect the process of certification. The members noted that some countries have requirements inconsistent with ISPM 12</w:t>
      </w:r>
      <w:r>
        <w:t xml:space="preserve"> (e.g. requirements for issuing re-export certificates for commodities that are </w:t>
      </w:r>
      <w:r w:rsidR="00D66FA8">
        <w:t xml:space="preserve">at first import not </w:t>
      </w:r>
      <w:r>
        <w:t>accompanied by Phytosanitary Certificates)</w:t>
      </w:r>
      <w:r w:rsidR="00117ECC">
        <w:t xml:space="preserve"> and this </w:t>
      </w:r>
      <w:r>
        <w:t>should</w:t>
      </w:r>
      <w:r w:rsidR="00117ECC">
        <w:t xml:space="preserve"> not </w:t>
      </w:r>
      <w:r>
        <w:t xml:space="preserve">be </w:t>
      </w:r>
      <w:r w:rsidR="00117ECC">
        <w:t>accounted for in the workflow.</w:t>
      </w:r>
    </w:p>
    <w:p w14:paraId="36D23057" w14:textId="0BE23DED" w:rsidR="00B61790" w:rsidRDefault="00030A18" w:rsidP="00285774">
      <w:pPr>
        <w:pStyle w:val="ListParagraph"/>
        <w:numPr>
          <w:ilvl w:val="0"/>
          <w:numId w:val="36"/>
        </w:numPr>
        <w:jc w:val="both"/>
      </w:pPr>
      <w:r w:rsidRPr="001A6AEB">
        <w:rPr>
          <w:i/>
        </w:rPr>
        <w:t xml:space="preserve">Validation of </w:t>
      </w:r>
      <w:r w:rsidR="00E91D96" w:rsidRPr="001A6AEB">
        <w:rPr>
          <w:i/>
        </w:rPr>
        <w:t>exchanges</w:t>
      </w:r>
      <w:r w:rsidR="00E91D96" w:rsidRPr="00030A18">
        <w:t xml:space="preserve"> –</w:t>
      </w:r>
      <w:r w:rsidRPr="00030A18">
        <w:t xml:space="preserve"> The members noted that importing countries should have access to validate a</w:t>
      </w:r>
      <w:r>
        <w:t>n</w:t>
      </w:r>
      <w:r w:rsidR="00DA301A">
        <w:t>y</w:t>
      </w:r>
      <w:r w:rsidRPr="00030A18">
        <w:t xml:space="preserve"> certificate. The validation should provide the complete details of the certificate to allow NPPOs to verify that the certificate was legitimately issued and contains only original data.  The members noted that exposing the data to access introduces new legal risks which also must be addressed by the IPPC Secretariat. The members agreed that some information on the certificate should be redacted to prevent exposing trade data (e.g. name and address of exporter, name and address of importer, etc.).  </w:t>
      </w:r>
      <w:r w:rsidR="00117ECC">
        <w:t xml:space="preserve">  </w:t>
      </w:r>
    </w:p>
    <w:p w14:paraId="38954CB4" w14:textId="77777777" w:rsidR="0002074B" w:rsidRDefault="00B61790" w:rsidP="00285774">
      <w:pPr>
        <w:pStyle w:val="ListParagraph"/>
        <w:numPr>
          <w:ilvl w:val="0"/>
          <w:numId w:val="36"/>
        </w:numPr>
        <w:jc w:val="both"/>
      </w:pPr>
      <w:r>
        <w:rPr>
          <w:i/>
        </w:rPr>
        <w:t xml:space="preserve">In country storage of data </w:t>
      </w:r>
      <w:r w:rsidRPr="00B61790">
        <w:t>-</w:t>
      </w:r>
      <w:r>
        <w:t xml:space="preserve"> t</w:t>
      </w:r>
      <w:r w:rsidR="00AF76E0">
        <w:t xml:space="preserve">he members </w:t>
      </w:r>
      <w:r>
        <w:t>concluded that</w:t>
      </w:r>
      <w:r w:rsidR="00AF76E0">
        <w:t xml:space="preserve"> countries </w:t>
      </w:r>
      <w:r>
        <w:t>should comply with the general scope of the system which includes central data storage and should obtain the required legislation to support use of the system. It was also noted that countries will be able to store PDF copies of issued and received certificates fulfilling any obligations to access certificates in-country.</w:t>
      </w:r>
    </w:p>
    <w:p w14:paraId="52AC59B9" w14:textId="77777777" w:rsidR="00A12A34" w:rsidRDefault="00A12A34" w:rsidP="00285774">
      <w:pPr>
        <w:pStyle w:val="ListParagraph"/>
        <w:numPr>
          <w:ilvl w:val="0"/>
          <w:numId w:val="36"/>
        </w:numPr>
        <w:jc w:val="both"/>
      </w:pPr>
      <w:r>
        <w:rPr>
          <w:i/>
        </w:rPr>
        <w:t xml:space="preserve">Change requests </w:t>
      </w:r>
      <w:r w:rsidRPr="00A12A34">
        <w:t>-</w:t>
      </w:r>
      <w:r>
        <w:t xml:space="preserve"> </w:t>
      </w:r>
      <w:r w:rsidRPr="00A12A34">
        <w:t xml:space="preserve">The members also considered the process for dealing with </w:t>
      </w:r>
      <w:r w:rsidR="00057B59">
        <w:t xml:space="preserve">requests for </w:t>
      </w:r>
      <w:r>
        <w:t>change</w:t>
      </w:r>
      <w:r w:rsidR="00057B59">
        <w:t>s to the operation of the GeNS received</w:t>
      </w:r>
      <w:r w:rsidRPr="00A12A34">
        <w:t xml:space="preserve"> during the piloting. The PTC/ESG agreed that changes </w:t>
      </w:r>
      <w:r w:rsidR="00057B59">
        <w:t xml:space="preserve">only be made where required </w:t>
      </w:r>
      <w:r w:rsidRPr="00A12A34">
        <w:t>during the pilot.</w:t>
      </w:r>
      <w:r w:rsidR="00057B59">
        <w:t xml:space="preserve"> Requests should be catalogued. Any urgent requests should be triaged and addressed. Following the pilot, all other </w:t>
      </w:r>
      <w:r w:rsidRPr="00A12A34">
        <w:t>requested changes could then be evaluated and adopted if appropriate.</w:t>
      </w:r>
    </w:p>
    <w:p w14:paraId="38FB0139" w14:textId="77777777" w:rsidR="0002074B" w:rsidRPr="0052495F" w:rsidRDefault="0002074B" w:rsidP="00285774">
      <w:pPr>
        <w:jc w:val="both"/>
      </w:pPr>
      <w:r>
        <w:t xml:space="preserve">UNICC agreed to revise the GeNS document </w:t>
      </w:r>
      <w:r w:rsidR="00B61790">
        <w:t xml:space="preserve">by mid-April </w:t>
      </w:r>
      <w:r>
        <w:t>and to recirculate it to the PTC/ESG for final review.</w:t>
      </w:r>
    </w:p>
    <w:p w14:paraId="106ABA95" w14:textId="11FFF5C2" w:rsidR="007F10E2" w:rsidRDefault="00CB0693" w:rsidP="00285774">
      <w:pPr>
        <w:jc w:val="both"/>
      </w:pPr>
      <w:r>
        <w:t xml:space="preserve">Should </w:t>
      </w:r>
      <w:r w:rsidR="007F10E2">
        <w:t xml:space="preserve">UNICC </w:t>
      </w:r>
      <w:r>
        <w:t xml:space="preserve">be selected to develop and deploy the GeNS, the UNICC </w:t>
      </w:r>
      <w:r w:rsidR="007F10E2">
        <w:t xml:space="preserve">indicated </w:t>
      </w:r>
      <w:r w:rsidR="00E76D2B">
        <w:t xml:space="preserve">that it </w:t>
      </w:r>
      <w:r w:rsidR="007F10E2">
        <w:t xml:space="preserve">will </w:t>
      </w:r>
      <w:r>
        <w:t>develop user guides and other technical documents required for deployment</w:t>
      </w:r>
      <w:r w:rsidR="00DA7303">
        <w:t xml:space="preserve"> in parallel with the development of the system</w:t>
      </w:r>
      <w:r>
        <w:t>. The IPPC and UNICC would then</w:t>
      </w:r>
      <w:r w:rsidR="007F10E2">
        <w:t xml:space="preserve"> conduct training </w:t>
      </w:r>
      <w:r>
        <w:t xml:space="preserve">in countries </w:t>
      </w:r>
      <w:r w:rsidR="007F10E2">
        <w:t xml:space="preserve">which focuses on </w:t>
      </w:r>
      <w:r>
        <w:t xml:space="preserve">adjusting </w:t>
      </w:r>
      <w:r w:rsidR="007F10E2">
        <w:t xml:space="preserve">business processes, </w:t>
      </w:r>
      <w:r>
        <w:t xml:space="preserve">aligning </w:t>
      </w:r>
      <w:r w:rsidR="007F10E2">
        <w:t>work flows</w:t>
      </w:r>
      <w:r>
        <w:t xml:space="preserve"> with system work flows</w:t>
      </w:r>
      <w:r w:rsidR="00E76D2B">
        <w:t xml:space="preserve">, determining </w:t>
      </w:r>
      <w:r w:rsidR="00DA7303">
        <w:t>country needs for capacity development</w:t>
      </w:r>
      <w:r w:rsidR="00E76D2B">
        <w:t xml:space="preserve"> The UNICC would also then conduct </w:t>
      </w:r>
      <w:r w:rsidR="00E76D2B">
        <w:lastRenderedPageBreak/>
        <w:t>training in the</w:t>
      </w:r>
      <w:r w:rsidR="007F10E2">
        <w:t xml:space="preserve"> technical operation of the system. The members also suggested that IPPC Secretariat should establish some electronic training tools that can be distributed to countries. </w:t>
      </w:r>
    </w:p>
    <w:p w14:paraId="6984958E" w14:textId="29139FD6" w:rsidR="00896D1D" w:rsidRDefault="00896D1D" w:rsidP="00285774">
      <w:pPr>
        <w:jc w:val="both"/>
      </w:pPr>
      <w:r>
        <w:t xml:space="preserve">UNICC will also develop </w:t>
      </w:r>
      <w:r w:rsidR="00D45D5C">
        <w:t xml:space="preserve">a survey to find out the IT capacities of countries, e.g. the availability of scanners, storage facilities and kind and version of office IT in use in the country. </w:t>
      </w:r>
      <w:r w:rsidR="00DA7303">
        <w:t xml:space="preserve">Such a survey was </w:t>
      </w:r>
      <w:r w:rsidR="00D45D5C">
        <w:t xml:space="preserve">already </w:t>
      </w:r>
      <w:proofErr w:type="gramStart"/>
      <w:r w:rsidR="00DA7303">
        <w:t xml:space="preserve">conducted </w:t>
      </w:r>
      <w:r w:rsidR="00D45D5C">
        <w:t xml:space="preserve"> </w:t>
      </w:r>
      <w:r w:rsidR="00DA7303">
        <w:t>in</w:t>
      </w:r>
      <w:proofErr w:type="gramEnd"/>
      <w:r w:rsidR="00D45D5C">
        <w:t xml:space="preserve"> Sri Lanka and Samoa.</w:t>
      </w:r>
    </w:p>
    <w:p w14:paraId="1E6A67F7" w14:textId="70E78E96" w:rsidR="00A12A34" w:rsidRDefault="007D61F3" w:rsidP="00285774">
      <w:pPr>
        <w:jc w:val="both"/>
      </w:pPr>
      <w:r>
        <w:t xml:space="preserve">A member raised the issue of the naming of the generic ePhyto national system. The members again noted that the term “generic” has been misinterpreted by some countries. Some countries perceive the term generic as referring to some system that links national systems to the hub. The members also noted that much of the confusion is related to the fact that the documentation describing the GeNS is in English and is therefore misinterpreted by countries using other languages.  The members proposed that many of the factsheets developed should be translated. </w:t>
      </w:r>
    </w:p>
    <w:p w14:paraId="73234079" w14:textId="1B64ACA2" w:rsidR="00A12A34" w:rsidRPr="00A12A34" w:rsidRDefault="003B066F" w:rsidP="00285774">
      <w:pPr>
        <w:pStyle w:val="Heading1"/>
        <w:jc w:val="both"/>
      </w:pPr>
      <w:bookmarkStart w:id="12" w:name="_Toc482185428"/>
      <w:r>
        <w:t xml:space="preserve">Assessment of </w:t>
      </w:r>
      <w:r w:rsidR="005C2D1E">
        <w:t>ASYCER for u</w:t>
      </w:r>
      <w:r w:rsidR="00A12A34" w:rsidRPr="00A12A34">
        <w:t>se as the GeNS</w:t>
      </w:r>
      <w:bookmarkEnd w:id="12"/>
    </w:p>
    <w:p w14:paraId="2A6D68AE" w14:textId="7E55F305" w:rsidR="00A12A34" w:rsidRDefault="00A12A34" w:rsidP="00285774">
      <w:pPr>
        <w:jc w:val="both"/>
      </w:pPr>
      <w:r>
        <w:t xml:space="preserve">The members requested an update on the review of ASYCER as a potential option for the GeNS. The Secretariat noted that United Nations Centre for Trade and Development (UNCTAD) </w:t>
      </w:r>
      <w:r w:rsidR="003B066F">
        <w:t>were</w:t>
      </w:r>
      <w:r>
        <w:t xml:space="preserve"> presented with the specifications in January 2017 with the expectation that they would provide a proposal for using the ASYCER system as the basis of the GeNS. UNCTAD has responded with some comments on the specification and has requested some additional information regarding the data required for the system. The IPPC Secretariat met with UNCTAD to discuss the operation of the system. UNCTAD has agreed to develop a proposal for use of ASYCER as an option for the GeNS by 15 April 2017. </w:t>
      </w:r>
    </w:p>
    <w:p w14:paraId="648C50CC" w14:textId="760495B9" w:rsidR="00FD291A" w:rsidRDefault="00A12A34" w:rsidP="00285774">
      <w:pPr>
        <w:jc w:val="both"/>
      </w:pPr>
      <w:r>
        <w:t xml:space="preserve">Members felt that ASYCER is unlikely to meet the specification and noted that the system is currently unused. They noted that although the system had been set up in Ethiopia for use in exchanging certificates between Ethiopia and the Netherlands the systems use has been discontinued. The IPPC Secretariat reported that some international organizations have expressed concern regarding the use of ASYCER. </w:t>
      </w:r>
    </w:p>
    <w:p w14:paraId="6AB9A04B" w14:textId="77777777" w:rsidR="00A12A34" w:rsidRDefault="00A12A34" w:rsidP="00285774">
      <w:pPr>
        <w:jc w:val="both"/>
      </w:pPr>
      <w:r>
        <w:t>The members discussed the process associated with evaluation of the ASYCER system. They proposed that the process should be:</w:t>
      </w:r>
    </w:p>
    <w:p w14:paraId="6E4743D2" w14:textId="77777777" w:rsidR="00A12A34" w:rsidRDefault="00A12A34" w:rsidP="00285774">
      <w:pPr>
        <w:pStyle w:val="ListParagraph"/>
        <w:numPr>
          <w:ilvl w:val="0"/>
          <w:numId w:val="31"/>
        </w:numPr>
        <w:jc w:val="both"/>
      </w:pPr>
      <w:r>
        <w:t>Establishment of technical criteria by UNICC</w:t>
      </w:r>
    </w:p>
    <w:p w14:paraId="3F01C2AE" w14:textId="77777777" w:rsidR="00A12A34" w:rsidRDefault="00A12A34" w:rsidP="00285774">
      <w:pPr>
        <w:pStyle w:val="ListParagraph"/>
        <w:numPr>
          <w:ilvl w:val="0"/>
          <w:numId w:val="31"/>
        </w:numPr>
        <w:ind w:left="0" w:firstLine="360"/>
        <w:jc w:val="both"/>
      </w:pPr>
      <w:r>
        <w:t>Establishment of additional business criteria by the IPPC and ESG/PTC</w:t>
      </w:r>
    </w:p>
    <w:p w14:paraId="41965C8F" w14:textId="77777777" w:rsidR="00A12A34" w:rsidRDefault="00A12A34" w:rsidP="00285774">
      <w:pPr>
        <w:pStyle w:val="ListParagraph"/>
        <w:numPr>
          <w:ilvl w:val="0"/>
          <w:numId w:val="31"/>
        </w:numPr>
        <w:jc w:val="both"/>
      </w:pPr>
      <w:r>
        <w:t>Receipt of the submission by UNCTAD</w:t>
      </w:r>
    </w:p>
    <w:p w14:paraId="4069C180" w14:textId="77777777" w:rsidR="00A12A34" w:rsidRDefault="00A12A34" w:rsidP="00285774">
      <w:pPr>
        <w:pStyle w:val="ListParagraph"/>
        <w:numPr>
          <w:ilvl w:val="0"/>
          <w:numId w:val="31"/>
        </w:numPr>
        <w:jc w:val="both"/>
      </w:pPr>
      <w:r>
        <w:t>Evaluation of submission against the technical and business criteria by IPPC, PTC/ESG and UNICC</w:t>
      </w:r>
    </w:p>
    <w:p w14:paraId="34312664" w14:textId="77777777" w:rsidR="00A12A34" w:rsidRDefault="00A12A34" w:rsidP="00285774">
      <w:pPr>
        <w:pStyle w:val="ListParagraph"/>
        <w:numPr>
          <w:ilvl w:val="0"/>
          <w:numId w:val="31"/>
        </w:numPr>
        <w:jc w:val="both"/>
      </w:pPr>
      <w:r>
        <w:t>Submission of a report for review by the ePhyto Project Advisory Council (and perhaps by the Industry Advisory Group)</w:t>
      </w:r>
    </w:p>
    <w:p w14:paraId="5C9A8A77" w14:textId="121F2578" w:rsidR="00A12A34" w:rsidRDefault="00A12A34" w:rsidP="00285774">
      <w:pPr>
        <w:jc w:val="both"/>
      </w:pPr>
      <w:r>
        <w:t>The members proposed some key criteria that should be conside</w:t>
      </w:r>
      <w:r w:rsidR="006523B3">
        <w:t>red which is included as Annex 3</w:t>
      </w:r>
      <w:r>
        <w:t>.</w:t>
      </w:r>
    </w:p>
    <w:p w14:paraId="71490FFE" w14:textId="77777777" w:rsidR="005C2D1E" w:rsidRPr="005C2D1E" w:rsidRDefault="00FD291A" w:rsidP="00285774">
      <w:pPr>
        <w:jc w:val="both"/>
      </w:pPr>
      <w:r w:rsidRPr="005C2D1E">
        <w:t>Should ASYCER prove to be an unworkable option, UNICC will lead the assessment and selection of other existing software that may be reconfigured for use as GeNS. UNICC may issue a call for tenders or develop a proposal in-house.</w:t>
      </w:r>
    </w:p>
    <w:p w14:paraId="2FBEE3A7" w14:textId="217673C8" w:rsidR="00C54842" w:rsidRDefault="00C54842" w:rsidP="00285774">
      <w:pPr>
        <w:pStyle w:val="Heading1"/>
        <w:jc w:val="both"/>
      </w:pPr>
      <w:bookmarkStart w:id="13" w:name="_Toc482185429"/>
      <w:r w:rsidRPr="00C54842">
        <w:t>Harmonisation</w:t>
      </w:r>
      <w:r w:rsidR="005C2D1E">
        <w:t xml:space="preserve"> of phytosanitary data elements</w:t>
      </w:r>
      <w:bookmarkEnd w:id="13"/>
    </w:p>
    <w:p w14:paraId="49305123" w14:textId="77777777" w:rsidR="00002D35" w:rsidRDefault="00002D35" w:rsidP="00285774">
      <w:pPr>
        <w:jc w:val="both"/>
      </w:pPr>
      <w:r>
        <w:t xml:space="preserve">Mr. Dellis noted that he and Mr. </w:t>
      </w:r>
      <w:proofErr w:type="spellStart"/>
      <w:r>
        <w:t>Ales</w:t>
      </w:r>
      <w:r w:rsidR="00C2707A">
        <w:t>s</w:t>
      </w:r>
      <w:r>
        <w:t>andrini</w:t>
      </w:r>
      <w:proofErr w:type="spellEnd"/>
      <w:r>
        <w:t xml:space="preserve"> had made some minor changes to complete the lists with respect to the </w:t>
      </w:r>
      <w:r w:rsidR="00057B59">
        <w:t xml:space="preserve">narrowing the </w:t>
      </w:r>
      <w:r>
        <w:t xml:space="preserve">items </w:t>
      </w:r>
      <w:r w:rsidR="006B5E78">
        <w:t>of internationally agreed extensive lists</w:t>
      </w:r>
      <w:r w:rsidR="00057B59">
        <w:t xml:space="preserve"> to identify </w:t>
      </w:r>
      <w:r w:rsidR="00057B59">
        <w:lastRenderedPageBreak/>
        <w:t>only those required on a Phytosanitary C</w:t>
      </w:r>
      <w:r>
        <w:t>ertificate. They requested that IPPC Secretariat begin</w:t>
      </w:r>
      <w:r w:rsidR="00A17596">
        <w:t xml:space="preserve"> </w:t>
      </w:r>
      <w:r>
        <w:t>to populate the translations of the terms identified in the</w:t>
      </w:r>
      <w:r w:rsidR="006B5E78">
        <w:t xml:space="preserve"> limited</w:t>
      </w:r>
      <w:r>
        <w:t xml:space="preserve"> lists. </w:t>
      </w:r>
    </w:p>
    <w:p w14:paraId="5DA592E4" w14:textId="6BA025DF" w:rsidR="00057B59" w:rsidRDefault="00A17596" w:rsidP="00285774">
      <w:pPr>
        <w:jc w:val="both"/>
      </w:pPr>
      <w:r>
        <w:t xml:space="preserve">The members noted that there were several </w:t>
      </w:r>
      <w:r w:rsidR="006B5E78">
        <w:t xml:space="preserve">elements </w:t>
      </w:r>
      <w:r>
        <w:t xml:space="preserve">of the schema that have been established at the wrong level which creates some practical difficulties in issuing the certificate. Furthermore, the group identified some specific areas of the schema that do not include sufficient elements or is missing language options for certifying in additional </w:t>
      </w:r>
      <w:r w:rsidR="006C6BB7">
        <w:t xml:space="preserve">languages. </w:t>
      </w:r>
      <w:proofErr w:type="spellStart"/>
      <w:r w:rsidR="006C6BB7">
        <w:t>Mssrs</w:t>
      </w:r>
      <w:proofErr w:type="spellEnd"/>
      <w:r w:rsidR="006C6BB7">
        <w:t xml:space="preserve">. Dellis and </w:t>
      </w:r>
      <w:proofErr w:type="spellStart"/>
      <w:r w:rsidR="006C6BB7">
        <w:t>Al</w:t>
      </w:r>
      <w:r>
        <w:t>es</w:t>
      </w:r>
      <w:r w:rsidR="006C6BB7">
        <w:t>s</w:t>
      </w:r>
      <w:r>
        <w:t>andrini</w:t>
      </w:r>
      <w:proofErr w:type="spellEnd"/>
      <w:r>
        <w:t xml:space="preserve"> have distilled some of the lists, but have noted that some lists are incomplete. </w:t>
      </w:r>
      <w:r w:rsidR="00216E45">
        <w:t>The members proposed that with the GeN</w:t>
      </w:r>
      <w:r w:rsidR="00700071">
        <w:t>S</w:t>
      </w:r>
      <w:r w:rsidR="00216E45">
        <w:t xml:space="preserve"> there is an opportunity to collect data on the missing information by collecting </w:t>
      </w:r>
      <w:r w:rsidR="00057B59">
        <w:t xml:space="preserve">information entered </w:t>
      </w:r>
      <w:r w:rsidR="006B5E78">
        <w:t xml:space="preserve">as free text </w:t>
      </w:r>
      <w:r w:rsidR="00057B59">
        <w:t>by countries particularly during the piloting phase.</w:t>
      </w:r>
    </w:p>
    <w:p w14:paraId="3401133D" w14:textId="77777777" w:rsidR="00E74B93" w:rsidRDefault="00E74B93" w:rsidP="00285774">
      <w:pPr>
        <w:jc w:val="both"/>
      </w:pPr>
      <w:r>
        <w:t xml:space="preserve">The members also noted that the SPS schema does not accurately align with </w:t>
      </w:r>
      <w:r w:rsidR="00057B59">
        <w:t>phytosanitary terminology</w:t>
      </w:r>
      <w:r>
        <w:t xml:space="preserve"> (e.g.</w:t>
      </w:r>
      <w:r w:rsidR="00057B59">
        <w:t xml:space="preserve"> the term</w:t>
      </w:r>
      <w:r>
        <w:t xml:space="preserve"> “processing”</w:t>
      </w:r>
      <w:r w:rsidR="00057B59">
        <w:t xml:space="preserve"> has been used to refer to</w:t>
      </w:r>
      <w:r>
        <w:t xml:space="preserve"> treatments). The group proposed that once the GeNS has been built and tested, </w:t>
      </w:r>
      <w:r w:rsidR="00057B59">
        <w:t>the Secretariat should engage UN/CEFACT in developing or adjusting the schema to fit phytosanitary needs.</w:t>
      </w:r>
    </w:p>
    <w:p w14:paraId="284BDFE8" w14:textId="1317FD6F" w:rsidR="00311953" w:rsidRDefault="000C2191" w:rsidP="00285774">
      <w:pPr>
        <w:jc w:val="both"/>
      </w:pPr>
      <w:r>
        <w:t xml:space="preserve">Mr. Horn presented the product </w:t>
      </w:r>
      <w:r w:rsidR="00DA301A">
        <w:t>description</w:t>
      </w:r>
      <w:r>
        <w:t xml:space="preserve"> document that had been developed following </w:t>
      </w:r>
      <w:r w:rsidR="00057B59">
        <w:t>a</w:t>
      </w:r>
      <w:r>
        <w:t xml:space="preserve"> meeting with the Technical Panel for the Glossary</w:t>
      </w:r>
      <w:r w:rsidR="0081373A">
        <w:t xml:space="preserve"> (TPG)</w:t>
      </w:r>
      <w:r>
        <w:t xml:space="preserve">.  The group </w:t>
      </w:r>
      <w:r w:rsidR="00B3091C">
        <w:t xml:space="preserve">recognized that advancing the harmonization of terminology related to product description is really a role for the Technical Panel for the Glossary. The PTC/ESG has expertise to address the technical aspects of the Solution, but advancing consistency of </w:t>
      </w:r>
      <w:r w:rsidR="00583FEE">
        <w:t>terminology</w:t>
      </w:r>
      <w:r w:rsidR="00B3091C">
        <w:t xml:space="preserve"> is outside of their expertise</w:t>
      </w:r>
      <w:r w:rsidR="00AC69D9">
        <w:t xml:space="preserve"> and scope of the working group</w:t>
      </w:r>
      <w:r w:rsidR="00B3091C">
        <w:t xml:space="preserve">. </w:t>
      </w:r>
      <w:r w:rsidR="0081373A">
        <w:t>The members concluded</w:t>
      </w:r>
      <w:r w:rsidR="008D3129">
        <w:t xml:space="preserve"> that the</w:t>
      </w:r>
      <w:r w:rsidR="00AC69D9">
        <w:t xml:space="preserve"> easiest way to address the product classifications was to define them independently as </w:t>
      </w:r>
      <w:r w:rsidR="008D3129">
        <w:t xml:space="preserve">plant </w:t>
      </w:r>
      <w:r w:rsidR="0081373A">
        <w:t>product</w:t>
      </w:r>
      <w:r w:rsidR="00AC69D9">
        <w:t xml:space="preserve"> types</w:t>
      </w:r>
      <w:r w:rsidR="008D3129">
        <w:t>, intended use</w:t>
      </w:r>
      <w:r w:rsidR="00AC69D9">
        <w:t xml:space="preserve"> types</w:t>
      </w:r>
      <w:r w:rsidR="008D3129">
        <w:t xml:space="preserve"> and processing</w:t>
      </w:r>
      <w:r w:rsidR="00AC69D9">
        <w:t xml:space="preserve"> types. They suggested that in this way the certifying authority </w:t>
      </w:r>
      <w:r w:rsidR="00583FEE">
        <w:t xml:space="preserve">and the importing NPPO </w:t>
      </w:r>
      <w:r w:rsidR="00AC69D9">
        <w:t>could identify the</w:t>
      </w:r>
      <w:r w:rsidR="008D3129">
        <w:t xml:space="preserve"> plant </w:t>
      </w:r>
      <w:r w:rsidR="0081373A">
        <w:t>product</w:t>
      </w:r>
      <w:r w:rsidR="008D3129">
        <w:t xml:space="preserve"> </w:t>
      </w:r>
      <w:r w:rsidR="00583FEE">
        <w:t xml:space="preserve">with </w:t>
      </w:r>
      <w:r w:rsidR="008D3129">
        <w:t>where appropriate the intended u</w:t>
      </w:r>
      <w:r w:rsidR="00311953">
        <w:t>se and the level of processing (as required by import requirements or clarity in defining the commodity)</w:t>
      </w:r>
      <w:r w:rsidR="008D3129">
        <w:t>.</w:t>
      </w:r>
      <w:r w:rsidR="00311953">
        <w:t xml:space="preserve"> A notation in the guidance would indicate that NPPOs should avoid combining types where</w:t>
      </w:r>
      <w:r w:rsidR="00583FEE">
        <w:t xml:space="preserve"> they are</w:t>
      </w:r>
      <w:r w:rsidR="00311953">
        <w:t xml:space="preserve"> inconsistent with defined terms. </w:t>
      </w:r>
      <w:r w:rsidR="008D3129">
        <w:t xml:space="preserve"> </w:t>
      </w:r>
    </w:p>
    <w:p w14:paraId="01D98B78" w14:textId="4941496B" w:rsidR="000C2191" w:rsidRPr="00002D35" w:rsidRDefault="0081373A" w:rsidP="00285774">
      <w:pPr>
        <w:jc w:val="both"/>
      </w:pPr>
      <w:r>
        <w:t>Mr. Horn agreed to re</w:t>
      </w:r>
      <w:r w:rsidR="00311953">
        <w:t>vise the proposal to reflect this</w:t>
      </w:r>
      <w:r>
        <w:t xml:space="preserve"> suggestion</w:t>
      </w:r>
      <w:r w:rsidR="00311953">
        <w:t xml:space="preserve">. The proposal would be reviewed and then forwarded by the Chair of the PTC/ESG </w:t>
      </w:r>
      <w:r>
        <w:t>to the TPG</w:t>
      </w:r>
      <w:r w:rsidR="00311953">
        <w:t xml:space="preserve"> for review</w:t>
      </w:r>
      <w:r>
        <w:t>. The group also proposed that the approach should be field tested during the pilot.</w:t>
      </w:r>
      <w:r w:rsidR="00311953">
        <w:t xml:space="preserve"> Mr. Horn noted that the TPG had proposed that all changes to product descriptions should be approved by the Standards Committee. The members noted that such a process would unnecessarily delay the </w:t>
      </w:r>
      <w:r w:rsidR="00583FEE">
        <w:t>introduction of new terms</w:t>
      </w:r>
      <w:r w:rsidR="00311953">
        <w:t xml:space="preserve"> and would create difficulties for NPPOs in meeting export demands. </w:t>
      </w:r>
      <w:r w:rsidR="00007A59">
        <w:t xml:space="preserve"> The IPPC Secretariat agreed to discuss the oversight role of the Standards Committee in validating changes to product </w:t>
      </w:r>
      <w:r w:rsidR="009D00E0">
        <w:t>descrip</w:t>
      </w:r>
      <w:r w:rsidR="00007A59">
        <w:t>tion</w:t>
      </w:r>
      <w:r w:rsidR="009D00E0">
        <w:t>s</w:t>
      </w:r>
      <w:r w:rsidR="00583FEE">
        <w:t>, this process</w:t>
      </w:r>
      <w:r w:rsidR="009D00E0">
        <w:t xml:space="preserve"> should be one that </w:t>
      </w:r>
      <w:r w:rsidR="00583FEE">
        <w:t xml:space="preserve">is </w:t>
      </w:r>
      <w:r w:rsidR="009D00E0">
        <w:t>sufficiently responsive to the needs of countries that require changes efficiently to permit trade</w:t>
      </w:r>
      <w:r w:rsidR="00583FEE">
        <w:t xml:space="preserve"> and to the flexibility of the ePhyto system</w:t>
      </w:r>
      <w:r w:rsidR="009D00E0">
        <w:t>.</w:t>
      </w:r>
    </w:p>
    <w:p w14:paraId="11C83950" w14:textId="77777777" w:rsidR="00C54842" w:rsidRDefault="00C54842" w:rsidP="00285774">
      <w:pPr>
        <w:pStyle w:val="Heading1"/>
        <w:jc w:val="both"/>
      </w:pPr>
      <w:bookmarkStart w:id="14" w:name="_Toc482185430"/>
      <w:r w:rsidRPr="00C54842">
        <w:t>Inter-agency collaboration</w:t>
      </w:r>
      <w:bookmarkEnd w:id="14"/>
    </w:p>
    <w:p w14:paraId="494B66D0" w14:textId="68AA60AA" w:rsidR="005E50B0" w:rsidRDefault="005E50B0" w:rsidP="00285774">
      <w:pPr>
        <w:jc w:val="both"/>
      </w:pPr>
      <w:r>
        <w:t xml:space="preserve">Mr. Erik </w:t>
      </w:r>
      <w:proofErr w:type="spellStart"/>
      <w:r>
        <w:t>Bosker</w:t>
      </w:r>
      <w:proofErr w:type="spellEnd"/>
      <w:r w:rsidR="001E10EA">
        <w:t xml:space="preserve">, representative of the </w:t>
      </w:r>
      <w:r w:rsidR="001E10EA" w:rsidRPr="009D00E0">
        <w:t xml:space="preserve">Codex Committee on Food Import and Export Inspection and </w:t>
      </w:r>
      <w:r w:rsidR="001E10EA">
        <w:t xml:space="preserve">Certification Systems (CCFICS) </w:t>
      </w:r>
      <w:r>
        <w:t xml:space="preserve">joined the meeting and provided a short summary of progress in exchanging electronic veterinary certificates. He noted that the Netherlands is exchanging </w:t>
      </w:r>
      <w:r w:rsidR="003B066F">
        <w:t>food</w:t>
      </w:r>
      <w:r w:rsidR="00FD291A">
        <w:t>-related</w:t>
      </w:r>
      <w:r w:rsidR="003B066F">
        <w:t xml:space="preserve"> </w:t>
      </w:r>
      <w:r>
        <w:t>certificates with Russia</w:t>
      </w:r>
      <w:r w:rsidR="00311953">
        <w:t xml:space="preserve"> and China</w:t>
      </w:r>
      <w:r>
        <w:t xml:space="preserve">. He suggested that to verify that certificates have reached the receiving authority they use the confirmation provided by the web service. He stated that the use of status codes does not necessarily confirm the arrival of the certificate at its destination. The members of the PTC/ESG noted that the status codes are used to </w:t>
      </w:r>
      <w:r w:rsidR="00C74CB3">
        <w:t xml:space="preserve">communicate </w:t>
      </w:r>
      <w:r>
        <w:t xml:space="preserve">the </w:t>
      </w:r>
      <w:r w:rsidR="00C74CB3">
        <w:t xml:space="preserve">type of </w:t>
      </w:r>
      <w:r>
        <w:t>certificate not to confirm arrival</w:t>
      </w:r>
      <w:r w:rsidR="00C74CB3">
        <w:t xml:space="preserve"> of the shipment</w:t>
      </w:r>
      <w:r>
        <w:t xml:space="preserve">. </w:t>
      </w:r>
      <w:r w:rsidR="001E10EA">
        <w:t xml:space="preserve">Furthermore in the proposed system, </w:t>
      </w:r>
      <w:r w:rsidR="00583FEE">
        <w:t xml:space="preserve">communication of </w:t>
      </w:r>
      <w:r w:rsidR="001E10EA">
        <w:t xml:space="preserve">approval of the certificate by the NPPO of the </w:t>
      </w:r>
      <w:r w:rsidR="001E10EA">
        <w:lastRenderedPageBreak/>
        <w:t>importing country is only envisioned as a component to be added in the future. Countries will be able to verify delivery of certificates</w:t>
      </w:r>
      <w:r w:rsidR="00583FEE">
        <w:t xml:space="preserve"> by the hub</w:t>
      </w:r>
      <w:r w:rsidR="001E10EA">
        <w:t xml:space="preserve">. </w:t>
      </w:r>
    </w:p>
    <w:p w14:paraId="6CB4259B" w14:textId="6B4B4EF1" w:rsidR="009D00E0" w:rsidRDefault="009D00E0" w:rsidP="00285774">
      <w:pPr>
        <w:jc w:val="both"/>
      </w:pPr>
      <w:r>
        <w:t xml:space="preserve">Mr. </w:t>
      </w:r>
      <w:proofErr w:type="spellStart"/>
      <w:r>
        <w:t>Bosker</w:t>
      </w:r>
      <w:proofErr w:type="spellEnd"/>
      <w:r>
        <w:t xml:space="preserve"> </w:t>
      </w:r>
      <w:r w:rsidR="001E10EA">
        <w:t xml:space="preserve">also </w:t>
      </w:r>
      <w:r>
        <w:t xml:space="preserve">provided a presentation of the work being done with respect to work on developing e-certification for CODEX. Mr. </w:t>
      </w:r>
      <w:proofErr w:type="spellStart"/>
      <w:r>
        <w:t>Bosker</w:t>
      </w:r>
      <w:proofErr w:type="spellEnd"/>
      <w:r>
        <w:t xml:space="preserve"> noted that the standard for electronic exchange is only a guidance document (although WTO recognizes these documents as standards).</w:t>
      </w:r>
      <w:r w:rsidR="00852DD5">
        <w:t xml:space="preserve"> He noted that CCFICS Forum is meeting in May 2017 </w:t>
      </w:r>
      <w:r w:rsidR="001E10EA">
        <w:t>to advance discussions on the scope of CODEX involvement in electronic certification. He noted that the IPPC h</w:t>
      </w:r>
      <w:r w:rsidR="00583FEE">
        <w:t>a</w:t>
      </w:r>
      <w:r w:rsidR="001E10EA">
        <w:t xml:space="preserve">s chosen to both establish standards and to provide the technical tools to facilitate the exchange. He suggested that this would be beyond the current scope of CODEX work, but added that the CCFICS would </w:t>
      </w:r>
      <w:r w:rsidR="00852DD5">
        <w:t xml:space="preserve">welcome participation by IPPC Secretariat </w:t>
      </w:r>
      <w:r w:rsidR="001E10EA">
        <w:t xml:space="preserve">at the Forum </w:t>
      </w:r>
      <w:r w:rsidR="00852DD5">
        <w:t xml:space="preserve">to provide an update on the strategic considerations </w:t>
      </w:r>
      <w:r w:rsidR="001E10EA">
        <w:t xml:space="preserve">for </w:t>
      </w:r>
      <w:r w:rsidR="00852DD5">
        <w:t xml:space="preserve">ePhyto. </w:t>
      </w:r>
    </w:p>
    <w:p w14:paraId="5613A8AA" w14:textId="4320770D" w:rsidR="00342AFC" w:rsidRDefault="00342AFC" w:rsidP="00285774">
      <w:pPr>
        <w:jc w:val="both"/>
      </w:pPr>
      <w:r w:rsidRPr="001E10EA">
        <w:t xml:space="preserve">Marcos Silva joined the group to talk about the development initiatives in the Amazon region under the </w:t>
      </w:r>
      <w:r w:rsidRPr="001E10EA">
        <w:rPr>
          <w:rFonts w:cs="Arial"/>
          <w:bCs/>
          <w:color w:val="252525"/>
          <w:shd w:val="clear" w:color="auto" w:fill="FFFFFF"/>
        </w:rPr>
        <w:t>Amazon Cooperation Treaty Organization</w:t>
      </w:r>
      <w:r w:rsidRPr="001E10EA">
        <w:rPr>
          <w:rStyle w:val="apple-converted-space"/>
          <w:rFonts w:cs="Arial"/>
          <w:color w:val="252525"/>
          <w:shd w:val="clear" w:color="auto" w:fill="FFFFFF"/>
        </w:rPr>
        <w:t> </w:t>
      </w:r>
      <w:r w:rsidRPr="001E10EA">
        <w:rPr>
          <w:rFonts w:cs="Arial"/>
          <w:color w:val="252525"/>
          <w:shd w:val="clear" w:color="auto" w:fill="FFFFFF"/>
        </w:rPr>
        <w:t>(ACTO)</w:t>
      </w:r>
      <w:r w:rsidRPr="001E10EA">
        <w:t>.</w:t>
      </w:r>
      <w:r>
        <w:t xml:space="preserve"> Mr. Silva indicated that he is working on a project to better manage trade in </w:t>
      </w:r>
      <w:r w:rsidR="00583FEE">
        <w:t xml:space="preserve">protected </w:t>
      </w:r>
      <w:r>
        <w:t>plants and animals.  The project is focused on improving capacity in the region in CITES using improved electronic technologies. One element of this effort is focused on improved electronic permitting.</w:t>
      </w:r>
      <w:r w:rsidR="0011381E">
        <w:t xml:space="preserve"> In addition there are a number of initiatives to advance electronic traceability, interoperability of data systems, etc. </w:t>
      </w:r>
    </w:p>
    <w:p w14:paraId="4B3A5740" w14:textId="77777777" w:rsidR="001E10EA" w:rsidRPr="005E50B0" w:rsidRDefault="001E10EA" w:rsidP="00285774">
      <w:pPr>
        <w:jc w:val="both"/>
      </w:pPr>
      <w:r>
        <w:t>The ESG agreed to continue to collaborate with both groups through the Secretariat and encouraged the Secretariat to engage with other international organizations involved in electronic exchange.</w:t>
      </w:r>
    </w:p>
    <w:p w14:paraId="183215C2" w14:textId="77777777" w:rsidR="00C54842" w:rsidRDefault="00C54842" w:rsidP="00285774">
      <w:pPr>
        <w:pStyle w:val="Heading1"/>
        <w:jc w:val="both"/>
      </w:pPr>
      <w:bookmarkStart w:id="15" w:name="_Toc482185431"/>
      <w:r w:rsidRPr="00C54842">
        <w:t>Development of the funding strategy</w:t>
      </w:r>
      <w:bookmarkEnd w:id="15"/>
      <w:r w:rsidRPr="00C54842">
        <w:t xml:space="preserve"> </w:t>
      </w:r>
    </w:p>
    <w:p w14:paraId="54796F58" w14:textId="77777777" w:rsidR="00FB6D56" w:rsidRDefault="00FB6D56" w:rsidP="00285774">
      <w:pPr>
        <w:jc w:val="both"/>
      </w:pPr>
      <w:r>
        <w:t xml:space="preserve">The members reviewed the proposed </w:t>
      </w:r>
      <w:proofErr w:type="spellStart"/>
      <w:r>
        <w:t>ToR</w:t>
      </w:r>
      <w:proofErr w:type="spellEnd"/>
      <w:r>
        <w:t xml:space="preserve"> for a consultant to undertake an analysis of </w:t>
      </w:r>
      <w:r w:rsidR="001E10EA">
        <w:t xml:space="preserve">potential </w:t>
      </w:r>
      <w:r>
        <w:t>business models</w:t>
      </w:r>
      <w:r w:rsidR="001E10EA">
        <w:t xml:space="preserve"> </w:t>
      </w:r>
      <w:r w:rsidR="003B4DF3">
        <w:t xml:space="preserve">for funding </w:t>
      </w:r>
      <w:r w:rsidR="001E10EA">
        <w:t>and recommend an approach which may be used to support the long term operation of ePhyto</w:t>
      </w:r>
      <w:r>
        <w:t xml:space="preserve">. The members felt that the scope of analysis repeated some existing </w:t>
      </w:r>
      <w:r w:rsidR="001E10EA">
        <w:t>work</w:t>
      </w:r>
      <w:r>
        <w:t xml:space="preserve"> which had been done by the ePhyto Steering Group. They noted that the ESG had considered carefully the application of </w:t>
      </w:r>
      <w:r w:rsidR="001E10EA">
        <w:t>a “</w:t>
      </w:r>
      <w:r>
        <w:t>per transaction fee</w:t>
      </w:r>
      <w:r w:rsidR="001E10EA">
        <w:t>”</w:t>
      </w:r>
      <w:r>
        <w:t xml:space="preserve"> </w:t>
      </w:r>
      <w:r w:rsidR="001E10EA">
        <w:t>which they had</w:t>
      </w:r>
      <w:r>
        <w:t xml:space="preserve"> discounted for a number of reasons including</w:t>
      </w:r>
      <w:r w:rsidR="001E10EA">
        <w:t xml:space="preserve"> that</w:t>
      </w:r>
      <w:r>
        <w:t>:</w:t>
      </w:r>
    </w:p>
    <w:p w14:paraId="51B161D4" w14:textId="77777777" w:rsidR="00FB6D56" w:rsidRDefault="001E10EA" w:rsidP="00285774">
      <w:pPr>
        <w:pStyle w:val="ListParagraph"/>
        <w:numPr>
          <w:ilvl w:val="0"/>
          <w:numId w:val="32"/>
        </w:numPr>
        <w:jc w:val="both"/>
      </w:pPr>
      <w:r>
        <w:t>t</w:t>
      </w:r>
      <w:r w:rsidR="000A3E4D">
        <w:t xml:space="preserve">he cost of administering the fund </w:t>
      </w:r>
      <w:r>
        <w:t xml:space="preserve">is more than </w:t>
      </w:r>
      <w:r w:rsidR="003B4DF3">
        <w:t xml:space="preserve">for </w:t>
      </w:r>
      <w:r>
        <w:t>alternative approaches</w:t>
      </w:r>
      <w:r w:rsidR="000A3E4D">
        <w:t>;</w:t>
      </w:r>
    </w:p>
    <w:p w14:paraId="1D02DA35" w14:textId="77777777" w:rsidR="000A3E4D" w:rsidRDefault="001E10EA" w:rsidP="00285774">
      <w:pPr>
        <w:pStyle w:val="ListParagraph"/>
        <w:numPr>
          <w:ilvl w:val="0"/>
          <w:numId w:val="32"/>
        </w:numPr>
        <w:jc w:val="both"/>
      </w:pPr>
      <w:proofErr w:type="gramStart"/>
      <w:r>
        <w:t>determining</w:t>
      </w:r>
      <w:proofErr w:type="gramEnd"/>
      <w:r w:rsidR="000A3E4D">
        <w:t xml:space="preserve"> who should pay </w:t>
      </w:r>
      <w:r>
        <w:t>is</w:t>
      </w:r>
      <w:r w:rsidR="000A3E4D">
        <w:t xml:space="preserve"> complex (</w:t>
      </w:r>
      <w:r>
        <w:t xml:space="preserve">e.g. </w:t>
      </w:r>
      <w:r w:rsidR="000A3E4D">
        <w:t xml:space="preserve">NPPO of importing countries, </w:t>
      </w:r>
      <w:r w:rsidR="000A3E4D" w:rsidRPr="000A3E4D">
        <w:t xml:space="preserve">NPPO of </w:t>
      </w:r>
      <w:r w:rsidR="000A3E4D">
        <w:t>exporting</w:t>
      </w:r>
      <w:r w:rsidR="000A3E4D" w:rsidRPr="000A3E4D">
        <w:t xml:space="preserve"> countries</w:t>
      </w:r>
      <w:r w:rsidR="000A3E4D">
        <w:t>, etc.);</w:t>
      </w:r>
    </w:p>
    <w:p w14:paraId="1179F514" w14:textId="13F6CAB5" w:rsidR="000A3E4D" w:rsidRDefault="000A3E4D" w:rsidP="00285774">
      <w:pPr>
        <w:pStyle w:val="ListParagraph"/>
        <w:numPr>
          <w:ilvl w:val="0"/>
          <w:numId w:val="32"/>
        </w:numPr>
        <w:jc w:val="both"/>
      </w:pPr>
      <w:r>
        <w:t xml:space="preserve">CPM members had indicated that developing countries </w:t>
      </w:r>
      <w:r w:rsidR="003B4DF3">
        <w:t>cannot be asked to</w:t>
      </w:r>
      <w:r>
        <w:t xml:space="preserve"> support the system at the same level as developed countries;</w:t>
      </w:r>
    </w:p>
    <w:p w14:paraId="0EBBC13B" w14:textId="77777777" w:rsidR="001E10EA" w:rsidRDefault="00FA51EF" w:rsidP="00285774">
      <w:pPr>
        <w:pStyle w:val="ListParagraph"/>
        <w:numPr>
          <w:ilvl w:val="0"/>
          <w:numId w:val="32"/>
        </w:numPr>
        <w:jc w:val="both"/>
      </w:pPr>
      <w:r>
        <w:t>the application of uniform transactional costs does not consider the cost recovery approaches of countries which may in some cases result in greater impacts to agricultural producers;</w:t>
      </w:r>
    </w:p>
    <w:p w14:paraId="552C675F" w14:textId="7DCB31EE" w:rsidR="00896D1D" w:rsidRDefault="00FA51EF" w:rsidP="00285774">
      <w:pPr>
        <w:pStyle w:val="ListParagraph"/>
        <w:numPr>
          <w:ilvl w:val="0"/>
          <w:numId w:val="32"/>
        </w:numPr>
        <w:jc w:val="both"/>
      </w:pPr>
      <w:r>
        <w:t>It is difficult to adjust transaction based fees to support increases in demand, particularly since the operational costs of the Solution is step-wise (i.e. increase in servers may not be required until a certain use limit is achieved at which time costs would increase step-wise)</w:t>
      </w:r>
    </w:p>
    <w:p w14:paraId="238692D0" w14:textId="3EB2CA55" w:rsidR="003B4DF3" w:rsidRPr="00FB6D56" w:rsidRDefault="00FD291A" w:rsidP="00285774">
      <w:pPr>
        <w:jc w:val="both"/>
      </w:pPr>
      <w:r>
        <w:t xml:space="preserve">The members also concluded that </w:t>
      </w:r>
      <w:r w:rsidR="00896D1D">
        <w:t>the task</w:t>
      </w:r>
      <w:r>
        <w:t xml:space="preserve"> of establishing a funding strategy should be split; </w:t>
      </w:r>
      <w:r w:rsidR="00896D1D">
        <w:t xml:space="preserve">focussing first on making an inventory of existing </w:t>
      </w:r>
      <w:r>
        <w:t>approaches for recovery</w:t>
      </w:r>
      <w:r w:rsidR="00896D1D">
        <w:t xml:space="preserve"> and only later, when the costs</w:t>
      </w:r>
      <w:r>
        <w:t xml:space="preserve"> of operation</w:t>
      </w:r>
      <w:r w:rsidR="00896D1D">
        <w:t xml:space="preserve"> are </w:t>
      </w:r>
      <w:proofErr w:type="gramStart"/>
      <w:r w:rsidR="00896D1D">
        <w:t>more clear</w:t>
      </w:r>
      <w:proofErr w:type="gramEnd"/>
      <w:r w:rsidR="00896D1D">
        <w:t xml:space="preserve">, work on possible cost recovery </w:t>
      </w:r>
      <w:r>
        <w:t>options</w:t>
      </w:r>
      <w:r w:rsidR="00896D1D">
        <w:t xml:space="preserve"> for ePhyto.</w:t>
      </w:r>
    </w:p>
    <w:p w14:paraId="7CBAED3B" w14:textId="77777777" w:rsidR="00C54842" w:rsidRDefault="00C54842" w:rsidP="00285774">
      <w:pPr>
        <w:pStyle w:val="Heading1"/>
        <w:jc w:val="both"/>
      </w:pPr>
      <w:bookmarkStart w:id="16" w:name="_Toc482185432"/>
      <w:r w:rsidRPr="00C54842">
        <w:lastRenderedPageBreak/>
        <w:t>2017 - Year of Trade Facilitation</w:t>
      </w:r>
      <w:bookmarkEnd w:id="16"/>
      <w:r w:rsidRPr="00C54842">
        <w:t xml:space="preserve"> </w:t>
      </w:r>
    </w:p>
    <w:p w14:paraId="2A2BEF10" w14:textId="10654F16" w:rsidR="00ED4A69" w:rsidRDefault="00FA51EF" w:rsidP="00285774">
      <w:pPr>
        <w:jc w:val="both"/>
      </w:pPr>
      <w:r>
        <w:t xml:space="preserve">Mr. </w:t>
      </w:r>
      <w:proofErr w:type="spellStart"/>
      <w:r>
        <w:t>Alessandrini</w:t>
      </w:r>
      <w:proofErr w:type="spellEnd"/>
      <w:r>
        <w:t xml:space="preserve"> reported that a workshop on ePhyto is planned for Brazil </w:t>
      </w:r>
      <w:r w:rsidR="00ED4A69">
        <w:t xml:space="preserve">in October. </w:t>
      </w:r>
      <w:r>
        <w:t xml:space="preserve">The workshop is intended as an outreach opportunity and is being supported by </w:t>
      </w:r>
      <w:proofErr w:type="spellStart"/>
      <w:r w:rsidRPr="00FA51EF">
        <w:t>Comite</w:t>
      </w:r>
      <w:proofErr w:type="spellEnd"/>
      <w:r w:rsidRPr="00FA51EF">
        <w:t xml:space="preserve"> de </w:t>
      </w:r>
      <w:proofErr w:type="spellStart"/>
      <w:r w:rsidRPr="00FA51EF">
        <w:t>Sanid</w:t>
      </w:r>
      <w:r>
        <w:t>ad</w:t>
      </w:r>
      <w:proofErr w:type="spellEnd"/>
      <w:r>
        <w:t xml:space="preserve"> Vegetal (COSAVE), </w:t>
      </w:r>
      <w:proofErr w:type="spellStart"/>
      <w:r w:rsidRPr="00FA51EF">
        <w:t>Organismo</w:t>
      </w:r>
      <w:proofErr w:type="spellEnd"/>
      <w:r w:rsidRPr="00FA51EF">
        <w:t xml:space="preserve"> </w:t>
      </w:r>
      <w:proofErr w:type="spellStart"/>
      <w:r w:rsidRPr="00FA51EF">
        <w:t>Internacional</w:t>
      </w:r>
      <w:proofErr w:type="spellEnd"/>
      <w:r w:rsidRPr="00FA51EF">
        <w:t xml:space="preserve"> Regional de </w:t>
      </w:r>
      <w:proofErr w:type="spellStart"/>
      <w:r w:rsidRPr="00FA51EF">
        <w:t>Sanidad</w:t>
      </w:r>
      <w:proofErr w:type="spellEnd"/>
      <w:r w:rsidRPr="00FA51EF">
        <w:t xml:space="preserve"> </w:t>
      </w:r>
      <w:proofErr w:type="spellStart"/>
      <w:r w:rsidRPr="00FA51EF">
        <w:t>Agropecuaria</w:t>
      </w:r>
      <w:proofErr w:type="spellEnd"/>
      <w:r>
        <w:t xml:space="preserve"> (OIRSA) and </w:t>
      </w:r>
      <w:proofErr w:type="spellStart"/>
      <w:r w:rsidRPr="00FA51EF">
        <w:t>Comunidad</w:t>
      </w:r>
      <w:proofErr w:type="spellEnd"/>
      <w:r w:rsidRPr="00FA51EF">
        <w:t xml:space="preserve"> </w:t>
      </w:r>
      <w:proofErr w:type="spellStart"/>
      <w:r w:rsidRPr="00FA51EF">
        <w:t>Andina</w:t>
      </w:r>
      <w:proofErr w:type="spellEnd"/>
      <w:r w:rsidRPr="00FA51EF">
        <w:t xml:space="preserve"> (CA)</w:t>
      </w:r>
      <w:r>
        <w:t>. The purpose of the workshop is to advance understanding of the proposed ePhyto Solution and to demonstrate the systems.</w:t>
      </w:r>
    </w:p>
    <w:p w14:paraId="727F11C0" w14:textId="14FA57A7" w:rsidR="00FA51EF" w:rsidRDefault="00FA51EF" w:rsidP="00285774">
      <w:pPr>
        <w:jc w:val="both"/>
      </w:pPr>
      <w:r>
        <w:t xml:space="preserve">Mr. Neimanis also noted that </w:t>
      </w:r>
      <w:r w:rsidR="00B465A5" w:rsidRPr="00B465A5">
        <w:t>Asia and Pacific Plant Protection Commission (APPPC)</w:t>
      </w:r>
      <w:r w:rsidR="00B465A5">
        <w:t xml:space="preserve"> </w:t>
      </w:r>
      <w:r>
        <w:t>ha</w:t>
      </w:r>
      <w:r w:rsidR="00B465A5">
        <w:t xml:space="preserve">s </w:t>
      </w:r>
      <w:r>
        <w:t>allocat</w:t>
      </w:r>
      <w:r w:rsidR="00B465A5">
        <w:t>ed</w:t>
      </w:r>
      <w:r>
        <w:t xml:space="preserve"> US</w:t>
      </w:r>
      <w:r w:rsidR="00B465A5">
        <w:t xml:space="preserve"> $40, 000</w:t>
      </w:r>
      <w:r>
        <w:t xml:space="preserve"> to host a Global ePhyto Symposium </w:t>
      </w:r>
      <w:r w:rsidR="00B465A5">
        <w:t>in</w:t>
      </w:r>
      <w:r>
        <w:t xml:space="preserve"> </w:t>
      </w:r>
      <w:r w:rsidR="00B465A5">
        <w:t xml:space="preserve">November </w:t>
      </w:r>
      <w:r>
        <w:t>2017</w:t>
      </w:r>
      <w:r w:rsidR="00B465A5">
        <w:t>.  The intent of the symposium is to link to the annual them</w:t>
      </w:r>
      <w:r w:rsidR="003B4DF3">
        <w:t>e</w:t>
      </w:r>
      <w:r w:rsidR="00B465A5">
        <w:t xml:space="preserve"> of the IPPC, </w:t>
      </w:r>
      <w:r>
        <w:t xml:space="preserve">“Plant Health and Trade Facilitation”.  </w:t>
      </w:r>
      <w:r w:rsidR="00B465A5">
        <w:t xml:space="preserve">The intent of the symposium is to </w:t>
      </w:r>
      <w:r>
        <w:t xml:space="preserve">improve the capacity of countries </w:t>
      </w:r>
      <w:r w:rsidR="00B465A5">
        <w:t>in implementing</w:t>
      </w:r>
      <w:r>
        <w:t xml:space="preserve"> ePhyto</w:t>
      </w:r>
      <w:r w:rsidR="003B4DF3">
        <w:t>.</w:t>
      </w:r>
      <w:r>
        <w:t xml:space="preserve"> </w:t>
      </w:r>
      <w:r w:rsidR="00B465A5">
        <w:t xml:space="preserve">He noted that </w:t>
      </w:r>
      <w:r>
        <w:t xml:space="preserve">Australia is </w:t>
      </w:r>
      <w:r w:rsidR="00B465A5">
        <w:t xml:space="preserve">also </w:t>
      </w:r>
      <w:r>
        <w:t>looking to contribute funds</w:t>
      </w:r>
      <w:r w:rsidR="00B465A5">
        <w:t xml:space="preserve"> to support this symposium </w:t>
      </w:r>
      <w:r w:rsidR="00A476E8">
        <w:t xml:space="preserve">and </w:t>
      </w:r>
      <w:r>
        <w:t xml:space="preserve">will </w:t>
      </w:r>
      <w:r w:rsidR="00B465A5">
        <w:t>at least</w:t>
      </w:r>
      <w:r>
        <w:t xml:space="preserve"> provide organisational support.</w:t>
      </w:r>
      <w:r w:rsidR="00B465A5">
        <w:t xml:space="preserve"> </w:t>
      </w:r>
    </w:p>
    <w:p w14:paraId="65520E2B" w14:textId="1E906998" w:rsidR="00896D1D" w:rsidRPr="00ED4A69" w:rsidRDefault="00B465A5" w:rsidP="00285774">
      <w:pPr>
        <w:jc w:val="both"/>
      </w:pPr>
      <w:r>
        <w:t xml:space="preserve">The members noted that with these symposia occurring in November and that the hub and GeNS pilots are also expected to have commenced close to this timing, participation in the sessions will be challenging. </w:t>
      </w:r>
      <w:r w:rsidR="003B4DF3">
        <w:t xml:space="preserve">It </w:t>
      </w:r>
      <w:r w:rsidR="00896D1D">
        <w:t xml:space="preserve">could be considered to hold the </w:t>
      </w:r>
      <w:r w:rsidR="007F7C24">
        <w:t xml:space="preserve">South American regional </w:t>
      </w:r>
      <w:r w:rsidR="00896D1D">
        <w:t>workshop in Brazil later, e.g. early 2018.</w:t>
      </w:r>
      <w:r w:rsidR="00307E50">
        <w:t xml:space="preserve"> </w:t>
      </w:r>
      <w:r w:rsidR="00896D1D">
        <w:t>An ePhyto workshop</w:t>
      </w:r>
      <w:r w:rsidR="00FD291A">
        <w:t xml:space="preserve"> proposed</w:t>
      </w:r>
      <w:r w:rsidR="00896D1D">
        <w:t xml:space="preserve"> for the African region </w:t>
      </w:r>
      <w:r w:rsidR="00FD291A">
        <w:t>is dependent on the Secretariat obtaining</w:t>
      </w:r>
      <w:r w:rsidR="00307E50">
        <w:t xml:space="preserve"> </w:t>
      </w:r>
      <w:r w:rsidR="00896D1D">
        <w:t>fund</w:t>
      </w:r>
      <w:r w:rsidR="00307E50">
        <w:t>s to support the workshop.</w:t>
      </w:r>
    </w:p>
    <w:p w14:paraId="17F67565" w14:textId="77777777" w:rsidR="00C54842" w:rsidRDefault="00C54842" w:rsidP="00285774">
      <w:pPr>
        <w:pStyle w:val="Heading1"/>
        <w:jc w:val="both"/>
      </w:pPr>
      <w:bookmarkStart w:id="17" w:name="_Toc482185433"/>
      <w:r w:rsidRPr="00C54842">
        <w:t>Forward work plan – 2017/18</w:t>
      </w:r>
      <w:bookmarkEnd w:id="17"/>
    </w:p>
    <w:p w14:paraId="65025B23" w14:textId="3B2EBEE9" w:rsidR="00B465A5" w:rsidRPr="00B465A5" w:rsidRDefault="00B465A5" w:rsidP="00285774">
      <w:pPr>
        <w:jc w:val="both"/>
      </w:pPr>
      <w:r>
        <w:t xml:space="preserve">The members </w:t>
      </w:r>
      <w:r w:rsidR="00550893">
        <w:t xml:space="preserve">identified </w:t>
      </w:r>
      <w:r>
        <w:t xml:space="preserve">a detailed </w:t>
      </w:r>
      <w:proofErr w:type="spellStart"/>
      <w:r w:rsidR="006523B3">
        <w:t>workplan</w:t>
      </w:r>
      <w:proofErr w:type="spellEnd"/>
      <w:r w:rsidR="00550893">
        <w:t xml:space="preserve"> (Annex </w:t>
      </w:r>
      <w:r w:rsidR="00C86AF5">
        <w:t>4</w:t>
      </w:r>
      <w:r>
        <w:t xml:space="preserve">). </w:t>
      </w:r>
    </w:p>
    <w:p w14:paraId="266F3771" w14:textId="1A0EC6C2" w:rsidR="00C54842" w:rsidRPr="00285774" w:rsidRDefault="005C2D1E" w:rsidP="00285774">
      <w:pPr>
        <w:pStyle w:val="Heading1"/>
        <w:jc w:val="both"/>
        <w:rPr>
          <w:lang w:val="en-US"/>
        </w:rPr>
      </w:pPr>
      <w:bookmarkStart w:id="18" w:name="_Toc482185434"/>
      <w:r>
        <w:t>PTC/E</w:t>
      </w:r>
      <w:r w:rsidR="00C54842" w:rsidRPr="00C54842">
        <w:t xml:space="preserve">SG </w:t>
      </w:r>
      <w:r>
        <w:t>m</w:t>
      </w:r>
      <w:r w:rsidR="00C54842" w:rsidRPr="00C54842">
        <w:t>eetings</w:t>
      </w:r>
      <w:bookmarkEnd w:id="18"/>
    </w:p>
    <w:p w14:paraId="13AEA8D8" w14:textId="5B907B5F" w:rsidR="00B465A5" w:rsidRPr="00B465A5" w:rsidRDefault="00B465A5" w:rsidP="00285774">
      <w:pPr>
        <w:jc w:val="both"/>
      </w:pPr>
      <w:r>
        <w:t>The members proposed an in-person meeting for September or October to review progress</w:t>
      </w:r>
      <w:r w:rsidR="005C2D1E">
        <w:t xml:space="preserve"> on the development of the Solution</w:t>
      </w:r>
      <w:r>
        <w:t>. The exact details are to be worked out by email. The members agreed to continue with virtual meetings on a monthly basis as coordinated by the Secretariat.</w:t>
      </w:r>
    </w:p>
    <w:p w14:paraId="2401ADF6" w14:textId="77777777" w:rsidR="00550893" w:rsidRDefault="00550893">
      <w:pPr>
        <w:spacing w:after="0"/>
        <w:rPr>
          <w:rFonts w:eastAsiaTheme="majorEastAsia" w:cstheme="majorBidi"/>
          <w:b/>
          <w:bCs/>
          <w:kern w:val="32"/>
          <w:szCs w:val="32"/>
        </w:rPr>
      </w:pPr>
      <w:r>
        <w:br w:type="page"/>
      </w:r>
    </w:p>
    <w:p w14:paraId="0378DB25" w14:textId="54E30347" w:rsidR="00C32125" w:rsidRDefault="00550893" w:rsidP="00EA6D4B">
      <w:pPr>
        <w:pStyle w:val="Heading1"/>
      </w:pPr>
      <w:bookmarkStart w:id="19" w:name="_Toc482185435"/>
      <w:r>
        <w:lastRenderedPageBreak/>
        <w:t>Annex 1</w:t>
      </w:r>
      <w:r w:rsidR="003C4CC7">
        <w:t xml:space="preserve"> – Meeting agenda</w:t>
      </w:r>
      <w:bookmarkEnd w:id="19"/>
    </w:p>
    <w:p w14:paraId="53CA3976" w14:textId="51FB413B" w:rsidR="0002241E" w:rsidRPr="00EA6D4B" w:rsidRDefault="00EA6D4B" w:rsidP="00EA6D4B">
      <w:pPr>
        <w:jc w:val="center"/>
        <w:rPr>
          <w:rFonts w:eastAsiaTheme="majorEastAsia"/>
          <w:b/>
          <w:lang w:val="en-CA"/>
        </w:rPr>
      </w:pPr>
      <w:proofErr w:type="gramStart"/>
      <w:r>
        <w:rPr>
          <w:rFonts w:eastAsiaTheme="majorEastAsia"/>
          <w:b/>
          <w:lang w:val="en-CA"/>
        </w:rPr>
        <w:t>ePhyto</w:t>
      </w:r>
      <w:proofErr w:type="gramEnd"/>
      <w:r>
        <w:rPr>
          <w:rFonts w:eastAsiaTheme="majorEastAsia"/>
          <w:b/>
          <w:lang w:val="en-CA"/>
        </w:rPr>
        <w:t xml:space="preserve"> Steering G</w:t>
      </w:r>
      <w:r w:rsidR="0002241E" w:rsidRPr="00EA6D4B">
        <w:rPr>
          <w:rFonts w:eastAsiaTheme="majorEastAsia"/>
          <w:b/>
          <w:lang w:val="en-CA"/>
        </w:rPr>
        <w:t>roup (ESG) and</w:t>
      </w:r>
    </w:p>
    <w:p w14:paraId="100B402F" w14:textId="77777777" w:rsidR="0002241E" w:rsidRPr="00EA6D4B" w:rsidRDefault="0002241E" w:rsidP="00EA6D4B">
      <w:pPr>
        <w:jc w:val="center"/>
        <w:rPr>
          <w:rFonts w:eastAsiaTheme="majorEastAsia"/>
          <w:b/>
          <w:lang w:val="en-CA"/>
        </w:rPr>
      </w:pPr>
      <w:r w:rsidRPr="00EA6D4B">
        <w:rPr>
          <w:rFonts w:eastAsiaTheme="majorEastAsia"/>
          <w:b/>
          <w:lang w:val="en-CA"/>
        </w:rPr>
        <w:t>Project Technical Committee (PTC) Meeting</w:t>
      </w:r>
    </w:p>
    <w:p w14:paraId="05554762" w14:textId="7B3D901D" w:rsidR="0002241E" w:rsidRPr="00EA6D4B" w:rsidRDefault="0002241E" w:rsidP="00EA6D4B">
      <w:pPr>
        <w:jc w:val="center"/>
        <w:rPr>
          <w:rFonts w:eastAsiaTheme="majorEastAsia"/>
          <w:b/>
          <w:color w:val="1F497D" w:themeColor="text2"/>
          <w:lang w:val="en-CA"/>
        </w:rPr>
      </w:pPr>
      <w:r w:rsidRPr="00EA6D4B">
        <w:rPr>
          <w:rFonts w:eastAsiaTheme="majorEastAsia"/>
          <w:b/>
          <w:color w:val="1F497D" w:themeColor="text2"/>
          <w:lang w:val="en-CA"/>
        </w:rPr>
        <w:t xml:space="preserve">World Trade Organization, Centre William </w:t>
      </w:r>
      <w:proofErr w:type="spellStart"/>
      <w:r w:rsidRPr="00EA6D4B">
        <w:rPr>
          <w:rFonts w:eastAsiaTheme="majorEastAsia"/>
          <w:b/>
          <w:color w:val="1F497D" w:themeColor="text2"/>
          <w:lang w:val="en-CA"/>
        </w:rPr>
        <w:t>Rappard</w:t>
      </w:r>
      <w:proofErr w:type="spellEnd"/>
      <w:r w:rsidRPr="00EA6D4B">
        <w:rPr>
          <w:rFonts w:eastAsiaTheme="majorEastAsia"/>
          <w:b/>
          <w:color w:val="1F497D" w:themeColor="text2"/>
          <w:lang w:val="en-CA"/>
        </w:rPr>
        <w:t>,</w:t>
      </w:r>
    </w:p>
    <w:p w14:paraId="33A02ED4" w14:textId="77777777" w:rsidR="0002241E" w:rsidRPr="00EA6D4B" w:rsidRDefault="0002241E" w:rsidP="00EA6D4B">
      <w:pPr>
        <w:jc w:val="center"/>
        <w:rPr>
          <w:rFonts w:eastAsiaTheme="majorEastAsia"/>
          <w:b/>
          <w:color w:val="1F497D" w:themeColor="text2"/>
          <w:lang w:val="fr-FR"/>
        </w:rPr>
      </w:pPr>
      <w:r w:rsidRPr="00EA6D4B">
        <w:rPr>
          <w:rFonts w:eastAsiaTheme="majorEastAsia"/>
          <w:b/>
          <w:color w:val="1F497D" w:themeColor="text2"/>
          <w:lang w:val="fr-FR"/>
        </w:rPr>
        <w:t xml:space="preserve">Rue de Lausanne 154, Ch-1211 Geneva 21, </w:t>
      </w:r>
      <w:proofErr w:type="spellStart"/>
      <w:r w:rsidRPr="00EA6D4B">
        <w:rPr>
          <w:rFonts w:eastAsiaTheme="majorEastAsia"/>
          <w:b/>
          <w:color w:val="1F497D" w:themeColor="text2"/>
          <w:lang w:val="fr-FR"/>
        </w:rPr>
        <w:t>Switzerland</w:t>
      </w:r>
      <w:proofErr w:type="spellEnd"/>
    </w:p>
    <w:p w14:paraId="3449A17C" w14:textId="77777777" w:rsidR="0002241E" w:rsidRPr="00EA6D4B" w:rsidRDefault="0002241E" w:rsidP="00EA6D4B">
      <w:pPr>
        <w:jc w:val="center"/>
        <w:rPr>
          <w:rFonts w:eastAsiaTheme="majorEastAsia"/>
          <w:b/>
          <w:lang w:val="en-CA"/>
        </w:rPr>
      </w:pPr>
      <w:r w:rsidRPr="00EA6D4B">
        <w:rPr>
          <w:rFonts w:eastAsiaTheme="majorEastAsia"/>
          <w:b/>
          <w:color w:val="1F497D" w:themeColor="text2"/>
          <w:lang w:val="en-CA"/>
        </w:rPr>
        <w:t>13-17 March 2017</w:t>
      </w:r>
    </w:p>
    <w:p w14:paraId="6322B132" w14:textId="77777777" w:rsidR="0002241E" w:rsidRPr="0002241E" w:rsidRDefault="0002241E" w:rsidP="0002241E">
      <w:pPr>
        <w:spacing w:after="0"/>
        <w:rPr>
          <w:lang w:val="en-CA"/>
        </w:rPr>
      </w:pPr>
    </w:p>
    <w:tbl>
      <w:tblPr>
        <w:tblStyle w:val="TableGrid"/>
        <w:tblW w:w="10797" w:type="dxa"/>
        <w:jc w:val="center"/>
        <w:tblLayout w:type="fixed"/>
        <w:tblCellMar>
          <w:top w:w="28" w:type="dxa"/>
          <w:left w:w="85" w:type="dxa"/>
          <w:bottom w:w="28" w:type="dxa"/>
          <w:right w:w="85" w:type="dxa"/>
        </w:tblCellMar>
        <w:tblLook w:val="01E0" w:firstRow="1" w:lastRow="1" w:firstColumn="1" w:lastColumn="1" w:noHBand="0" w:noVBand="0"/>
      </w:tblPr>
      <w:tblGrid>
        <w:gridCol w:w="1136"/>
        <w:gridCol w:w="6344"/>
        <w:gridCol w:w="1369"/>
        <w:gridCol w:w="1948"/>
      </w:tblGrid>
      <w:tr w:rsidR="0002241E" w:rsidRPr="0002241E" w14:paraId="4CACD9B7" w14:textId="77777777" w:rsidTr="0002241E">
        <w:trPr>
          <w:cantSplit/>
          <w:tblHeader/>
          <w:jc w:val="center"/>
        </w:trPr>
        <w:tc>
          <w:tcPr>
            <w:tcW w:w="1136" w:type="dxa"/>
            <w:shd w:val="clear" w:color="auto" w:fill="D9D9D9" w:themeFill="background1" w:themeFillShade="D9"/>
          </w:tcPr>
          <w:p w14:paraId="44F4A71A" w14:textId="77777777" w:rsidR="0002241E" w:rsidRPr="0002241E" w:rsidRDefault="0002241E" w:rsidP="0002241E">
            <w:pPr>
              <w:spacing w:after="0"/>
              <w:jc w:val="center"/>
              <w:rPr>
                <w:b/>
                <w:lang w:val="en-CA"/>
              </w:rPr>
            </w:pPr>
            <w:r w:rsidRPr="0002241E">
              <w:rPr>
                <w:b/>
                <w:lang w:val="en-CA"/>
              </w:rPr>
              <w:t>Agenda Item #</w:t>
            </w:r>
          </w:p>
        </w:tc>
        <w:tc>
          <w:tcPr>
            <w:tcW w:w="6344" w:type="dxa"/>
            <w:shd w:val="clear" w:color="auto" w:fill="D9D9D9" w:themeFill="background1" w:themeFillShade="D9"/>
            <w:vAlign w:val="center"/>
          </w:tcPr>
          <w:p w14:paraId="78BB6569" w14:textId="77777777" w:rsidR="0002241E" w:rsidRPr="0002241E" w:rsidRDefault="0002241E" w:rsidP="0002241E">
            <w:pPr>
              <w:spacing w:after="0"/>
              <w:jc w:val="center"/>
              <w:rPr>
                <w:b/>
                <w:lang w:val="en-CA"/>
              </w:rPr>
            </w:pPr>
            <w:r w:rsidRPr="0002241E">
              <w:rPr>
                <w:b/>
                <w:lang w:val="en-CA"/>
              </w:rPr>
              <w:t>Agenda Item</w:t>
            </w:r>
          </w:p>
        </w:tc>
        <w:tc>
          <w:tcPr>
            <w:tcW w:w="1369" w:type="dxa"/>
            <w:tcBorders>
              <w:bottom w:val="single" w:sz="4" w:space="0" w:color="auto"/>
            </w:tcBorders>
            <w:shd w:val="clear" w:color="auto" w:fill="D9D9D9" w:themeFill="background1" w:themeFillShade="D9"/>
            <w:vAlign w:val="center"/>
          </w:tcPr>
          <w:p w14:paraId="482E6C99" w14:textId="77777777" w:rsidR="0002241E" w:rsidRPr="0002241E" w:rsidRDefault="0002241E" w:rsidP="0002241E">
            <w:pPr>
              <w:spacing w:after="0"/>
              <w:jc w:val="center"/>
              <w:rPr>
                <w:b/>
                <w:lang w:val="en-CA"/>
              </w:rPr>
            </w:pPr>
            <w:r w:rsidRPr="0002241E">
              <w:rPr>
                <w:b/>
                <w:lang w:val="en-CA"/>
              </w:rPr>
              <w:t xml:space="preserve">Document PTC/ESG – March 2017 - # </w:t>
            </w:r>
          </w:p>
        </w:tc>
        <w:tc>
          <w:tcPr>
            <w:tcW w:w="1948" w:type="dxa"/>
            <w:tcBorders>
              <w:bottom w:val="single" w:sz="4" w:space="0" w:color="auto"/>
            </w:tcBorders>
            <w:shd w:val="clear" w:color="auto" w:fill="D9D9D9" w:themeFill="background1" w:themeFillShade="D9"/>
            <w:vAlign w:val="center"/>
          </w:tcPr>
          <w:p w14:paraId="3809025F" w14:textId="77777777" w:rsidR="0002241E" w:rsidRPr="0002241E" w:rsidRDefault="0002241E" w:rsidP="0002241E">
            <w:pPr>
              <w:spacing w:after="0"/>
              <w:jc w:val="center"/>
              <w:rPr>
                <w:b/>
                <w:lang w:val="en-CA"/>
              </w:rPr>
            </w:pPr>
            <w:r w:rsidRPr="0002241E">
              <w:rPr>
                <w:b/>
                <w:lang w:val="en-CA"/>
              </w:rPr>
              <w:t>Presenter</w:t>
            </w:r>
          </w:p>
        </w:tc>
      </w:tr>
      <w:tr w:rsidR="0002241E" w:rsidRPr="0002241E" w14:paraId="13759BA2" w14:textId="77777777" w:rsidTr="0002241E">
        <w:trPr>
          <w:cantSplit/>
          <w:jc w:val="center"/>
        </w:trPr>
        <w:tc>
          <w:tcPr>
            <w:tcW w:w="1136" w:type="dxa"/>
            <w:vAlign w:val="center"/>
          </w:tcPr>
          <w:p w14:paraId="1E292E34" w14:textId="77777777" w:rsidR="0002241E" w:rsidRPr="0002241E" w:rsidRDefault="0002241E" w:rsidP="0002241E">
            <w:pPr>
              <w:numPr>
                <w:ilvl w:val="0"/>
                <w:numId w:val="20"/>
              </w:numPr>
              <w:spacing w:after="0"/>
              <w:contextualSpacing/>
              <w:rPr>
                <w:lang w:val="en-CA"/>
              </w:rPr>
            </w:pPr>
          </w:p>
        </w:tc>
        <w:tc>
          <w:tcPr>
            <w:tcW w:w="6344" w:type="dxa"/>
          </w:tcPr>
          <w:p w14:paraId="2CDE49DF" w14:textId="77777777" w:rsidR="0002241E" w:rsidRPr="0002241E" w:rsidRDefault="0002241E" w:rsidP="0002241E">
            <w:pPr>
              <w:spacing w:after="0"/>
              <w:rPr>
                <w:lang w:val="en-CA"/>
              </w:rPr>
            </w:pPr>
            <w:r w:rsidRPr="0002241E">
              <w:rPr>
                <w:lang w:val="en-CA"/>
              </w:rPr>
              <w:t>Welcome and introductions</w:t>
            </w:r>
          </w:p>
        </w:tc>
        <w:tc>
          <w:tcPr>
            <w:tcW w:w="1369" w:type="dxa"/>
            <w:shd w:val="clear" w:color="auto" w:fill="auto"/>
            <w:vAlign w:val="center"/>
          </w:tcPr>
          <w:p w14:paraId="66C4C6B4" w14:textId="77777777" w:rsidR="0002241E" w:rsidRPr="0002241E" w:rsidRDefault="0002241E" w:rsidP="0002241E">
            <w:pPr>
              <w:spacing w:after="0"/>
              <w:jc w:val="center"/>
              <w:rPr>
                <w:lang w:val="en-CA"/>
              </w:rPr>
            </w:pPr>
            <w:r w:rsidRPr="0002241E">
              <w:rPr>
                <w:lang w:val="en-CA"/>
              </w:rPr>
              <w:t>14</w:t>
            </w:r>
          </w:p>
        </w:tc>
        <w:tc>
          <w:tcPr>
            <w:tcW w:w="1948" w:type="dxa"/>
            <w:shd w:val="clear" w:color="auto" w:fill="auto"/>
            <w:vAlign w:val="center"/>
          </w:tcPr>
          <w:p w14:paraId="2607C74D" w14:textId="77777777" w:rsidR="0002241E" w:rsidRPr="0002241E" w:rsidRDefault="0002241E" w:rsidP="0002241E">
            <w:pPr>
              <w:spacing w:after="0"/>
              <w:rPr>
                <w:lang w:val="en-CA"/>
              </w:rPr>
            </w:pPr>
            <w:r w:rsidRPr="0002241E">
              <w:rPr>
                <w:lang w:val="en-CA"/>
              </w:rPr>
              <w:t>IPPC Secretariat/ STDF</w:t>
            </w:r>
          </w:p>
        </w:tc>
      </w:tr>
      <w:tr w:rsidR="0002241E" w:rsidRPr="0002241E" w14:paraId="08CCA386" w14:textId="77777777" w:rsidTr="0002241E">
        <w:trPr>
          <w:cantSplit/>
          <w:jc w:val="center"/>
        </w:trPr>
        <w:tc>
          <w:tcPr>
            <w:tcW w:w="1136" w:type="dxa"/>
            <w:vAlign w:val="center"/>
          </w:tcPr>
          <w:p w14:paraId="21E05458" w14:textId="77777777" w:rsidR="0002241E" w:rsidRPr="0002241E" w:rsidRDefault="0002241E" w:rsidP="0002241E">
            <w:pPr>
              <w:numPr>
                <w:ilvl w:val="0"/>
                <w:numId w:val="20"/>
              </w:numPr>
              <w:spacing w:after="0"/>
              <w:contextualSpacing/>
              <w:rPr>
                <w:lang w:val="en-CA"/>
              </w:rPr>
            </w:pPr>
          </w:p>
        </w:tc>
        <w:tc>
          <w:tcPr>
            <w:tcW w:w="6344" w:type="dxa"/>
          </w:tcPr>
          <w:p w14:paraId="36107A2D" w14:textId="77777777" w:rsidR="0002241E" w:rsidRPr="0002241E" w:rsidRDefault="0002241E" w:rsidP="0002241E">
            <w:pPr>
              <w:spacing w:after="0"/>
              <w:rPr>
                <w:lang w:val="en-CA"/>
              </w:rPr>
            </w:pPr>
            <w:r w:rsidRPr="0002241E">
              <w:rPr>
                <w:lang w:val="en-CA"/>
              </w:rPr>
              <w:t>Selection of rapporteur</w:t>
            </w:r>
          </w:p>
        </w:tc>
        <w:tc>
          <w:tcPr>
            <w:tcW w:w="1369" w:type="dxa"/>
            <w:shd w:val="clear" w:color="auto" w:fill="auto"/>
            <w:vAlign w:val="center"/>
          </w:tcPr>
          <w:p w14:paraId="312BF1C1" w14:textId="77777777" w:rsidR="0002241E" w:rsidRPr="0002241E" w:rsidRDefault="0002241E" w:rsidP="0002241E">
            <w:pPr>
              <w:spacing w:after="0"/>
              <w:jc w:val="center"/>
              <w:rPr>
                <w:lang w:val="en-CA"/>
              </w:rPr>
            </w:pPr>
          </w:p>
        </w:tc>
        <w:tc>
          <w:tcPr>
            <w:tcW w:w="1948" w:type="dxa"/>
            <w:shd w:val="clear" w:color="auto" w:fill="auto"/>
            <w:vAlign w:val="center"/>
          </w:tcPr>
          <w:p w14:paraId="7DE6580B" w14:textId="77777777" w:rsidR="0002241E" w:rsidRPr="0002241E" w:rsidRDefault="0002241E" w:rsidP="0002241E">
            <w:pPr>
              <w:spacing w:after="0"/>
              <w:rPr>
                <w:lang w:val="en-CA"/>
              </w:rPr>
            </w:pPr>
            <w:r w:rsidRPr="0002241E">
              <w:rPr>
                <w:lang w:val="en-CA"/>
              </w:rPr>
              <w:t>ESG/PTC</w:t>
            </w:r>
          </w:p>
        </w:tc>
      </w:tr>
      <w:tr w:rsidR="0002241E" w:rsidRPr="0002241E" w14:paraId="2DDEA016" w14:textId="77777777" w:rsidTr="0002241E">
        <w:trPr>
          <w:cantSplit/>
          <w:jc w:val="center"/>
        </w:trPr>
        <w:tc>
          <w:tcPr>
            <w:tcW w:w="1136" w:type="dxa"/>
            <w:vAlign w:val="center"/>
          </w:tcPr>
          <w:p w14:paraId="2DA9F305" w14:textId="77777777" w:rsidR="0002241E" w:rsidRPr="0002241E" w:rsidRDefault="0002241E" w:rsidP="0002241E">
            <w:pPr>
              <w:numPr>
                <w:ilvl w:val="0"/>
                <w:numId w:val="20"/>
              </w:numPr>
              <w:spacing w:after="0"/>
              <w:contextualSpacing/>
              <w:rPr>
                <w:lang w:val="en-CA"/>
              </w:rPr>
            </w:pPr>
          </w:p>
        </w:tc>
        <w:tc>
          <w:tcPr>
            <w:tcW w:w="6344" w:type="dxa"/>
          </w:tcPr>
          <w:p w14:paraId="6BDCC827" w14:textId="77777777" w:rsidR="0002241E" w:rsidRPr="0002241E" w:rsidRDefault="0002241E" w:rsidP="0002241E">
            <w:pPr>
              <w:spacing w:after="0"/>
              <w:rPr>
                <w:lang w:val="en-CA"/>
              </w:rPr>
            </w:pPr>
            <w:r w:rsidRPr="0002241E">
              <w:rPr>
                <w:lang w:val="en-CA"/>
              </w:rPr>
              <w:t>Adoption of the agenda</w:t>
            </w:r>
          </w:p>
        </w:tc>
        <w:tc>
          <w:tcPr>
            <w:tcW w:w="1369" w:type="dxa"/>
            <w:shd w:val="clear" w:color="auto" w:fill="auto"/>
            <w:vAlign w:val="center"/>
          </w:tcPr>
          <w:p w14:paraId="0FF768FF" w14:textId="77777777" w:rsidR="0002241E" w:rsidRPr="0002241E" w:rsidRDefault="0002241E" w:rsidP="0002241E">
            <w:pPr>
              <w:spacing w:after="0"/>
              <w:jc w:val="center"/>
              <w:rPr>
                <w:lang w:val="en-CA"/>
              </w:rPr>
            </w:pPr>
            <w:r w:rsidRPr="0002241E">
              <w:rPr>
                <w:lang w:val="en-CA"/>
              </w:rPr>
              <w:t>1</w:t>
            </w:r>
          </w:p>
        </w:tc>
        <w:tc>
          <w:tcPr>
            <w:tcW w:w="1948" w:type="dxa"/>
            <w:vMerge w:val="restart"/>
            <w:shd w:val="clear" w:color="auto" w:fill="auto"/>
            <w:vAlign w:val="center"/>
          </w:tcPr>
          <w:p w14:paraId="2183B69C" w14:textId="77777777" w:rsidR="0002241E" w:rsidRPr="0002241E" w:rsidRDefault="0002241E" w:rsidP="0002241E">
            <w:pPr>
              <w:spacing w:after="0"/>
              <w:rPr>
                <w:lang w:val="en-CA"/>
              </w:rPr>
            </w:pPr>
            <w:r w:rsidRPr="0002241E">
              <w:rPr>
                <w:lang w:val="en-CA"/>
              </w:rPr>
              <w:t>IPPC Secretariat</w:t>
            </w:r>
          </w:p>
          <w:p w14:paraId="55014C72" w14:textId="77777777" w:rsidR="0002241E" w:rsidRPr="0002241E" w:rsidRDefault="0002241E" w:rsidP="0002241E">
            <w:pPr>
              <w:spacing w:after="0"/>
              <w:rPr>
                <w:lang w:val="en-CA"/>
              </w:rPr>
            </w:pPr>
          </w:p>
        </w:tc>
      </w:tr>
      <w:tr w:rsidR="0002241E" w:rsidRPr="0002241E" w14:paraId="08E14440" w14:textId="77777777" w:rsidTr="0002241E">
        <w:trPr>
          <w:cantSplit/>
          <w:jc w:val="center"/>
        </w:trPr>
        <w:tc>
          <w:tcPr>
            <w:tcW w:w="1136" w:type="dxa"/>
            <w:vAlign w:val="center"/>
          </w:tcPr>
          <w:p w14:paraId="50B02A55" w14:textId="77777777" w:rsidR="0002241E" w:rsidRPr="0002241E" w:rsidRDefault="0002241E" w:rsidP="0002241E">
            <w:pPr>
              <w:numPr>
                <w:ilvl w:val="0"/>
                <w:numId w:val="20"/>
              </w:numPr>
              <w:spacing w:after="0"/>
              <w:contextualSpacing/>
              <w:rPr>
                <w:lang w:val="en-CA"/>
              </w:rPr>
            </w:pPr>
          </w:p>
        </w:tc>
        <w:tc>
          <w:tcPr>
            <w:tcW w:w="6344" w:type="dxa"/>
          </w:tcPr>
          <w:p w14:paraId="1154DD84" w14:textId="77777777" w:rsidR="0002241E" w:rsidRPr="0002241E" w:rsidRDefault="0002241E" w:rsidP="0002241E">
            <w:pPr>
              <w:spacing w:after="0"/>
              <w:rPr>
                <w:lang w:val="en-CA"/>
              </w:rPr>
            </w:pPr>
            <w:r w:rsidRPr="0002241E">
              <w:rPr>
                <w:lang w:val="en-CA"/>
              </w:rPr>
              <w:t>Review of documents</w:t>
            </w:r>
          </w:p>
        </w:tc>
        <w:tc>
          <w:tcPr>
            <w:tcW w:w="1369" w:type="dxa"/>
            <w:shd w:val="clear" w:color="auto" w:fill="auto"/>
            <w:vAlign w:val="center"/>
          </w:tcPr>
          <w:p w14:paraId="7FC2D43C" w14:textId="77777777" w:rsidR="0002241E" w:rsidRPr="0002241E" w:rsidRDefault="0002241E" w:rsidP="0002241E">
            <w:pPr>
              <w:spacing w:after="0"/>
              <w:jc w:val="center"/>
              <w:rPr>
                <w:lang w:val="en-CA"/>
              </w:rPr>
            </w:pPr>
            <w:r w:rsidRPr="0002241E">
              <w:rPr>
                <w:lang w:val="en-CA"/>
              </w:rPr>
              <w:t>2</w:t>
            </w:r>
          </w:p>
        </w:tc>
        <w:tc>
          <w:tcPr>
            <w:tcW w:w="1948" w:type="dxa"/>
            <w:vMerge/>
            <w:shd w:val="clear" w:color="auto" w:fill="auto"/>
            <w:vAlign w:val="center"/>
          </w:tcPr>
          <w:p w14:paraId="70550658" w14:textId="77777777" w:rsidR="0002241E" w:rsidRPr="0002241E" w:rsidRDefault="0002241E" w:rsidP="0002241E">
            <w:pPr>
              <w:spacing w:after="0"/>
              <w:rPr>
                <w:lang w:val="en-CA"/>
              </w:rPr>
            </w:pPr>
          </w:p>
        </w:tc>
      </w:tr>
      <w:tr w:rsidR="0002241E" w:rsidRPr="0002241E" w14:paraId="717ADD7A" w14:textId="77777777" w:rsidTr="0002241E">
        <w:trPr>
          <w:cantSplit/>
          <w:jc w:val="center"/>
        </w:trPr>
        <w:tc>
          <w:tcPr>
            <w:tcW w:w="1136" w:type="dxa"/>
            <w:vMerge w:val="restart"/>
            <w:vAlign w:val="center"/>
          </w:tcPr>
          <w:p w14:paraId="4503FC7A" w14:textId="77777777" w:rsidR="0002241E" w:rsidRPr="0002241E" w:rsidRDefault="0002241E" w:rsidP="0002241E">
            <w:pPr>
              <w:numPr>
                <w:ilvl w:val="0"/>
                <w:numId w:val="20"/>
              </w:numPr>
              <w:spacing w:after="0"/>
              <w:contextualSpacing/>
              <w:rPr>
                <w:lang w:val="en-CA"/>
              </w:rPr>
            </w:pPr>
          </w:p>
        </w:tc>
        <w:tc>
          <w:tcPr>
            <w:tcW w:w="6344" w:type="dxa"/>
          </w:tcPr>
          <w:p w14:paraId="44F9BB1F" w14:textId="77777777" w:rsidR="0002241E" w:rsidRPr="0002241E" w:rsidRDefault="0002241E" w:rsidP="0002241E">
            <w:pPr>
              <w:spacing w:after="0"/>
              <w:rPr>
                <w:lang w:val="en-CA"/>
              </w:rPr>
            </w:pPr>
            <w:r w:rsidRPr="0002241E">
              <w:rPr>
                <w:lang w:val="en-CA"/>
              </w:rPr>
              <w:t>Terms of reference (ESG/PTC)</w:t>
            </w:r>
          </w:p>
        </w:tc>
        <w:tc>
          <w:tcPr>
            <w:tcW w:w="1369" w:type="dxa"/>
            <w:shd w:val="clear" w:color="auto" w:fill="auto"/>
            <w:vAlign w:val="center"/>
          </w:tcPr>
          <w:p w14:paraId="3B8C7632" w14:textId="77777777" w:rsidR="0002241E" w:rsidRPr="0002241E" w:rsidRDefault="0002241E" w:rsidP="0002241E">
            <w:pPr>
              <w:spacing w:after="0"/>
              <w:jc w:val="center"/>
              <w:rPr>
                <w:lang w:val="en-CA"/>
              </w:rPr>
            </w:pPr>
            <w:r w:rsidRPr="0002241E">
              <w:rPr>
                <w:lang w:val="en-CA"/>
              </w:rPr>
              <w:t>3 &amp; 4</w:t>
            </w:r>
          </w:p>
        </w:tc>
        <w:tc>
          <w:tcPr>
            <w:tcW w:w="1948" w:type="dxa"/>
            <w:vMerge/>
            <w:shd w:val="clear" w:color="auto" w:fill="auto"/>
            <w:vAlign w:val="center"/>
          </w:tcPr>
          <w:p w14:paraId="169F1F27" w14:textId="77777777" w:rsidR="0002241E" w:rsidRPr="0002241E" w:rsidRDefault="0002241E" w:rsidP="0002241E">
            <w:pPr>
              <w:spacing w:after="0"/>
              <w:rPr>
                <w:lang w:val="en-CA"/>
              </w:rPr>
            </w:pPr>
          </w:p>
        </w:tc>
      </w:tr>
      <w:tr w:rsidR="0002241E" w:rsidRPr="0002241E" w14:paraId="740C2F3B" w14:textId="77777777" w:rsidTr="0002241E">
        <w:trPr>
          <w:cantSplit/>
          <w:jc w:val="center"/>
        </w:trPr>
        <w:tc>
          <w:tcPr>
            <w:tcW w:w="1136" w:type="dxa"/>
            <w:vMerge/>
            <w:vAlign w:val="center"/>
          </w:tcPr>
          <w:p w14:paraId="118F8803" w14:textId="77777777" w:rsidR="0002241E" w:rsidRPr="0002241E" w:rsidRDefault="0002241E" w:rsidP="0002241E">
            <w:pPr>
              <w:numPr>
                <w:ilvl w:val="0"/>
                <w:numId w:val="20"/>
              </w:numPr>
              <w:spacing w:after="0"/>
              <w:contextualSpacing/>
              <w:rPr>
                <w:lang w:val="en-CA"/>
              </w:rPr>
            </w:pPr>
          </w:p>
        </w:tc>
        <w:tc>
          <w:tcPr>
            <w:tcW w:w="6344" w:type="dxa"/>
          </w:tcPr>
          <w:p w14:paraId="4A6183C7" w14:textId="77777777" w:rsidR="0002241E" w:rsidRPr="0002241E" w:rsidRDefault="0002241E" w:rsidP="0002241E">
            <w:pPr>
              <w:numPr>
                <w:ilvl w:val="0"/>
                <w:numId w:val="23"/>
              </w:numPr>
              <w:spacing w:after="0"/>
              <w:contextualSpacing/>
              <w:rPr>
                <w:lang w:val="en-CA"/>
              </w:rPr>
            </w:pPr>
            <w:r w:rsidRPr="0002241E">
              <w:rPr>
                <w:lang w:val="en-CA"/>
              </w:rPr>
              <w:t>Working with other organizations</w:t>
            </w:r>
          </w:p>
        </w:tc>
        <w:tc>
          <w:tcPr>
            <w:tcW w:w="1369" w:type="dxa"/>
            <w:shd w:val="clear" w:color="auto" w:fill="auto"/>
            <w:vAlign w:val="center"/>
          </w:tcPr>
          <w:p w14:paraId="1A0934F9" w14:textId="77777777" w:rsidR="0002241E" w:rsidRPr="0002241E" w:rsidRDefault="0002241E" w:rsidP="0002241E">
            <w:pPr>
              <w:spacing w:after="0"/>
              <w:jc w:val="center"/>
              <w:rPr>
                <w:lang w:val="en-CA"/>
              </w:rPr>
            </w:pPr>
          </w:p>
        </w:tc>
        <w:tc>
          <w:tcPr>
            <w:tcW w:w="1948" w:type="dxa"/>
            <w:vMerge/>
            <w:shd w:val="clear" w:color="auto" w:fill="auto"/>
            <w:vAlign w:val="center"/>
          </w:tcPr>
          <w:p w14:paraId="6E41F977" w14:textId="77777777" w:rsidR="0002241E" w:rsidRPr="0002241E" w:rsidRDefault="0002241E" w:rsidP="0002241E">
            <w:pPr>
              <w:spacing w:after="0"/>
              <w:rPr>
                <w:lang w:val="en-CA"/>
              </w:rPr>
            </w:pPr>
          </w:p>
        </w:tc>
      </w:tr>
      <w:tr w:rsidR="0002241E" w:rsidRPr="0002241E" w14:paraId="7423D2EE" w14:textId="77777777" w:rsidTr="0002241E">
        <w:trPr>
          <w:cantSplit/>
          <w:jc w:val="center"/>
        </w:trPr>
        <w:tc>
          <w:tcPr>
            <w:tcW w:w="1136" w:type="dxa"/>
            <w:vMerge/>
            <w:vAlign w:val="center"/>
          </w:tcPr>
          <w:p w14:paraId="127CE4F2" w14:textId="77777777" w:rsidR="0002241E" w:rsidRPr="0002241E" w:rsidRDefault="0002241E" w:rsidP="0002241E">
            <w:pPr>
              <w:numPr>
                <w:ilvl w:val="0"/>
                <w:numId w:val="20"/>
              </w:numPr>
              <w:spacing w:after="0"/>
              <w:contextualSpacing/>
              <w:rPr>
                <w:lang w:val="en-CA"/>
              </w:rPr>
            </w:pPr>
          </w:p>
        </w:tc>
        <w:tc>
          <w:tcPr>
            <w:tcW w:w="6344" w:type="dxa"/>
          </w:tcPr>
          <w:p w14:paraId="5C67CACA" w14:textId="77777777" w:rsidR="0002241E" w:rsidRPr="0002241E" w:rsidRDefault="0002241E" w:rsidP="0002241E">
            <w:pPr>
              <w:numPr>
                <w:ilvl w:val="0"/>
                <w:numId w:val="23"/>
              </w:numPr>
              <w:spacing w:after="0"/>
              <w:contextualSpacing/>
              <w:rPr>
                <w:lang w:val="en-CA"/>
              </w:rPr>
            </w:pPr>
            <w:r w:rsidRPr="0002241E">
              <w:rPr>
                <w:lang w:val="en-CA"/>
              </w:rPr>
              <w:t>Participation of UN/CEFACT on PTC</w:t>
            </w:r>
          </w:p>
        </w:tc>
        <w:tc>
          <w:tcPr>
            <w:tcW w:w="1369" w:type="dxa"/>
            <w:shd w:val="clear" w:color="auto" w:fill="auto"/>
            <w:vAlign w:val="center"/>
          </w:tcPr>
          <w:p w14:paraId="14DB8E0A" w14:textId="77777777" w:rsidR="0002241E" w:rsidRPr="0002241E" w:rsidRDefault="0002241E" w:rsidP="0002241E">
            <w:pPr>
              <w:spacing w:after="0"/>
              <w:jc w:val="center"/>
              <w:rPr>
                <w:lang w:val="en-CA"/>
              </w:rPr>
            </w:pPr>
          </w:p>
        </w:tc>
        <w:tc>
          <w:tcPr>
            <w:tcW w:w="1948" w:type="dxa"/>
            <w:vMerge/>
            <w:shd w:val="clear" w:color="auto" w:fill="auto"/>
            <w:vAlign w:val="center"/>
          </w:tcPr>
          <w:p w14:paraId="45E4C344" w14:textId="77777777" w:rsidR="0002241E" w:rsidRPr="0002241E" w:rsidRDefault="0002241E" w:rsidP="0002241E">
            <w:pPr>
              <w:spacing w:after="0"/>
              <w:rPr>
                <w:lang w:val="en-CA"/>
              </w:rPr>
            </w:pPr>
          </w:p>
        </w:tc>
      </w:tr>
      <w:tr w:rsidR="0002241E" w:rsidRPr="0002241E" w14:paraId="31173BA3" w14:textId="77777777" w:rsidTr="0002241E">
        <w:trPr>
          <w:cantSplit/>
          <w:jc w:val="center"/>
        </w:trPr>
        <w:tc>
          <w:tcPr>
            <w:tcW w:w="1136" w:type="dxa"/>
            <w:vMerge/>
            <w:vAlign w:val="center"/>
          </w:tcPr>
          <w:p w14:paraId="1D5FDC64" w14:textId="77777777" w:rsidR="0002241E" w:rsidRPr="0002241E" w:rsidRDefault="0002241E" w:rsidP="0002241E">
            <w:pPr>
              <w:numPr>
                <w:ilvl w:val="0"/>
                <w:numId w:val="20"/>
              </w:numPr>
              <w:spacing w:after="0"/>
              <w:contextualSpacing/>
              <w:rPr>
                <w:lang w:val="en-CA"/>
              </w:rPr>
            </w:pPr>
          </w:p>
        </w:tc>
        <w:tc>
          <w:tcPr>
            <w:tcW w:w="6344" w:type="dxa"/>
          </w:tcPr>
          <w:p w14:paraId="01969969" w14:textId="77777777" w:rsidR="0002241E" w:rsidRPr="0002241E" w:rsidRDefault="0002241E" w:rsidP="0002241E">
            <w:pPr>
              <w:numPr>
                <w:ilvl w:val="0"/>
                <w:numId w:val="23"/>
              </w:numPr>
              <w:spacing w:after="0"/>
              <w:contextualSpacing/>
              <w:rPr>
                <w:lang w:val="en-CA"/>
              </w:rPr>
            </w:pPr>
            <w:r w:rsidRPr="0002241E">
              <w:rPr>
                <w:lang w:val="en-CA"/>
              </w:rPr>
              <w:t>Process for approval of  documents</w:t>
            </w:r>
          </w:p>
        </w:tc>
        <w:tc>
          <w:tcPr>
            <w:tcW w:w="1369" w:type="dxa"/>
            <w:shd w:val="clear" w:color="auto" w:fill="auto"/>
            <w:vAlign w:val="center"/>
          </w:tcPr>
          <w:p w14:paraId="098803A6" w14:textId="77777777" w:rsidR="0002241E" w:rsidRPr="0002241E" w:rsidRDefault="0002241E" w:rsidP="0002241E">
            <w:pPr>
              <w:spacing w:after="0"/>
              <w:jc w:val="center"/>
              <w:rPr>
                <w:lang w:val="en-CA"/>
              </w:rPr>
            </w:pPr>
          </w:p>
        </w:tc>
        <w:tc>
          <w:tcPr>
            <w:tcW w:w="1948" w:type="dxa"/>
            <w:vMerge/>
            <w:shd w:val="clear" w:color="auto" w:fill="auto"/>
            <w:vAlign w:val="center"/>
          </w:tcPr>
          <w:p w14:paraId="4200BB1E" w14:textId="77777777" w:rsidR="0002241E" w:rsidRPr="0002241E" w:rsidRDefault="0002241E" w:rsidP="0002241E">
            <w:pPr>
              <w:spacing w:after="0"/>
              <w:rPr>
                <w:lang w:val="en-CA"/>
              </w:rPr>
            </w:pPr>
          </w:p>
        </w:tc>
      </w:tr>
      <w:tr w:rsidR="0002241E" w:rsidRPr="0002241E" w14:paraId="7EDB6145" w14:textId="77777777" w:rsidTr="0002241E">
        <w:trPr>
          <w:cantSplit/>
          <w:jc w:val="center"/>
        </w:trPr>
        <w:tc>
          <w:tcPr>
            <w:tcW w:w="1136" w:type="dxa"/>
            <w:vAlign w:val="center"/>
          </w:tcPr>
          <w:p w14:paraId="6357B441" w14:textId="77777777" w:rsidR="0002241E" w:rsidRPr="0002241E" w:rsidRDefault="0002241E" w:rsidP="0002241E">
            <w:pPr>
              <w:numPr>
                <w:ilvl w:val="0"/>
                <w:numId w:val="20"/>
              </w:numPr>
              <w:spacing w:after="0"/>
              <w:contextualSpacing/>
              <w:rPr>
                <w:lang w:val="en-CA"/>
              </w:rPr>
            </w:pPr>
          </w:p>
        </w:tc>
        <w:tc>
          <w:tcPr>
            <w:tcW w:w="6344" w:type="dxa"/>
          </w:tcPr>
          <w:p w14:paraId="36AB0BDD" w14:textId="77777777" w:rsidR="0002241E" w:rsidRPr="0002241E" w:rsidRDefault="0002241E" w:rsidP="0002241E">
            <w:pPr>
              <w:spacing w:after="0"/>
              <w:rPr>
                <w:lang w:val="en-CA"/>
              </w:rPr>
            </w:pPr>
            <w:r w:rsidRPr="0002241E">
              <w:rPr>
                <w:lang w:val="en-CA"/>
              </w:rPr>
              <w:t>Legal framework for the operation of the hub and GeNS</w:t>
            </w:r>
          </w:p>
        </w:tc>
        <w:tc>
          <w:tcPr>
            <w:tcW w:w="1369" w:type="dxa"/>
            <w:shd w:val="clear" w:color="auto" w:fill="auto"/>
            <w:vAlign w:val="center"/>
          </w:tcPr>
          <w:p w14:paraId="5AF2E67D" w14:textId="77777777" w:rsidR="0002241E" w:rsidRPr="0002241E" w:rsidRDefault="0002241E" w:rsidP="0002241E">
            <w:pPr>
              <w:spacing w:after="0"/>
              <w:jc w:val="center"/>
              <w:rPr>
                <w:lang w:val="en-CA"/>
              </w:rPr>
            </w:pPr>
          </w:p>
        </w:tc>
        <w:tc>
          <w:tcPr>
            <w:tcW w:w="1948" w:type="dxa"/>
            <w:vMerge/>
            <w:shd w:val="clear" w:color="auto" w:fill="auto"/>
            <w:vAlign w:val="center"/>
          </w:tcPr>
          <w:p w14:paraId="33813502" w14:textId="77777777" w:rsidR="0002241E" w:rsidRPr="0002241E" w:rsidRDefault="0002241E" w:rsidP="0002241E">
            <w:pPr>
              <w:spacing w:after="0"/>
              <w:rPr>
                <w:lang w:val="en-CA"/>
              </w:rPr>
            </w:pPr>
          </w:p>
        </w:tc>
      </w:tr>
      <w:tr w:rsidR="0002241E" w:rsidRPr="0002241E" w14:paraId="62895E1A" w14:textId="77777777" w:rsidTr="0002241E">
        <w:trPr>
          <w:cantSplit/>
          <w:jc w:val="center"/>
        </w:trPr>
        <w:tc>
          <w:tcPr>
            <w:tcW w:w="1136" w:type="dxa"/>
            <w:vAlign w:val="center"/>
          </w:tcPr>
          <w:p w14:paraId="412F8236" w14:textId="77777777" w:rsidR="0002241E" w:rsidRPr="0002241E" w:rsidRDefault="0002241E" w:rsidP="0002241E">
            <w:pPr>
              <w:numPr>
                <w:ilvl w:val="0"/>
                <w:numId w:val="20"/>
              </w:numPr>
              <w:spacing w:after="0"/>
              <w:contextualSpacing/>
              <w:rPr>
                <w:lang w:val="en-CA"/>
              </w:rPr>
            </w:pPr>
          </w:p>
        </w:tc>
        <w:tc>
          <w:tcPr>
            <w:tcW w:w="6344" w:type="dxa"/>
          </w:tcPr>
          <w:p w14:paraId="56A32BE8" w14:textId="77777777" w:rsidR="0002241E" w:rsidRPr="0002241E" w:rsidRDefault="0002241E" w:rsidP="0002241E">
            <w:pPr>
              <w:spacing w:after="0"/>
              <w:rPr>
                <w:lang w:val="en-CA"/>
              </w:rPr>
            </w:pPr>
            <w:r w:rsidRPr="0002241E">
              <w:rPr>
                <w:lang w:val="en-CA"/>
              </w:rPr>
              <w:t>STDF Project Plan</w:t>
            </w:r>
          </w:p>
        </w:tc>
        <w:tc>
          <w:tcPr>
            <w:tcW w:w="1369" w:type="dxa"/>
            <w:shd w:val="clear" w:color="auto" w:fill="auto"/>
            <w:vAlign w:val="center"/>
          </w:tcPr>
          <w:p w14:paraId="4CD83866" w14:textId="77777777" w:rsidR="0002241E" w:rsidRPr="0002241E" w:rsidRDefault="0002241E" w:rsidP="0002241E">
            <w:pPr>
              <w:spacing w:after="0"/>
              <w:jc w:val="center"/>
              <w:rPr>
                <w:lang w:val="en-CA"/>
              </w:rPr>
            </w:pPr>
            <w:r w:rsidRPr="0002241E">
              <w:rPr>
                <w:lang w:val="en-CA"/>
              </w:rPr>
              <w:t>5</w:t>
            </w:r>
          </w:p>
        </w:tc>
        <w:tc>
          <w:tcPr>
            <w:tcW w:w="1948" w:type="dxa"/>
            <w:vMerge/>
            <w:shd w:val="clear" w:color="auto" w:fill="auto"/>
          </w:tcPr>
          <w:p w14:paraId="1DF88815" w14:textId="77777777" w:rsidR="0002241E" w:rsidRPr="0002241E" w:rsidRDefault="0002241E" w:rsidP="0002241E">
            <w:pPr>
              <w:spacing w:after="0"/>
              <w:rPr>
                <w:lang w:val="en-CA"/>
              </w:rPr>
            </w:pPr>
          </w:p>
        </w:tc>
      </w:tr>
      <w:tr w:rsidR="0002241E" w:rsidRPr="0002241E" w14:paraId="702E33CA" w14:textId="77777777" w:rsidTr="0002241E">
        <w:trPr>
          <w:cantSplit/>
          <w:trHeight w:val="324"/>
          <w:jc w:val="center"/>
        </w:trPr>
        <w:tc>
          <w:tcPr>
            <w:tcW w:w="1136" w:type="dxa"/>
            <w:vMerge w:val="restart"/>
            <w:vAlign w:val="center"/>
          </w:tcPr>
          <w:p w14:paraId="4AEBE86E" w14:textId="77777777" w:rsidR="0002241E" w:rsidRPr="0002241E" w:rsidRDefault="0002241E" w:rsidP="0002241E">
            <w:pPr>
              <w:numPr>
                <w:ilvl w:val="0"/>
                <w:numId w:val="20"/>
              </w:numPr>
              <w:spacing w:after="0"/>
              <w:contextualSpacing/>
              <w:rPr>
                <w:lang w:val="en-CA"/>
              </w:rPr>
            </w:pPr>
          </w:p>
        </w:tc>
        <w:tc>
          <w:tcPr>
            <w:tcW w:w="6344" w:type="dxa"/>
          </w:tcPr>
          <w:p w14:paraId="5740ADC2" w14:textId="77777777" w:rsidR="0002241E" w:rsidRPr="0002241E" w:rsidRDefault="0002241E" w:rsidP="0002241E">
            <w:pPr>
              <w:spacing w:after="0"/>
              <w:rPr>
                <w:lang w:val="en-CA"/>
              </w:rPr>
            </w:pPr>
            <w:r w:rsidRPr="0002241E">
              <w:rPr>
                <w:lang w:val="en-CA"/>
              </w:rPr>
              <w:t>CPM</w:t>
            </w:r>
          </w:p>
        </w:tc>
        <w:tc>
          <w:tcPr>
            <w:tcW w:w="1369" w:type="dxa"/>
            <w:shd w:val="clear" w:color="auto" w:fill="auto"/>
          </w:tcPr>
          <w:p w14:paraId="6756D799" w14:textId="77777777" w:rsidR="0002241E" w:rsidRPr="0002241E" w:rsidRDefault="0002241E" w:rsidP="0002241E">
            <w:pPr>
              <w:spacing w:after="0"/>
              <w:rPr>
                <w:lang w:val="en-CA"/>
              </w:rPr>
            </w:pPr>
          </w:p>
        </w:tc>
        <w:tc>
          <w:tcPr>
            <w:tcW w:w="1948" w:type="dxa"/>
            <w:vMerge/>
            <w:shd w:val="clear" w:color="auto" w:fill="auto"/>
            <w:vAlign w:val="center"/>
          </w:tcPr>
          <w:p w14:paraId="0999E68C" w14:textId="77777777" w:rsidR="0002241E" w:rsidRPr="0002241E" w:rsidRDefault="0002241E" w:rsidP="0002241E">
            <w:pPr>
              <w:spacing w:after="0"/>
              <w:rPr>
                <w:lang w:val="en-CA"/>
              </w:rPr>
            </w:pPr>
          </w:p>
        </w:tc>
      </w:tr>
      <w:tr w:rsidR="0002241E" w:rsidRPr="0002241E" w14:paraId="47632D5D" w14:textId="77777777" w:rsidTr="0002241E">
        <w:trPr>
          <w:cantSplit/>
          <w:trHeight w:val="324"/>
          <w:jc w:val="center"/>
        </w:trPr>
        <w:tc>
          <w:tcPr>
            <w:tcW w:w="1136" w:type="dxa"/>
            <w:vMerge/>
            <w:vAlign w:val="center"/>
          </w:tcPr>
          <w:p w14:paraId="3785CFA8" w14:textId="77777777" w:rsidR="0002241E" w:rsidRPr="0002241E" w:rsidRDefault="0002241E" w:rsidP="0002241E">
            <w:pPr>
              <w:numPr>
                <w:ilvl w:val="0"/>
                <w:numId w:val="20"/>
              </w:numPr>
              <w:spacing w:after="0"/>
              <w:contextualSpacing/>
              <w:jc w:val="center"/>
              <w:rPr>
                <w:lang w:val="en-CA"/>
              </w:rPr>
            </w:pPr>
          </w:p>
        </w:tc>
        <w:tc>
          <w:tcPr>
            <w:tcW w:w="6344" w:type="dxa"/>
          </w:tcPr>
          <w:p w14:paraId="237C42DD" w14:textId="77777777" w:rsidR="0002241E" w:rsidRPr="0002241E" w:rsidRDefault="0002241E" w:rsidP="0002241E">
            <w:pPr>
              <w:numPr>
                <w:ilvl w:val="0"/>
                <w:numId w:val="11"/>
              </w:numPr>
              <w:spacing w:after="0"/>
              <w:contextualSpacing/>
              <w:rPr>
                <w:lang w:val="en-CA"/>
              </w:rPr>
            </w:pPr>
            <w:r w:rsidRPr="0002241E">
              <w:rPr>
                <w:lang w:val="en-CA"/>
              </w:rPr>
              <w:t>Report to CPM</w:t>
            </w:r>
          </w:p>
        </w:tc>
        <w:tc>
          <w:tcPr>
            <w:tcW w:w="1369" w:type="dxa"/>
            <w:shd w:val="clear" w:color="auto" w:fill="auto"/>
            <w:vAlign w:val="center"/>
          </w:tcPr>
          <w:p w14:paraId="711DE229" w14:textId="77777777" w:rsidR="0002241E" w:rsidRPr="0002241E" w:rsidRDefault="0002241E" w:rsidP="0002241E">
            <w:pPr>
              <w:spacing w:after="0"/>
              <w:jc w:val="center"/>
              <w:rPr>
                <w:lang w:val="en-CA"/>
              </w:rPr>
            </w:pPr>
            <w:r w:rsidRPr="0002241E">
              <w:rPr>
                <w:lang w:val="en-CA"/>
              </w:rPr>
              <w:t>13</w:t>
            </w:r>
          </w:p>
        </w:tc>
        <w:tc>
          <w:tcPr>
            <w:tcW w:w="1948" w:type="dxa"/>
            <w:vMerge/>
            <w:shd w:val="clear" w:color="auto" w:fill="auto"/>
            <w:vAlign w:val="center"/>
          </w:tcPr>
          <w:p w14:paraId="227A42D8" w14:textId="77777777" w:rsidR="0002241E" w:rsidRPr="0002241E" w:rsidRDefault="0002241E" w:rsidP="0002241E">
            <w:pPr>
              <w:spacing w:after="0"/>
              <w:rPr>
                <w:lang w:val="en-CA"/>
              </w:rPr>
            </w:pPr>
          </w:p>
        </w:tc>
      </w:tr>
      <w:tr w:rsidR="0002241E" w:rsidRPr="0002241E" w14:paraId="63784C50" w14:textId="77777777" w:rsidTr="0002241E">
        <w:trPr>
          <w:cantSplit/>
          <w:jc w:val="center"/>
        </w:trPr>
        <w:tc>
          <w:tcPr>
            <w:tcW w:w="1136" w:type="dxa"/>
            <w:vMerge/>
            <w:vAlign w:val="center"/>
          </w:tcPr>
          <w:p w14:paraId="42D01AE8" w14:textId="77777777" w:rsidR="0002241E" w:rsidRPr="0002241E" w:rsidRDefault="0002241E" w:rsidP="0002241E">
            <w:pPr>
              <w:numPr>
                <w:ilvl w:val="0"/>
                <w:numId w:val="20"/>
              </w:numPr>
              <w:spacing w:after="0"/>
              <w:contextualSpacing/>
              <w:rPr>
                <w:lang w:val="en-CA"/>
              </w:rPr>
            </w:pPr>
          </w:p>
        </w:tc>
        <w:tc>
          <w:tcPr>
            <w:tcW w:w="6344" w:type="dxa"/>
          </w:tcPr>
          <w:p w14:paraId="44A5131E" w14:textId="77777777" w:rsidR="0002241E" w:rsidRPr="0002241E" w:rsidRDefault="0002241E" w:rsidP="0002241E">
            <w:pPr>
              <w:numPr>
                <w:ilvl w:val="0"/>
                <w:numId w:val="11"/>
              </w:numPr>
              <w:spacing w:after="0"/>
              <w:contextualSpacing/>
              <w:rPr>
                <w:lang w:val="en-CA"/>
              </w:rPr>
            </w:pPr>
            <w:r w:rsidRPr="0002241E">
              <w:rPr>
                <w:lang w:val="en-CA"/>
              </w:rPr>
              <w:t>CPM side session</w:t>
            </w:r>
          </w:p>
        </w:tc>
        <w:tc>
          <w:tcPr>
            <w:tcW w:w="1369" w:type="dxa"/>
            <w:shd w:val="clear" w:color="auto" w:fill="auto"/>
            <w:vAlign w:val="center"/>
          </w:tcPr>
          <w:p w14:paraId="0BDB41C4" w14:textId="77777777" w:rsidR="0002241E" w:rsidRPr="0002241E" w:rsidRDefault="0002241E" w:rsidP="0002241E">
            <w:pPr>
              <w:spacing w:after="0"/>
              <w:jc w:val="center"/>
              <w:rPr>
                <w:lang w:val="en-CA"/>
              </w:rPr>
            </w:pPr>
          </w:p>
        </w:tc>
        <w:tc>
          <w:tcPr>
            <w:tcW w:w="1948" w:type="dxa"/>
            <w:vMerge/>
            <w:shd w:val="clear" w:color="auto" w:fill="auto"/>
          </w:tcPr>
          <w:p w14:paraId="7576A3D6" w14:textId="77777777" w:rsidR="0002241E" w:rsidRPr="0002241E" w:rsidRDefault="0002241E" w:rsidP="0002241E">
            <w:pPr>
              <w:spacing w:after="0"/>
              <w:rPr>
                <w:lang w:val="en-CA"/>
              </w:rPr>
            </w:pPr>
          </w:p>
        </w:tc>
      </w:tr>
      <w:tr w:rsidR="0002241E" w:rsidRPr="0002241E" w14:paraId="09BEF7D6" w14:textId="77777777" w:rsidTr="0002241E">
        <w:trPr>
          <w:cantSplit/>
          <w:jc w:val="center"/>
        </w:trPr>
        <w:tc>
          <w:tcPr>
            <w:tcW w:w="1136" w:type="dxa"/>
            <w:vAlign w:val="center"/>
          </w:tcPr>
          <w:p w14:paraId="191497C5" w14:textId="77777777" w:rsidR="0002241E" w:rsidRPr="0002241E" w:rsidRDefault="0002241E" w:rsidP="0002241E">
            <w:pPr>
              <w:numPr>
                <w:ilvl w:val="0"/>
                <w:numId w:val="20"/>
              </w:numPr>
              <w:spacing w:after="0"/>
              <w:contextualSpacing/>
              <w:rPr>
                <w:lang w:val="en-CA"/>
              </w:rPr>
            </w:pPr>
          </w:p>
        </w:tc>
        <w:tc>
          <w:tcPr>
            <w:tcW w:w="6344" w:type="dxa"/>
          </w:tcPr>
          <w:p w14:paraId="460F19F6" w14:textId="77777777" w:rsidR="0002241E" w:rsidRPr="0002241E" w:rsidRDefault="0002241E" w:rsidP="0002241E">
            <w:pPr>
              <w:spacing w:after="0"/>
              <w:rPr>
                <w:lang w:val="en-CA"/>
              </w:rPr>
            </w:pPr>
            <w:r w:rsidRPr="0002241E">
              <w:rPr>
                <w:lang w:val="en-CA"/>
              </w:rPr>
              <w:t>Update on IPPC/UNICC contractual arrangements</w:t>
            </w:r>
          </w:p>
        </w:tc>
        <w:tc>
          <w:tcPr>
            <w:tcW w:w="1369" w:type="dxa"/>
            <w:shd w:val="clear" w:color="auto" w:fill="auto"/>
            <w:vAlign w:val="center"/>
          </w:tcPr>
          <w:p w14:paraId="4C63D173" w14:textId="77777777" w:rsidR="0002241E" w:rsidRPr="0002241E" w:rsidRDefault="0002241E" w:rsidP="0002241E">
            <w:pPr>
              <w:spacing w:after="0"/>
              <w:rPr>
                <w:lang w:val="en-CA"/>
              </w:rPr>
            </w:pPr>
          </w:p>
        </w:tc>
        <w:tc>
          <w:tcPr>
            <w:tcW w:w="1948" w:type="dxa"/>
            <w:vMerge/>
            <w:shd w:val="clear" w:color="auto" w:fill="auto"/>
            <w:vAlign w:val="center"/>
          </w:tcPr>
          <w:p w14:paraId="2C6715E0" w14:textId="77777777" w:rsidR="0002241E" w:rsidRPr="0002241E" w:rsidRDefault="0002241E" w:rsidP="0002241E">
            <w:pPr>
              <w:spacing w:after="0"/>
              <w:rPr>
                <w:lang w:val="en-CA"/>
              </w:rPr>
            </w:pPr>
          </w:p>
        </w:tc>
      </w:tr>
      <w:tr w:rsidR="0002241E" w:rsidRPr="0002241E" w14:paraId="7633FB42" w14:textId="77777777" w:rsidTr="0002241E">
        <w:trPr>
          <w:cantSplit/>
          <w:jc w:val="center"/>
        </w:trPr>
        <w:tc>
          <w:tcPr>
            <w:tcW w:w="1136" w:type="dxa"/>
            <w:vMerge w:val="restart"/>
            <w:vAlign w:val="center"/>
          </w:tcPr>
          <w:p w14:paraId="7E368ED3" w14:textId="77777777" w:rsidR="0002241E" w:rsidRPr="0002241E" w:rsidRDefault="0002241E" w:rsidP="0002241E">
            <w:pPr>
              <w:numPr>
                <w:ilvl w:val="0"/>
                <w:numId w:val="20"/>
              </w:numPr>
              <w:spacing w:after="0"/>
              <w:contextualSpacing/>
              <w:rPr>
                <w:lang w:val="en-CA"/>
              </w:rPr>
            </w:pPr>
          </w:p>
        </w:tc>
        <w:tc>
          <w:tcPr>
            <w:tcW w:w="6344" w:type="dxa"/>
          </w:tcPr>
          <w:p w14:paraId="0E123CCD" w14:textId="77777777" w:rsidR="0002241E" w:rsidRPr="0002241E" w:rsidRDefault="0002241E" w:rsidP="0002241E">
            <w:pPr>
              <w:spacing w:after="0"/>
              <w:rPr>
                <w:lang w:val="en-CA"/>
              </w:rPr>
            </w:pPr>
            <w:r w:rsidRPr="0002241E">
              <w:rPr>
                <w:lang w:val="en-CA"/>
              </w:rPr>
              <w:t>HUB development</w:t>
            </w:r>
          </w:p>
        </w:tc>
        <w:tc>
          <w:tcPr>
            <w:tcW w:w="1369" w:type="dxa"/>
            <w:vMerge w:val="restart"/>
            <w:shd w:val="clear" w:color="auto" w:fill="auto"/>
            <w:vAlign w:val="center"/>
          </w:tcPr>
          <w:p w14:paraId="6CB33998" w14:textId="77777777" w:rsidR="0002241E" w:rsidRPr="0002241E" w:rsidRDefault="0002241E" w:rsidP="0002241E">
            <w:pPr>
              <w:spacing w:after="0"/>
              <w:jc w:val="center"/>
              <w:rPr>
                <w:lang w:val="en-CA"/>
              </w:rPr>
            </w:pPr>
            <w:r w:rsidRPr="0002241E">
              <w:rPr>
                <w:lang w:val="en-CA"/>
              </w:rPr>
              <w:t>6</w:t>
            </w:r>
          </w:p>
        </w:tc>
        <w:tc>
          <w:tcPr>
            <w:tcW w:w="1948" w:type="dxa"/>
            <w:vMerge w:val="restart"/>
            <w:shd w:val="clear" w:color="auto" w:fill="auto"/>
            <w:vAlign w:val="center"/>
          </w:tcPr>
          <w:p w14:paraId="32B5741B" w14:textId="77777777" w:rsidR="0002241E" w:rsidRPr="0002241E" w:rsidRDefault="0002241E" w:rsidP="0002241E">
            <w:pPr>
              <w:spacing w:after="0"/>
              <w:rPr>
                <w:lang w:val="en-CA"/>
              </w:rPr>
            </w:pPr>
            <w:r w:rsidRPr="0002241E">
              <w:rPr>
                <w:lang w:val="en-CA"/>
              </w:rPr>
              <w:t>UNICC</w:t>
            </w:r>
          </w:p>
        </w:tc>
      </w:tr>
      <w:tr w:rsidR="0002241E" w:rsidRPr="0002241E" w14:paraId="6AC09DA5" w14:textId="77777777" w:rsidTr="0002241E">
        <w:trPr>
          <w:cantSplit/>
          <w:jc w:val="center"/>
        </w:trPr>
        <w:tc>
          <w:tcPr>
            <w:tcW w:w="1136" w:type="dxa"/>
            <w:vMerge/>
            <w:vAlign w:val="center"/>
          </w:tcPr>
          <w:p w14:paraId="433B0FCF" w14:textId="77777777" w:rsidR="0002241E" w:rsidRPr="0002241E" w:rsidRDefault="0002241E" w:rsidP="0002241E">
            <w:pPr>
              <w:numPr>
                <w:ilvl w:val="0"/>
                <w:numId w:val="20"/>
              </w:numPr>
              <w:spacing w:after="0"/>
              <w:contextualSpacing/>
              <w:jc w:val="center"/>
              <w:rPr>
                <w:lang w:val="en-CA"/>
              </w:rPr>
            </w:pPr>
          </w:p>
        </w:tc>
        <w:tc>
          <w:tcPr>
            <w:tcW w:w="6344" w:type="dxa"/>
          </w:tcPr>
          <w:p w14:paraId="4BDA4334" w14:textId="77777777" w:rsidR="0002241E" w:rsidRPr="0002241E" w:rsidRDefault="0002241E" w:rsidP="0002241E">
            <w:pPr>
              <w:numPr>
                <w:ilvl w:val="0"/>
                <w:numId w:val="14"/>
              </w:numPr>
              <w:spacing w:after="0"/>
              <w:contextualSpacing/>
              <w:rPr>
                <w:lang w:val="en-CA"/>
              </w:rPr>
            </w:pPr>
            <w:r w:rsidRPr="0002241E">
              <w:rPr>
                <w:lang w:val="en-CA"/>
              </w:rPr>
              <w:t>Finalisation of requirements</w:t>
            </w:r>
          </w:p>
        </w:tc>
        <w:tc>
          <w:tcPr>
            <w:tcW w:w="1369" w:type="dxa"/>
            <w:vMerge/>
            <w:shd w:val="clear" w:color="auto" w:fill="auto"/>
            <w:vAlign w:val="center"/>
          </w:tcPr>
          <w:p w14:paraId="0F50F4EA" w14:textId="77777777" w:rsidR="0002241E" w:rsidRPr="0002241E" w:rsidRDefault="0002241E" w:rsidP="0002241E">
            <w:pPr>
              <w:spacing w:after="0"/>
              <w:jc w:val="center"/>
              <w:rPr>
                <w:lang w:val="en-CA"/>
              </w:rPr>
            </w:pPr>
          </w:p>
        </w:tc>
        <w:tc>
          <w:tcPr>
            <w:tcW w:w="1948" w:type="dxa"/>
            <w:vMerge/>
            <w:shd w:val="clear" w:color="auto" w:fill="auto"/>
            <w:vAlign w:val="center"/>
          </w:tcPr>
          <w:p w14:paraId="2FD07260" w14:textId="77777777" w:rsidR="0002241E" w:rsidRPr="0002241E" w:rsidRDefault="0002241E" w:rsidP="0002241E">
            <w:pPr>
              <w:spacing w:after="0"/>
              <w:rPr>
                <w:lang w:val="en-CA"/>
              </w:rPr>
            </w:pPr>
          </w:p>
        </w:tc>
      </w:tr>
      <w:tr w:rsidR="0002241E" w:rsidRPr="0002241E" w14:paraId="3B3110BE" w14:textId="77777777" w:rsidTr="0002241E">
        <w:trPr>
          <w:cantSplit/>
          <w:jc w:val="center"/>
        </w:trPr>
        <w:tc>
          <w:tcPr>
            <w:tcW w:w="1136" w:type="dxa"/>
            <w:vMerge/>
            <w:vAlign w:val="center"/>
          </w:tcPr>
          <w:p w14:paraId="7A6CBBCC" w14:textId="77777777" w:rsidR="0002241E" w:rsidRPr="0002241E" w:rsidRDefault="0002241E" w:rsidP="0002241E">
            <w:pPr>
              <w:numPr>
                <w:ilvl w:val="0"/>
                <w:numId w:val="20"/>
              </w:numPr>
              <w:spacing w:after="0"/>
              <w:contextualSpacing/>
              <w:jc w:val="center"/>
              <w:rPr>
                <w:lang w:val="en-CA"/>
              </w:rPr>
            </w:pPr>
          </w:p>
        </w:tc>
        <w:tc>
          <w:tcPr>
            <w:tcW w:w="6344" w:type="dxa"/>
          </w:tcPr>
          <w:p w14:paraId="386D80CA" w14:textId="77777777" w:rsidR="0002241E" w:rsidRPr="0002241E" w:rsidRDefault="0002241E" w:rsidP="0002241E">
            <w:pPr>
              <w:numPr>
                <w:ilvl w:val="0"/>
                <w:numId w:val="14"/>
              </w:numPr>
              <w:spacing w:after="0"/>
              <w:contextualSpacing/>
              <w:rPr>
                <w:lang w:val="en-CA"/>
              </w:rPr>
            </w:pPr>
            <w:r w:rsidRPr="0002241E">
              <w:rPr>
                <w:lang w:val="en-CA"/>
              </w:rPr>
              <w:t>WSDL and ‘how to connect to HUB’ document</w:t>
            </w:r>
          </w:p>
        </w:tc>
        <w:tc>
          <w:tcPr>
            <w:tcW w:w="1369" w:type="dxa"/>
            <w:vMerge/>
            <w:shd w:val="clear" w:color="auto" w:fill="auto"/>
            <w:vAlign w:val="center"/>
          </w:tcPr>
          <w:p w14:paraId="5BF28CA3" w14:textId="77777777" w:rsidR="0002241E" w:rsidRPr="0002241E" w:rsidRDefault="0002241E" w:rsidP="0002241E">
            <w:pPr>
              <w:spacing w:after="0"/>
              <w:jc w:val="center"/>
              <w:rPr>
                <w:lang w:val="en-CA"/>
              </w:rPr>
            </w:pPr>
          </w:p>
        </w:tc>
        <w:tc>
          <w:tcPr>
            <w:tcW w:w="1948" w:type="dxa"/>
            <w:vMerge/>
            <w:shd w:val="clear" w:color="auto" w:fill="auto"/>
            <w:vAlign w:val="center"/>
          </w:tcPr>
          <w:p w14:paraId="030A3F75" w14:textId="77777777" w:rsidR="0002241E" w:rsidRPr="0002241E" w:rsidRDefault="0002241E" w:rsidP="0002241E">
            <w:pPr>
              <w:spacing w:after="0"/>
              <w:rPr>
                <w:lang w:val="en-CA"/>
              </w:rPr>
            </w:pPr>
          </w:p>
        </w:tc>
      </w:tr>
      <w:tr w:rsidR="0002241E" w:rsidRPr="0002241E" w14:paraId="3ECE7D67" w14:textId="77777777" w:rsidTr="0002241E">
        <w:trPr>
          <w:cantSplit/>
          <w:jc w:val="center"/>
        </w:trPr>
        <w:tc>
          <w:tcPr>
            <w:tcW w:w="1136" w:type="dxa"/>
            <w:vMerge/>
            <w:vAlign w:val="center"/>
          </w:tcPr>
          <w:p w14:paraId="645C2D6E" w14:textId="77777777" w:rsidR="0002241E" w:rsidRPr="0002241E" w:rsidRDefault="0002241E" w:rsidP="0002241E">
            <w:pPr>
              <w:numPr>
                <w:ilvl w:val="0"/>
                <w:numId w:val="20"/>
              </w:numPr>
              <w:spacing w:after="0"/>
              <w:contextualSpacing/>
              <w:jc w:val="center"/>
              <w:rPr>
                <w:lang w:val="en-CA"/>
              </w:rPr>
            </w:pPr>
          </w:p>
        </w:tc>
        <w:tc>
          <w:tcPr>
            <w:tcW w:w="6344" w:type="dxa"/>
          </w:tcPr>
          <w:p w14:paraId="3F47AEBA" w14:textId="77777777" w:rsidR="0002241E" w:rsidRPr="0002241E" w:rsidRDefault="0002241E" w:rsidP="0002241E">
            <w:pPr>
              <w:numPr>
                <w:ilvl w:val="0"/>
                <w:numId w:val="14"/>
              </w:numPr>
              <w:spacing w:after="0"/>
              <w:contextualSpacing/>
              <w:rPr>
                <w:lang w:val="en-CA"/>
              </w:rPr>
            </w:pPr>
            <w:r w:rsidRPr="0002241E">
              <w:rPr>
                <w:lang w:val="en-CA"/>
              </w:rPr>
              <w:t>HUB build timeframes</w:t>
            </w:r>
          </w:p>
        </w:tc>
        <w:tc>
          <w:tcPr>
            <w:tcW w:w="1369" w:type="dxa"/>
            <w:vMerge/>
            <w:shd w:val="clear" w:color="auto" w:fill="auto"/>
            <w:vAlign w:val="center"/>
          </w:tcPr>
          <w:p w14:paraId="3C06E046" w14:textId="77777777" w:rsidR="0002241E" w:rsidRPr="0002241E" w:rsidRDefault="0002241E" w:rsidP="0002241E">
            <w:pPr>
              <w:spacing w:after="0"/>
              <w:jc w:val="center"/>
              <w:rPr>
                <w:lang w:val="en-CA"/>
              </w:rPr>
            </w:pPr>
          </w:p>
        </w:tc>
        <w:tc>
          <w:tcPr>
            <w:tcW w:w="1948" w:type="dxa"/>
            <w:vMerge/>
            <w:shd w:val="clear" w:color="auto" w:fill="auto"/>
            <w:vAlign w:val="center"/>
          </w:tcPr>
          <w:p w14:paraId="6ED6BAF0" w14:textId="77777777" w:rsidR="0002241E" w:rsidRPr="0002241E" w:rsidRDefault="0002241E" w:rsidP="0002241E">
            <w:pPr>
              <w:spacing w:after="0"/>
              <w:rPr>
                <w:lang w:val="en-CA"/>
              </w:rPr>
            </w:pPr>
          </w:p>
        </w:tc>
      </w:tr>
      <w:tr w:rsidR="0002241E" w:rsidRPr="0002241E" w14:paraId="3C259CEC" w14:textId="77777777" w:rsidTr="0002241E">
        <w:trPr>
          <w:cantSplit/>
          <w:trHeight w:val="348"/>
          <w:jc w:val="center"/>
        </w:trPr>
        <w:tc>
          <w:tcPr>
            <w:tcW w:w="1136" w:type="dxa"/>
            <w:vMerge w:val="restart"/>
            <w:vAlign w:val="center"/>
          </w:tcPr>
          <w:p w14:paraId="12ADA7C5" w14:textId="77777777" w:rsidR="0002241E" w:rsidRPr="0002241E" w:rsidRDefault="0002241E" w:rsidP="0002241E">
            <w:pPr>
              <w:numPr>
                <w:ilvl w:val="0"/>
                <w:numId w:val="20"/>
              </w:numPr>
              <w:spacing w:after="0"/>
              <w:contextualSpacing/>
              <w:rPr>
                <w:lang w:val="en-CA"/>
              </w:rPr>
            </w:pPr>
          </w:p>
        </w:tc>
        <w:tc>
          <w:tcPr>
            <w:tcW w:w="6344" w:type="dxa"/>
          </w:tcPr>
          <w:p w14:paraId="2B09F1C1" w14:textId="77777777" w:rsidR="0002241E" w:rsidRPr="0002241E" w:rsidRDefault="0002241E" w:rsidP="0002241E">
            <w:pPr>
              <w:spacing w:after="0"/>
              <w:rPr>
                <w:lang w:val="en-CA"/>
              </w:rPr>
            </w:pPr>
            <w:r w:rsidRPr="0002241E">
              <w:rPr>
                <w:lang w:val="en-CA"/>
              </w:rPr>
              <w:t>GeNS development</w:t>
            </w:r>
          </w:p>
        </w:tc>
        <w:tc>
          <w:tcPr>
            <w:tcW w:w="1369" w:type="dxa"/>
            <w:vMerge w:val="restart"/>
            <w:shd w:val="clear" w:color="auto" w:fill="auto"/>
            <w:vAlign w:val="center"/>
          </w:tcPr>
          <w:p w14:paraId="378C5401" w14:textId="77777777" w:rsidR="0002241E" w:rsidRPr="0002241E" w:rsidRDefault="0002241E" w:rsidP="0002241E">
            <w:pPr>
              <w:spacing w:after="0"/>
              <w:jc w:val="center"/>
              <w:rPr>
                <w:lang w:val="en-CA"/>
              </w:rPr>
            </w:pPr>
            <w:r w:rsidRPr="0002241E">
              <w:rPr>
                <w:lang w:val="en-CA"/>
              </w:rPr>
              <w:t>7</w:t>
            </w:r>
          </w:p>
        </w:tc>
        <w:tc>
          <w:tcPr>
            <w:tcW w:w="1948" w:type="dxa"/>
            <w:vMerge/>
            <w:shd w:val="clear" w:color="auto" w:fill="auto"/>
            <w:vAlign w:val="center"/>
          </w:tcPr>
          <w:p w14:paraId="1D7F6A81" w14:textId="77777777" w:rsidR="0002241E" w:rsidRPr="0002241E" w:rsidRDefault="0002241E" w:rsidP="0002241E">
            <w:pPr>
              <w:spacing w:after="0"/>
              <w:rPr>
                <w:lang w:val="en-CA"/>
              </w:rPr>
            </w:pPr>
          </w:p>
        </w:tc>
      </w:tr>
      <w:tr w:rsidR="0002241E" w:rsidRPr="0002241E" w14:paraId="5EE7BC58" w14:textId="77777777" w:rsidTr="0002241E">
        <w:trPr>
          <w:cantSplit/>
          <w:trHeight w:val="348"/>
          <w:jc w:val="center"/>
        </w:trPr>
        <w:tc>
          <w:tcPr>
            <w:tcW w:w="1136" w:type="dxa"/>
            <w:vMerge/>
            <w:vAlign w:val="center"/>
          </w:tcPr>
          <w:p w14:paraId="0A01DD35" w14:textId="77777777" w:rsidR="0002241E" w:rsidRPr="0002241E" w:rsidRDefault="0002241E" w:rsidP="0002241E">
            <w:pPr>
              <w:numPr>
                <w:ilvl w:val="0"/>
                <w:numId w:val="20"/>
              </w:numPr>
              <w:spacing w:after="0"/>
              <w:contextualSpacing/>
              <w:jc w:val="center"/>
              <w:rPr>
                <w:lang w:val="en-CA"/>
              </w:rPr>
            </w:pPr>
          </w:p>
        </w:tc>
        <w:tc>
          <w:tcPr>
            <w:tcW w:w="6344" w:type="dxa"/>
          </w:tcPr>
          <w:p w14:paraId="048FFB12" w14:textId="77777777" w:rsidR="0002241E" w:rsidRPr="0002241E" w:rsidRDefault="0002241E" w:rsidP="0002241E">
            <w:pPr>
              <w:numPr>
                <w:ilvl w:val="0"/>
                <w:numId w:val="10"/>
              </w:numPr>
              <w:spacing w:after="0"/>
              <w:contextualSpacing/>
              <w:rPr>
                <w:lang w:val="en-CA"/>
              </w:rPr>
            </w:pPr>
            <w:r w:rsidRPr="0002241E">
              <w:rPr>
                <w:lang w:val="en-CA"/>
              </w:rPr>
              <w:t>Finalisation of requirements – walk through workflows</w:t>
            </w:r>
          </w:p>
        </w:tc>
        <w:tc>
          <w:tcPr>
            <w:tcW w:w="1369" w:type="dxa"/>
            <w:vMerge/>
            <w:shd w:val="clear" w:color="auto" w:fill="auto"/>
            <w:vAlign w:val="center"/>
          </w:tcPr>
          <w:p w14:paraId="229F9996" w14:textId="77777777" w:rsidR="0002241E" w:rsidRPr="0002241E" w:rsidRDefault="0002241E" w:rsidP="0002241E">
            <w:pPr>
              <w:spacing w:after="0"/>
              <w:jc w:val="center"/>
              <w:rPr>
                <w:lang w:val="en-CA"/>
              </w:rPr>
            </w:pPr>
          </w:p>
        </w:tc>
        <w:tc>
          <w:tcPr>
            <w:tcW w:w="1948" w:type="dxa"/>
            <w:vMerge/>
            <w:shd w:val="clear" w:color="auto" w:fill="auto"/>
            <w:vAlign w:val="center"/>
          </w:tcPr>
          <w:p w14:paraId="5FD3E43C" w14:textId="77777777" w:rsidR="0002241E" w:rsidRPr="0002241E" w:rsidRDefault="0002241E" w:rsidP="0002241E">
            <w:pPr>
              <w:spacing w:after="0"/>
              <w:rPr>
                <w:lang w:val="en-CA"/>
              </w:rPr>
            </w:pPr>
          </w:p>
        </w:tc>
      </w:tr>
      <w:tr w:rsidR="0002241E" w:rsidRPr="0002241E" w14:paraId="78BFD70A" w14:textId="77777777" w:rsidTr="0002241E">
        <w:trPr>
          <w:cantSplit/>
          <w:trHeight w:val="348"/>
          <w:jc w:val="center"/>
        </w:trPr>
        <w:tc>
          <w:tcPr>
            <w:tcW w:w="1136" w:type="dxa"/>
            <w:vMerge/>
            <w:vAlign w:val="center"/>
          </w:tcPr>
          <w:p w14:paraId="7B31610B" w14:textId="77777777" w:rsidR="0002241E" w:rsidRPr="0002241E" w:rsidRDefault="0002241E" w:rsidP="0002241E">
            <w:pPr>
              <w:numPr>
                <w:ilvl w:val="0"/>
                <w:numId w:val="20"/>
              </w:numPr>
              <w:spacing w:after="0"/>
              <w:contextualSpacing/>
              <w:jc w:val="center"/>
              <w:rPr>
                <w:lang w:val="en-CA"/>
              </w:rPr>
            </w:pPr>
          </w:p>
        </w:tc>
        <w:tc>
          <w:tcPr>
            <w:tcW w:w="6344" w:type="dxa"/>
          </w:tcPr>
          <w:p w14:paraId="3064E479" w14:textId="77777777" w:rsidR="0002241E" w:rsidRPr="0002241E" w:rsidRDefault="0002241E" w:rsidP="0002241E">
            <w:pPr>
              <w:numPr>
                <w:ilvl w:val="0"/>
                <w:numId w:val="10"/>
              </w:numPr>
              <w:spacing w:after="0"/>
              <w:contextualSpacing/>
              <w:rPr>
                <w:lang w:val="en-CA"/>
              </w:rPr>
            </w:pPr>
            <w:r w:rsidRPr="0002241E">
              <w:rPr>
                <w:lang w:val="en-CA"/>
              </w:rPr>
              <w:t>Minimum IT requirements for countries</w:t>
            </w:r>
          </w:p>
        </w:tc>
        <w:tc>
          <w:tcPr>
            <w:tcW w:w="1369" w:type="dxa"/>
            <w:vMerge/>
            <w:shd w:val="clear" w:color="auto" w:fill="auto"/>
            <w:vAlign w:val="center"/>
          </w:tcPr>
          <w:p w14:paraId="299DCB01" w14:textId="77777777" w:rsidR="0002241E" w:rsidRPr="0002241E" w:rsidRDefault="0002241E" w:rsidP="0002241E">
            <w:pPr>
              <w:spacing w:after="0"/>
              <w:jc w:val="center"/>
              <w:rPr>
                <w:lang w:val="en-CA"/>
              </w:rPr>
            </w:pPr>
          </w:p>
        </w:tc>
        <w:tc>
          <w:tcPr>
            <w:tcW w:w="1948" w:type="dxa"/>
            <w:vMerge/>
            <w:shd w:val="clear" w:color="auto" w:fill="auto"/>
            <w:vAlign w:val="center"/>
          </w:tcPr>
          <w:p w14:paraId="25819F0F" w14:textId="77777777" w:rsidR="0002241E" w:rsidRPr="0002241E" w:rsidRDefault="0002241E" w:rsidP="0002241E">
            <w:pPr>
              <w:spacing w:after="0"/>
              <w:rPr>
                <w:lang w:val="en-CA"/>
              </w:rPr>
            </w:pPr>
          </w:p>
        </w:tc>
      </w:tr>
      <w:tr w:rsidR="0002241E" w:rsidRPr="0002241E" w14:paraId="33603BD3" w14:textId="77777777" w:rsidTr="0002241E">
        <w:trPr>
          <w:cantSplit/>
          <w:trHeight w:val="348"/>
          <w:jc w:val="center"/>
        </w:trPr>
        <w:tc>
          <w:tcPr>
            <w:tcW w:w="1136" w:type="dxa"/>
            <w:vMerge/>
            <w:vAlign w:val="center"/>
          </w:tcPr>
          <w:p w14:paraId="72A99D9B" w14:textId="77777777" w:rsidR="0002241E" w:rsidRPr="0002241E" w:rsidRDefault="0002241E" w:rsidP="0002241E">
            <w:pPr>
              <w:numPr>
                <w:ilvl w:val="0"/>
                <w:numId w:val="20"/>
              </w:numPr>
              <w:spacing w:after="0"/>
              <w:contextualSpacing/>
              <w:jc w:val="center"/>
              <w:rPr>
                <w:lang w:val="en-CA"/>
              </w:rPr>
            </w:pPr>
          </w:p>
        </w:tc>
        <w:tc>
          <w:tcPr>
            <w:tcW w:w="6344" w:type="dxa"/>
          </w:tcPr>
          <w:p w14:paraId="701030A0" w14:textId="77777777" w:rsidR="0002241E" w:rsidRPr="0002241E" w:rsidRDefault="0002241E" w:rsidP="0002241E">
            <w:pPr>
              <w:numPr>
                <w:ilvl w:val="0"/>
                <w:numId w:val="10"/>
              </w:numPr>
              <w:spacing w:after="0"/>
              <w:contextualSpacing/>
              <w:rPr>
                <w:lang w:val="en-CA"/>
              </w:rPr>
            </w:pPr>
            <w:r w:rsidRPr="0002241E">
              <w:rPr>
                <w:lang w:val="en-CA"/>
              </w:rPr>
              <w:t>Central/stand-alone options for GeNS</w:t>
            </w:r>
          </w:p>
        </w:tc>
        <w:tc>
          <w:tcPr>
            <w:tcW w:w="1369" w:type="dxa"/>
            <w:vMerge/>
            <w:shd w:val="clear" w:color="auto" w:fill="auto"/>
            <w:vAlign w:val="center"/>
          </w:tcPr>
          <w:p w14:paraId="38266AED" w14:textId="77777777" w:rsidR="0002241E" w:rsidRPr="0002241E" w:rsidRDefault="0002241E" w:rsidP="0002241E">
            <w:pPr>
              <w:spacing w:after="0"/>
              <w:jc w:val="center"/>
              <w:rPr>
                <w:lang w:val="en-CA"/>
              </w:rPr>
            </w:pPr>
          </w:p>
        </w:tc>
        <w:tc>
          <w:tcPr>
            <w:tcW w:w="1948" w:type="dxa"/>
            <w:vMerge/>
            <w:shd w:val="clear" w:color="auto" w:fill="auto"/>
            <w:vAlign w:val="center"/>
          </w:tcPr>
          <w:p w14:paraId="34E0E93B" w14:textId="77777777" w:rsidR="0002241E" w:rsidRPr="0002241E" w:rsidRDefault="0002241E" w:rsidP="0002241E">
            <w:pPr>
              <w:spacing w:after="0"/>
              <w:rPr>
                <w:lang w:val="en-CA"/>
              </w:rPr>
            </w:pPr>
          </w:p>
        </w:tc>
      </w:tr>
      <w:tr w:rsidR="0002241E" w:rsidRPr="0002241E" w14:paraId="417BD9C8" w14:textId="77777777" w:rsidTr="0002241E">
        <w:trPr>
          <w:cantSplit/>
          <w:trHeight w:val="348"/>
          <w:jc w:val="center"/>
        </w:trPr>
        <w:tc>
          <w:tcPr>
            <w:tcW w:w="1136" w:type="dxa"/>
            <w:vMerge/>
            <w:vAlign w:val="center"/>
          </w:tcPr>
          <w:p w14:paraId="0DE3DAC2" w14:textId="77777777" w:rsidR="0002241E" w:rsidRPr="0002241E" w:rsidRDefault="0002241E" w:rsidP="0002241E">
            <w:pPr>
              <w:numPr>
                <w:ilvl w:val="0"/>
                <w:numId w:val="20"/>
              </w:numPr>
              <w:spacing w:after="0"/>
              <w:contextualSpacing/>
              <w:jc w:val="center"/>
              <w:rPr>
                <w:lang w:val="en-CA"/>
              </w:rPr>
            </w:pPr>
          </w:p>
        </w:tc>
        <w:tc>
          <w:tcPr>
            <w:tcW w:w="6344" w:type="dxa"/>
          </w:tcPr>
          <w:p w14:paraId="794BF46D" w14:textId="77777777" w:rsidR="0002241E" w:rsidRPr="0002241E" w:rsidRDefault="0002241E" w:rsidP="0002241E">
            <w:pPr>
              <w:numPr>
                <w:ilvl w:val="0"/>
                <w:numId w:val="10"/>
              </w:numPr>
              <w:spacing w:after="0"/>
              <w:contextualSpacing/>
              <w:rPr>
                <w:lang w:val="en-CA"/>
              </w:rPr>
            </w:pPr>
            <w:r w:rsidRPr="0002241E">
              <w:rPr>
                <w:lang w:val="en-CA"/>
              </w:rPr>
              <w:t>Discussions with UNCTAD</w:t>
            </w:r>
          </w:p>
        </w:tc>
        <w:tc>
          <w:tcPr>
            <w:tcW w:w="1369" w:type="dxa"/>
            <w:vMerge/>
            <w:shd w:val="clear" w:color="auto" w:fill="auto"/>
            <w:vAlign w:val="center"/>
          </w:tcPr>
          <w:p w14:paraId="71ED0363" w14:textId="77777777" w:rsidR="0002241E" w:rsidRPr="0002241E" w:rsidRDefault="0002241E" w:rsidP="0002241E">
            <w:pPr>
              <w:spacing w:after="0"/>
              <w:jc w:val="center"/>
              <w:rPr>
                <w:lang w:val="en-CA"/>
              </w:rPr>
            </w:pPr>
          </w:p>
        </w:tc>
        <w:tc>
          <w:tcPr>
            <w:tcW w:w="1948" w:type="dxa"/>
            <w:shd w:val="clear" w:color="auto" w:fill="auto"/>
            <w:vAlign w:val="center"/>
          </w:tcPr>
          <w:p w14:paraId="2CA7EEAB" w14:textId="77777777" w:rsidR="0002241E" w:rsidRPr="0002241E" w:rsidRDefault="0002241E" w:rsidP="0002241E">
            <w:pPr>
              <w:spacing w:after="0"/>
              <w:rPr>
                <w:lang w:val="en-CA"/>
              </w:rPr>
            </w:pPr>
            <w:r w:rsidRPr="0002241E">
              <w:rPr>
                <w:lang w:val="en-CA"/>
              </w:rPr>
              <w:t>IPPC Secretariat</w:t>
            </w:r>
          </w:p>
        </w:tc>
      </w:tr>
      <w:tr w:rsidR="0002241E" w:rsidRPr="0002241E" w14:paraId="5A486784" w14:textId="77777777" w:rsidTr="0002241E">
        <w:trPr>
          <w:cantSplit/>
          <w:trHeight w:val="348"/>
          <w:jc w:val="center"/>
        </w:trPr>
        <w:tc>
          <w:tcPr>
            <w:tcW w:w="1136" w:type="dxa"/>
            <w:vMerge/>
            <w:vAlign w:val="center"/>
          </w:tcPr>
          <w:p w14:paraId="475EA852" w14:textId="77777777" w:rsidR="0002241E" w:rsidRPr="0002241E" w:rsidRDefault="0002241E" w:rsidP="0002241E">
            <w:pPr>
              <w:numPr>
                <w:ilvl w:val="0"/>
                <w:numId w:val="20"/>
              </w:numPr>
              <w:spacing w:after="0"/>
              <w:contextualSpacing/>
              <w:jc w:val="center"/>
              <w:rPr>
                <w:lang w:val="en-CA"/>
              </w:rPr>
            </w:pPr>
          </w:p>
        </w:tc>
        <w:tc>
          <w:tcPr>
            <w:tcW w:w="6344" w:type="dxa"/>
          </w:tcPr>
          <w:p w14:paraId="156C2364" w14:textId="77777777" w:rsidR="0002241E" w:rsidRPr="0002241E" w:rsidRDefault="0002241E" w:rsidP="0002241E">
            <w:pPr>
              <w:numPr>
                <w:ilvl w:val="0"/>
                <w:numId w:val="10"/>
              </w:numPr>
              <w:spacing w:after="0"/>
              <w:contextualSpacing/>
              <w:rPr>
                <w:lang w:val="en-CA"/>
              </w:rPr>
            </w:pPr>
            <w:r w:rsidRPr="0002241E">
              <w:rPr>
                <w:lang w:val="en-CA"/>
              </w:rPr>
              <w:t>GeNS build timeframes</w:t>
            </w:r>
          </w:p>
        </w:tc>
        <w:tc>
          <w:tcPr>
            <w:tcW w:w="1369" w:type="dxa"/>
            <w:vMerge/>
            <w:shd w:val="clear" w:color="auto" w:fill="auto"/>
            <w:vAlign w:val="center"/>
          </w:tcPr>
          <w:p w14:paraId="70965F62" w14:textId="77777777" w:rsidR="0002241E" w:rsidRPr="0002241E" w:rsidRDefault="0002241E" w:rsidP="0002241E">
            <w:pPr>
              <w:spacing w:after="0"/>
              <w:jc w:val="center"/>
              <w:rPr>
                <w:lang w:val="en-CA"/>
              </w:rPr>
            </w:pPr>
          </w:p>
        </w:tc>
        <w:tc>
          <w:tcPr>
            <w:tcW w:w="1948" w:type="dxa"/>
            <w:shd w:val="clear" w:color="auto" w:fill="auto"/>
            <w:vAlign w:val="center"/>
          </w:tcPr>
          <w:p w14:paraId="53D62B4F" w14:textId="77777777" w:rsidR="0002241E" w:rsidRPr="0002241E" w:rsidRDefault="0002241E" w:rsidP="0002241E">
            <w:pPr>
              <w:spacing w:after="0"/>
              <w:rPr>
                <w:lang w:val="en-CA"/>
              </w:rPr>
            </w:pPr>
            <w:r w:rsidRPr="0002241E">
              <w:rPr>
                <w:lang w:val="en-CA"/>
              </w:rPr>
              <w:t>UNICC</w:t>
            </w:r>
          </w:p>
        </w:tc>
      </w:tr>
      <w:tr w:rsidR="0002241E" w:rsidRPr="0002241E" w14:paraId="265691D3" w14:textId="77777777" w:rsidTr="0002241E">
        <w:trPr>
          <w:cantSplit/>
          <w:trHeight w:val="348"/>
          <w:jc w:val="center"/>
        </w:trPr>
        <w:tc>
          <w:tcPr>
            <w:tcW w:w="1136" w:type="dxa"/>
            <w:vMerge w:val="restart"/>
            <w:vAlign w:val="center"/>
          </w:tcPr>
          <w:p w14:paraId="26B8096C" w14:textId="77777777" w:rsidR="0002241E" w:rsidRPr="0002241E" w:rsidRDefault="0002241E" w:rsidP="0002241E">
            <w:pPr>
              <w:numPr>
                <w:ilvl w:val="0"/>
                <w:numId w:val="20"/>
              </w:numPr>
              <w:spacing w:after="0"/>
              <w:contextualSpacing/>
              <w:rPr>
                <w:lang w:val="en-CA"/>
              </w:rPr>
            </w:pPr>
          </w:p>
        </w:tc>
        <w:tc>
          <w:tcPr>
            <w:tcW w:w="6344" w:type="dxa"/>
          </w:tcPr>
          <w:p w14:paraId="7D4E3F3C" w14:textId="77777777" w:rsidR="0002241E" w:rsidRPr="0002241E" w:rsidRDefault="0002241E" w:rsidP="0002241E">
            <w:pPr>
              <w:pageBreakBefore/>
              <w:spacing w:after="0"/>
              <w:rPr>
                <w:lang w:val="en-CA"/>
              </w:rPr>
            </w:pPr>
            <w:r w:rsidRPr="0002241E">
              <w:rPr>
                <w:lang w:val="en-CA"/>
              </w:rPr>
              <w:t>Harmonisation</w:t>
            </w:r>
          </w:p>
        </w:tc>
        <w:tc>
          <w:tcPr>
            <w:tcW w:w="1369" w:type="dxa"/>
            <w:shd w:val="clear" w:color="auto" w:fill="auto"/>
            <w:vAlign w:val="center"/>
          </w:tcPr>
          <w:p w14:paraId="3DDCDA2E" w14:textId="77777777" w:rsidR="0002241E" w:rsidRPr="0002241E" w:rsidRDefault="0002241E" w:rsidP="0002241E">
            <w:pPr>
              <w:spacing w:after="0"/>
              <w:jc w:val="center"/>
              <w:rPr>
                <w:lang w:val="en-CA"/>
              </w:rPr>
            </w:pPr>
          </w:p>
        </w:tc>
        <w:tc>
          <w:tcPr>
            <w:tcW w:w="1948" w:type="dxa"/>
            <w:shd w:val="clear" w:color="auto" w:fill="auto"/>
            <w:vAlign w:val="center"/>
          </w:tcPr>
          <w:p w14:paraId="5CAAFA70" w14:textId="77777777" w:rsidR="0002241E" w:rsidRPr="0002241E" w:rsidRDefault="0002241E" w:rsidP="0002241E">
            <w:pPr>
              <w:spacing w:after="0"/>
              <w:rPr>
                <w:lang w:val="en-CA"/>
              </w:rPr>
            </w:pPr>
          </w:p>
        </w:tc>
      </w:tr>
      <w:tr w:rsidR="0002241E" w:rsidRPr="0002241E" w14:paraId="67EB2A67" w14:textId="77777777" w:rsidTr="0002241E">
        <w:trPr>
          <w:cantSplit/>
          <w:trHeight w:val="348"/>
          <w:jc w:val="center"/>
        </w:trPr>
        <w:tc>
          <w:tcPr>
            <w:tcW w:w="1136" w:type="dxa"/>
            <w:vMerge/>
            <w:vAlign w:val="center"/>
          </w:tcPr>
          <w:p w14:paraId="62251E26" w14:textId="77777777" w:rsidR="0002241E" w:rsidRPr="0002241E" w:rsidRDefault="0002241E" w:rsidP="0002241E">
            <w:pPr>
              <w:numPr>
                <w:ilvl w:val="0"/>
                <w:numId w:val="20"/>
              </w:numPr>
              <w:spacing w:after="0"/>
              <w:contextualSpacing/>
              <w:jc w:val="center"/>
              <w:rPr>
                <w:lang w:val="en-CA"/>
              </w:rPr>
            </w:pPr>
          </w:p>
        </w:tc>
        <w:tc>
          <w:tcPr>
            <w:tcW w:w="6344" w:type="dxa"/>
          </w:tcPr>
          <w:p w14:paraId="4502711F" w14:textId="77777777" w:rsidR="0002241E" w:rsidRPr="0002241E" w:rsidRDefault="0002241E" w:rsidP="0002241E">
            <w:pPr>
              <w:numPr>
                <w:ilvl w:val="0"/>
                <w:numId w:val="15"/>
              </w:numPr>
              <w:spacing w:after="0"/>
              <w:contextualSpacing/>
              <w:rPr>
                <w:lang w:val="en-CA"/>
              </w:rPr>
            </w:pPr>
            <w:r w:rsidRPr="0002241E">
              <w:rPr>
                <w:lang w:val="en-CA"/>
              </w:rPr>
              <w:t>Mapping document</w:t>
            </w:r>
          </w:p>
        </w:tc>
        <w:tc>
          <w:tcPr>
            <w:tcW w:w="1369" w:type="dxa"/>
            <w:vMerge w:val="restart"/>
            <w:shd w:val="clear" w:color="auto" w:fill="auto"/>
            <w:vAlign w:val="center"/>
          </w:tcPr>
          <w:p w14:paraId="09BA7986" w14:textId="77777777" w:rsidR="0002241E" w:rsidRPr="0002241E" w:rsidRDefault="0002241E" w:rsidP="0002241E">
            <w:pPr>
              <w:spacing w:after="0"/>
              <w:jc w:val="center"/>
              <w:rPr>
                <w:lang w:val="en-CA"/>
              </w:rPr>
            </w:pPr>
            <w:r w:rsidRPr="0002241E">
              <w:rPr>
                <w:lang w:val="en-CA"/>
              </w:rPr>
              <w:t>8, 16, 17, 18, 19, 20, 21, 22</w:t>
            </w:r>
          </w:p>
        </w:tc>
        <w:tc>
          <w:tcPr>
            <w:tcW w:w="1948" w:type="dxa"/>
            <w:vMerge w:val="restart"/>
            <w:shd w:val="clear" w:color="auto" w:fill="auto"/>
            <w:vAlign w:val="center"/>
          </w:tcPr>
          <w:p w14:paraId="51D4B330" w14:textId="77777777" w:rsidR="0002241E" w:rsidRPr="0002241E" w:rsidRDefault="0002241E" w:rsidP="0002241E">
            <w:pPr>
              <w:spacing w:after="0"/>
              <w:rPr>
                <w:lang w:val="en-CA"/>
              </w:rPr>
            </w:pPr>
            <w:r w:rsidRPr="0002241E">
              <w:rPr>
                <w:lang w:val="en-CA"/>
              </w:rPr>
              <w:t xml:space="preserve">Dellis/ </w:t>
            </w:r>
            <w:proofErr w:type="spellStart"/>
            <w:r w:rsidRPr="0002241E">
              <w:rPr>
                <w:lang w:val="en-CA"/>
              </w:rPr>
              <w:t>Allesandrini</w:t>
            </w:r>
            <w:proofErr w:type="spellEnd"/>
          </w:p>
        </w:tc>
      </w:tr>
      <w:tr w:rsidR="0002241E" w:rsidRPr="0002241E" w14:paraId="374A2C9C" w14:textId="77777777" w:rsidTr="0002241E">
        <w:trPr>
          <w:cantSplit/>
          <w:trHeight w:val="348"/>
          <w:jc w:val="center"/>
        </w:trPr>
        <w:tc>
          <w:tcPr>
            <w:tcW w:w="1136" w:type="dxa"/>
            <w:vMerge/>
            <w:vAlign w:val="center"/>
          </w:tcPr>
          <w:p w14:paraId="43C695D2" w14:textId="77777777" w:rsidR="0002241E" w:rsidRPr="0002241E" w:rsidRDefault="0002241E" w:rsidP="0002241E">
            <w:pPr>
              <w:numPr>
                <w:ilvl w:val="0"/>
                <w:numId w:val="20"/>
              </w:numPr>
              <w:spacing w:after="0"/>
              <w:contextualSpacing/>
              <w:jc w:val="center"/>
              <w:rPr>
                <w:lang w:val="en-CA"/>
              </w:rPr>
            </w:pPr>
          </w:p>
        </w:tc>
        <w:tc>
          <w:tcPr>
            <w:tcW w:w="6344" w:type="dxa"/>
          </w:tcPr>
          <w:p w14:paraId="346E826A" w14:textId="77777777" w:rsidR="0002241E" w:rsidRPr="0002241E" w:rsidRDefault="0002241E" w:rsidP="0002241E">
            <w:pPr>
              <w:numPr>
                <w:ilvl w:val="0"/>
                <w:numId w:val="9"/>
              </w:numPr>
              <w:spacing w:after="0"/>
              <w:contextualSpacing/>
              <w:rPr>
                <w:lang w:val="en-CA"/>
              </w:rPr>
            </w:pPr>
            <w:r w:rsidRPr="0002241E">
              <w:rPr>
                <w:lang w:val="en-CA"/>
              </w:rPr>
              <w:t>Code sets</w:t>
            </w:r>
          </w:p>
        </w:tc>
        <w:tc>
          <w:tcPr>
            <w:tcW w:w="1369" w:type="dxa"/>
            <w:vMerge/>
            <w:shd w:val="clear" w:color="auto" w:fill="auto"/>
            <w:vAlign w:val="center"/>
          </w:tcPr>
          <w:p w14:paraId="0E8DF048" w14:textId="77777777" w:rsidR="0002241E" w:rsidRPr="0002241E" w:rsidRDefault="0002241E" w:rsidP="0002241E">
            <w:pPr>
              <w:spacing w:after="0"/>
              <w:jc w:val="center"/>
              <w:rPr>
                <w:lang w:val="en-CA"/>
              </w:rPr>
            </w:pPr>
          </w:p>
        </w:tc>
        <w:tc>
          <w:tcPr>
            <w:tcW w:w="1948" w:type="dxa"/>
            <w:vMerge/>
            <w:shd w:val="clear" w:color="auto" w:fill="auto"/>
            <w:vAlign w:val="center"/>
          </w:tcPr>
          <w:p w14:paraId="7647B07A" w14:textId="77777777" w:rsidR="0002241E" w:rsidRPr="0002241E" w:rsidRDefault="0002241E" w:rsidP="0002241E">
            <w:pPr>
              <w:spacing w:after="0"/>
              <w:rPr>
                <w:lang w:val="en-CA"/>
              </w:rPr>
            </w:pPr>
          </w:p>
        </w:tc>
      </w:tr>
      <w:tr w:rsidR="0002241E" w:rsidRPr="0002241E" w14:paraId="082522F0" w14:textId="77777777" w:rsidTr="0002241E">
        <w:trPr>
          <w:cantSplit/>
          <w:trHeight w:val="348"/>
          <w:jc w:val="center"/>
        </w:trPr>
        <w:tc>
          <w:tcPr>
            <w:tcW w:w="1136" w:type="dxa"/>
            <w:vMerge/>
            <w:vAlign w:val="center"/>
          </w:tcPr>
          <w:p w14:paraId="339E32EA" w14:textId="77777777" w:rsidR="0002241E" w:rsidRPr="0002241E" w:rsidRDefault="0002241E" w:rsidP="0002241E">
            <w:pPr>
              <w:numPr>
                <w:ilvl w:val="0"/>
                <w:numId w:val="20"/>
              </w:numPr>
              <w:spacing w:after="0"/>
              <w:contextualSpacing/>
              <w:jc w:val="center"/>
              <w:rPr>
                <w:lang w:val="en-CA"/>
              </w:rPr>
            </w:pPr>
          </w:p>
        </w:tc>
        <w:tc>
          <w:tcPr>
            <w:tcW w:w="6344" w:type="dxa"/>
          </w:tcPr>
          <w:p w14:paraId="57141778" w14:textId="77777777" w:rsidR="0002241E" w:rsidRPr="0002241E" w:rsidRDefault="0002241E" w:rsidP="0002241E">
            <w:pPr>
              <w:numPr>
                <w:ilvl w:val="0"/>
                <w:numId w:val="9"/>
              </w:numPr>
              <w:spacing w:after="0"/>
              <w:contextualSpacing/>
              <w:rPr>
                <w:lang w:val="en-CA"/>
              </w:rPr>
            </w:pPr>
            <w:r w:rsidRPr="0002241E">
              <w:rPr>
                <w:lang w:val="en-CA"/>
              </w:rPr>
              <w:t>Level of mapping (certificate v line level)</w:t>
            </w:r>
          </w:p>
        </w:tc>
        <w:tc>
          <w:tcPr>
            <w:tcW w:w="1369" w:type="dxa"/>
            <w:vMerge/>
            <w:shd w:val="clear" w:color="auto" w:fill="auto"/>
            <w:vAlign w:val="center"/>
          </w:tcPr>
          <w:p w14:paraId="38D535FA" w14:textId="77777777" w:rsidR="0002241E" w:rsidRPr="0002241E" w:rsidRDefault="0002241E" w:rsidP="0002241E">
            <w:pPr>
              <w:spacing w:after="0"/>
              <w:jc w:val="center"/>
              <w:rPr>
                <w:lang w:val="en-CA"/>
              </w:rPr>
            </w:pPr>
          </w:p>
        </w:tc>
        <w:tc>
          <w:tcPr>
            <w:tcW w:w="1948" w:type="dxa"/>
            <w:vMerge/>
            <w:shd w:val="clear" w:color="auto" w:fill="auto"/>
            <w:vAlign w:val="center"/>
          </w:tcPr>
          <w:p w14:paraId="66849A6D" w14:textId="77777777" w:rsidR="0002241E" w:rsidRPr="0002241E" w:rsidRDefault="0002241E" w:rsidP="0002241E">
            <w:pPr>
              <w:spacing w:after="0"/>
              <w:rPr>
                <w:lang w:val="en-CA"/>
              </w:rPr>
            </w:pPr>
          </w:p>
        </w:tc>
      </w:tr>
      <w:tr w:rsidR="0002241E" w:rsidRPr="0002241E" w14:paraId="7E6763D1" w14:textId="77777777" w:rsidTr="0002241E">
        <w:trPr>
          <w:cantSplit/>
          <w:trHeight w:val="348"/>
          <w:jc w:val="center"/>
        </w:trPr>
        <w:tc>
          <w:tcPr>
            <w:tcW w:w="1136" w:type="dxa"/>
            <w:vMerge/>
            <w:vAlign w:val="center"/>
          </w:tcPr>
          <w:p w14:paraId="13BA14C7" w14:textId="77777777" w:rsidR="0002241E" w:rsidRPr="0002241E" w:rsidRDefault="0002241E" w:rsidP="0002241E">
            <w:pPr>
              <w:numPr>
                <w:ilvl w:val="0"/>
                <w:numId w:val="20"/>
              </w:numPr>
              <w:spacing w:after="0"/>
              <w:contextualSpacing/>
              <w:jc w:val="center"/>
              <w:rPr>
                <w:lang w:val="en-CA"/>
              </w:rPr>
            </w:pPr>
          </w:p>
        </w:tc>
        <w:tc>
          <w:tcPr>
            <w:tcW w:w="6344" w:type="dxa"/>
          </w:tcPr>
          <w:p w14:paraId="64BBC39F" w14:textId="77777777" w:rsidR="0002241E" w:rsidRPr="0002241E" w:rsidRDefault="0002241E" w:rsidP="0002241E">
            <w:pPr>
              <w:numPr>
                <w:ilvl w:val="0"/>
                <w:numId w:val="9"/>
              </w:numPr>
              <w:spacing w:after="0"/>
              <w:contextualSpacing/>
              <w:rPr>
                <w:lang w:val="en-CA"/>
              </w:rPr>
            </w:pPr>
            <w:r w:rsidRPr="0002241E">
              <w:rPr>
                <w:lang w:val="en-CA"/>
              </w:rPr>
              <w:t>Changes to UN/CEFACT schema to support harmonization</w:t>
            </w:r>
          </w:p>
        </w:tc>
        <w:tc>
          <w:tcPr>
            <w:tcW w:w="1369" w:type="dxa"/>
            <w:shd w:val="clear" w:color="auto" w:fill="auto"/>
            <w:vAlign w:val="center"/>
          </w:tcPr>
          <w:p w14:paraId="124CA6D9" w14:textId="77777777" w:rsidR="0002241E" w:rsidRPr="0002241E" w:rsidRDefault="0002241E" w:rsidP="0002241E">
            <w:pPr>
              <w:spacing w:after="0"/>
              <w:jc w:val="center"/>
              <w:rPr>
                <w:lang w:val="en-CA"/>
              </w:rPr>
            </w:pPr>
            <w:r w:rsidRPr="0002241E">
              <w:rPr>
                <w:lang w:val="en-CA"/>
              </w:rPr>
              <w:t>23, 24</w:t>
            </w:r>
          </w:p>
        </w:tc>
        <w:tc>
          <w:tcPr>
            <w:tcW w:w="1948" w:type="dxa"/>
            <w:vMerge/>
            <w:shd w:val="clear" w:color="auto" w:fill="auto"/>
            <w:vAlign w:val="center"/>
          </w:tcPr>
          <w:p w14:paraId="21A97E84" w14:textId="77777777" w:rsidR="0002241E" w:rsidRPr="0002241E" w:rsidRDefault="0002241E" w:rsidP="0002241E">
            <w:pPr>
              <w:spacing w:after="0"/>
              <w:rPr>
                <w:lang w:val="en-CA"/>
              </w:rPr>
            </w:pPr>
          </w:p>
        </w:tc>
      </w:tr>
      <w:tr w:rsidR="0002241E" w:rsidRPr="0002241E" w14:paraId="706A962C" w14:textId="77777777" w:rsidTr="0002241E">
        <w:trPr>
          <w:cantSplit/>
          <w:trHeight w:val="348"/>
          <w:jc w:val="center"/>
        </w:trPr>
        <w:tc>
          <w:tcPr>
            <w:tcW w:w="1136" w:type="dxa"/>
            <w:vMerge/>
            <w:vAlign w:val="center"/>
          </w:tcPr>
          <w:p w14:paraId="5F6D4F45" w14:textId="77777777" w:rsidR="0002241E" w:rsidRPr="0002241E" w:rsidRDefault="0002241E" w:rsidP="0002241E">
            <w:pPr>
              <w:numPr>
                <w:ilvl w:val="0"/>
                <w:numId w:val="20"/>
              </w:numPr>
              <w:spacing w:after="0"/>
              <w:contextualSpacing/>
              <w:jc w:val="center"/>
              <w:rPr>
                <w:lang w:val="en-CA"/>
              </w:rPr>
            </w:pPr>
          </w:p>
        </w:tc>
        <w:tc>
          <w:tcPr>
            <w:tcW w:w="6344" w:type="dxa"/>
          </w:tcPr>
          <w:p w14:paraId="7F86FE20" w14:textId="77777777" w:rsidR="0002241E" w:rsidRPr="0002241E" w:rsidRDefault="0002241E" w:rsidP="0002241E">
            <w:pPr>
              <w:numPr>
                <w:ilvl w:val="0"/>
                <w:numId w:val="9"/>
              </w:numPr>
              <w:spacing w:after="0"/>
              <w:contextualSpacing/>
              <w:rPr>
                <w:lang w:val="en-CA"/>
              </w:rPr>
            </w:pPr>
            <w:r w:rsidRPr="0002241E">
              <w:rPr>
                <w:lang w:val="en-CA"/>
              </w:rPr>
              <w:t>Product description, list, how to update and involvement glossary panel</w:t>
            </w:r>
          </w:p>
        </w:tc>
        <w:tc>
          <w:tcPr>
            <w:tcW w:w="1369" w:type="dxa"/>
            <w:shd w:val="clear" w:color="auto" w:fill="auto"/>
            <w:vAlign w:val="center"/>
          </w:tcPr>
          <w:p w14:paraId="78D01FB0" w14:textId="77777777" w:rsidR="0002241E" w:rsidRPr="0002241E" w:rsidRDefault="0002241E" w:rsidP="0002241E">
            <w:pPr>
              <w:spacing w:after="0"/>
              <w:jc w:val="center"/>
              <w:rPr>
                <w:lang w:val="en-CA"/>
              </w:rPr>
            </w:pPr>
            <w:r w:rsidRPr="0002241E">
              <w:rPr>
                <w:lang w:val="en-CA"/>
              </w:rPr>
              <w:t>10</w:t>
            </w:r>
          </w:p>
        </w:tc>
        <w:tc>
          <w:tcPr>
            <w:tcW w:w="1948" w:type="dxa"/>
            <w:shd w:val="clear" w:color="auto" w:fill="auto"/>
            <w:vAlign w:val="center"/>
          </w:tcPr>
          <w:p w14:paraId="635C8BC3" w14:textId="77777777" w:rsidR="0002241E" w:rsidRPr="0002241E" w:rsidRDefault="0002241E" w:rsidP="0002241E">
            <w:pPr>
              <w:spacing w:after="0"/>
              <w:rPr>
                <w:lang w:val="en-CA"/>
              </w:rPr>
            </w:pPr>
            <w:r w:rsidRPr="0002241E">
              <w:rPr>
                <w:lang w:val="en-CA"/>
              </w:rPr>
              <w:t>Horn</w:t>
            </w:r>
          </w:p>
        </w:tc>
      </w:tr>
      <w:tr w:rsidR="0002241E" w:rsidRPr="0002241E" w14:paraId="5D3C497A" w14:textId="77777777" w:rsidTr="0002241E">
        <w:trPr>
          <w:cantSplit/>
          <w:trHeight w:val="348"/>
          <w:jc w:val="center"/>
        </w:trPr>
        <w:tc>
          <w:tcPr>
            <w:tcW w:w="1136" w:type="dxa"/>
            <w:vMerge w:val="restart"/>
            <w:vAlign w:val="center"/>
          </w:tcPr>
          <w:p w14:paraId="44100A20" w14:textId="77777777" w:rsidR="0002241E" w:rsidRPr="0002241E" w:rsidRDefault="0002241E" w:rsidP="0002241E">
            <w:pPr>
              <w:numPr>
                <w:ilvl w:val="0"/>
                <w:numId w:val="20"/>
              </w:numPr>
              <w:spacing w:after="0"/>
              <w:contextualSpacing/>
              <w:rPr>
                <w:lang w:val="en-CA"/>
              </w:rPr>
            </w:pPr>
          </w:p>
        </w:tc>
        <w:tc>
          <w:tcPr>
            <w:tcW w:w="6344" w:type="dxa"/>
            <w:shd w:val="clear" w:color="auto" w:fill="auto"/>
          </w:tcPr>
          <w:p w14:paraId="366135EF" w14:textId="77777777" w:rsidR="0002241E" w:rsidRPr="0002241E" w:rsidRDefault="0002241E" w:rsidP="0002241E">
            <w:pPr>
              <w:spacing w:after="0"/>
              <w:rPr>
                <w:lang w:val="en-CA"/>
              </w:rPr>
            </w:pPr>
            <w:r w:rsidRPr="0002241E">
              <w:rPr>
                <w:lang w:val="en-CA"/>
              </w:rPr>
              <w:t xml:space="preserve">Pilot </w:t>
            </w:r>
          </w:p>
        </w:tc>
        <w:tc>
          <w:tcPr>
            <w:tcW w:w="1369" w:type="dxa"/>
            <w:shd w:val="clear" w:color="auto" w:fill="auto"/>
            <w:vAlign w:val="center"/>
          </w:tcPr>
          <w:p w14:paraId="4A5ED02A" w14:textId="77777777" w:rsidR="0002241E" w:rsidRPr="0002241E" w:rsidRDefault="0002241E" w:rsidP="0002241E">
            <w:pPr>
              <w:spacing w:after="0"/>
              <w:jc w:val="center"/>
              <w:rPr>
                <w:b/>
                <w:lang w:val="en-CA"/>
              </w:rPr>
            </w:pPr>
          </w:p>
        </w:tc>
        <w:tc>
          <w:tcPr>
            <w:tcW w:w="1948" w:type="dxa"/>
            <w:shd w:val="clear" w:color="auto" w:fill="auto"/>
            <w:vAlign w:val="center"/>
          </w:tcPr>
          <w:p w14:paraId="3264B9E5" w14:textId="77777777" w:rsidR="0002241E" w:rsidRPr="0002241E" w:rsidRDefault="0002241E" w:rsidP="0002241E">
            <w:pPr>
              <w:spacing w:after="0"/>
              <w:rPr>
                <w:b/>
                <w:lang w:val="en-CA"/>
              </w:rPr>
            </w:pPr>
          </w:p>
        </w:tc>
      </w:tr>
      <w:tr w:rsidR="0002241E" w:rsidRPr="0002241E" w14:paraId="31FA1193" w14:textId="77777777" w:rsidTr="0002241E">
        <w:trPr>
          <w:cantSplit/>
          <w:trHeight w:val="348"/>
          <w:jc w:val="center"/>
        </w:trPr>
        <w:tc>
          <w:tcPr>
            <w:tcW w:w="1136" w:type="dxa"/>
            <w:vMerge/>
            <w:vAlign w:val="center"/>
          </w:tcPr>
          <w:p w14:paraId="6CDBAB81" w14:textId="77777777" w:rsidR="0002241E" w:rsidRPr="0002241E" w:rsidRDefault="0002241E" w:rsidP="0002241E">
            <w:pPr>
              <w:numPr>
                <w:ilvl w:val="0"/>
                <w:numId w:val="20"/>
              </w:numPr>
              <w:spacing w:after="0"/>
              <w:contextualSpacing/>
              <w:jc w:val="center"/>
              <w:rPr>
                <w:lang w:val="en-CA"/>
              </w:rPr>
            </w:pPr>
          </w:p>
        </w:tc>
        <w:tc>
          <w:tcPr>
            <w:tcW w:w="6344" w:type="dxa"/>
            <w:shd w:val="clear" w:color="auto" w:fill="auto"/>
          </w:tcPr>
          <w:p w14:paraId="424F5A11" w14:textId="77777777" w:rsidR="0002241E" w:rsidRPr="0002241E" w:rsidRDefault="0002241E" w:rsidP="0002241E">
            <w:pPr>
              <w:numPr>
                <w:ilvl w:val="0"/>
                <w:numId w:val="15"/>
              </w:numPr>
              <w:spacing w:after="0"/>
              <w:contextualSpacing/>
              <w:rPr>
                <w:lang w:val="en-CA"/>
              </w:rPr>
            </w:pPr>
            <w:r w:rsidRPr="0002241E">
              <w:rPr>
                <w:lang w:val="en-CA"/>
              </w:rPr>
              <w:t>On boarding of pilot countries</w:t>
            </w:r>
          </w:p>
        </w:tc>
        <w:tc>
          <w:tcPr>
            <w:tcW w:w="1369" w:type="dxa"/>
            <w:shd w:val="clear" w:color="auto" w:fill="auto"/>
            <w:vAlign w:val="center"/>
          </w:tcPr>
          <w:p w14:paraId="793F0EB8" w14:textId="77777777" w:rsidR="0002241E" w:rsidRPr="0002241E" w:rsidRDefault="0002241E" w:rsidP="0002241E">
            <w:pPr>
              <w:spacing w:after="0"/>
              <w:jc w:val="center"/>
              <w:rPr>
                <w:lang w:val="en-CA"/>
              </w:rPr>
            </w:pPr>
          </w:p>
        </w:tc>
        <w:tc>
          <w:tcPr>
            <w:tcW w:w="1948" w:type="dxa"/>
            <w:shd w:val="clear" w:color="auto" w:fill="auto"/>
            <w:vAlign w:val="center"/>
          </w:tcPr>
          <w:p w14:paraId="0324B32A" w14:textId="77777777" w:rsidR="0002241E" w:rsidRPr="0002241E" w:rsidRDefault="0002241E" w:rsidP="0002241E">
            <w:pPr>
              <w:spacing w:after="0"/>
              <w:rPr>
                <w:lang w:val="en-CA"/>
              </w:rPr>
            </w:pPr>
            <w:r w:rsidRPr="0002241E">
              <w:rPr>
                <w:lang w:val="en-CA"/>
              </w:rPr>
              <w:t>UNICC</w:t>
            </w:r>
          </w:p>
        </w:tc>
      </w:tr>
      <w:tr w:rsidR="0002241E" w:rsidRPr="0002241E" w14:paraId="0372CD86" w14:textId="77777777" w:rsidTr="0002241E">
        <w:trPr>
          <w:cantSplit/>
          <w:trHeight w:val="348"/>
          <w:jc w:val="center"/>
        </w:trPr>
        <w:tc>
          <w:tcPr>
            <w:tcW w:w="1136" w:type="dxa"/>
            <w:vMerge/>
            <w:vAlign w:val="center"/>
          </w:tcPr>
          <w:p w14:paraId="6180FA89" w14:textId="77777777" w:rsidR="0002241E" w:rsidRPr="0002241E" w:rsidRDefault="0002241E" w:rsidP="0002241E">
            <w:pPr>
              <w:numPr>
                <w:ilvl w:val="0"/>
                <w:numId w:val="20"/>
              </w:numPr>
              <w:spacing w:after="0"/>
              <w:contextualSpacing/>
              <w:jc w:val="center"/>
              <w:rPr>
                <w:lang w:val="en-CA"/>
              </w:rPr>
            </w:pPr>
          </w:p>
        </w:tc>
        <w:tc>
          <w:tcPr>
            <w:tcW w:w="6344" w:type="dxa"/>
            <w:shd w:val="clear" w:color="auto" w:fill="auto"/>
          </w:tcPr>
          <w:p w14:paraId="2C184B36" w14:textId="77777777" w:rsidR="0002241E" w:rsidRPr="0002241E" w:rsidRDefault="0002241E" w:rsidP="0002241E">
            <w:pPr>
              <w:numPr>
                <w:ilvl w:val="1"/>
                <w:numId w:val="15"/>
              </w:numPr>
              <w:spacing w:after="0"/>
              <w:ind w:left="1158"/>
              <w:contextualSpacing/>
              <w:rPr>
                <w:lang w:val="en-CA"/>
              </w:rPr>
            </w:pPr>
            <w:r w:rsidRPr="0002241E">
              <w:rPr>
                <w:lang w:val="en-CA"/>
              </w:rPr>
              <w:t>Security agreements/sign on agreements</w:t>
            </w:r>
          </w:p>
        </w:tc>
        <w:tc>
          <w:tcPr>
            <w:tcW w:w="1369" w:type="dxa"/>
            <w:shd w:val="clear" w:color="auto" w:fill="auto"/>
            <w:vAlign w:val="center"/>
          </w:tcPr>
          <w:p w14:paraId="3B0A309B" w14:textId="77777777" w:rsidR="0002241E" w:rsidRPr="0002241E" w:rsidRDefault="0002241E" w:rsidP="0002241E">
            <w:pPr>
              <w:spacing w:after="0"/>
              <w:jc w:val="center"/>
              <w:rPr>
                <w:lang w:val="en-CA"/>
              </w:rPr>
            </w:pPr>
          </w:p>
        </w:tc>
        <w:tc>
          <w:tcPr>
            <w:tcW w:w="1948" w:type="dxa"/>
            <w:shd w:val="clear" w:color="auto" w:fill="auto"/>
            <w:vAlign w:val="center"/>
          </w:tcPr>
          <w:p w14:paraId="10F789EC" w14:textId="77777777" w:rsidR="0002241E" w:rsidRPr="0002241E" w:rsidRDefault="0002241E" w:rsidP="0002241E">
            <w:pPr>
              <w:spacing w:after="0"/>
              <w:rPr>
                <w:lang w:val="en-CA"/>
              </w:rPr>
            </w:pPr>
            <w:r w:rsidRPr="0002241E">
              <w:rPr>
                <w:lang w:val="en-CA"/>
              </w:rPr>
              <w:t>IPPC Secretariat</w:t>
            </w:r>
          </w:p>
        </w:tc>
      </w:tr>
      <w:tr w:rsidR="0002241E" w:rsidRPr="0002241E" w14:paraId="64599BD9" w14:textId="77777777" w:rsidTr="0002241E">
        <w:trPr>
          <w:cantSplit/>
          <w:trHeight w:val="348"/>
          <w:jc w:val="center"/>
        </w:trPr>
        <w:tc>
          <w:tcPr>
            <w:tcW w:w="1136" w:type="dxa"/>
            <w:vMerge/>
            <w:vAlign w:val="center"/>
          </w:tcPr>
          <w:p w14:paraId="6643364A" w14:textId="77777777" w:rsidR="0002241E" w:rsidRPr="0002241E" w:rsidRDefault="0002241E" w:rsidP="0002241E">
            <w:pPr>
              <w:numPr>
                <w:ilvl w:val="0"/>
                <w:numId w:val="20"/>
              </w:numPr>
              <w:spacing w:after="0"/>
              <w:contextualSpacing/>
              <w:jc w:val="center"/>
              <w:rPr>
                <w:lang w:val="en-CA"/>
              </w:rPr>
            </w:pPr>
          </w:p>
        </w:tc>
        <w:tc>
          <w:tcPr>
            <w:tcW w:w="6344" w:type="dxa"/>
            <w:shd w:val="clear" w:color="auto" w:fill="auto"/>
          </w:tcPr>
          <w:p w14:paraId="3B869FF5" w14:textId="77777777" w:rsidR="0002241E" w:rsidRPr="0002241E" w:rsidRDefault="0002241E" w:rsidP="0002241E">
            <w:pPr>
              <w:numPr>
                <w:ilvl w:val="0"/>
                <w:numId w:val="9"/>
              </w:numPr>
              <w:spacing w:after="0"/>
              <w:contextualSpacing/>
              <w:rPr>
                <w:lang w:val="en-CA"/>
              </w:rPr>
            </w:pPr>
            <w:r w:rsidRPr="0002241E">
              <w:rPr>
                <w:lang w:val="en-CA"/>
              </w:rPr>
              <w:t>Approach, tools identification, etc.</w:t>
            </w:r>
          </w:p>
        </w:tc>
        <w:tc>
          <w:tcPr>
            <w:tcW w:w="1369" w:type="dxa"/>
            <w:shd w:val="clear" w:color="auto" w:fill="auto"/>
            <w:vAlign w:val="center"/>
          </w:tcPr>
          <w:p w14:paraId="36B34323" w14:textId="77777777" w:rsidR="0002241E" w:rsidRPr="0002241E" w:rsidRDefault="0002241E" w:rsidP="0002241E">
            <w:pPr>
              <w:spacing w:after="0"/>
              <w:jc w:val="center"/>
              <w:rPr>
                <w:b/>
                <w:lang w:val="en-CA"/>
              </w:rPr>
            </w:pPr>
          </w:p>
        </w:tc>
        <w:tc>
          <w:tcPr>
            <w:tcW w:w="1948" w:type="dxa"/>
            <w:vMerge w:val="restart"/>
            <w:shd w:val="clear" w:color="auto" w:fill="auto"/>
            <w:vAlign w:val="center"/>
          </w:tcPr>
          <w:p w14:paraId="162353FC" w14:textId="77777777" w:rsidR="0002241E" w:rsidRPr="0002241E" w:rsidRDefault="0002241E" w:rsidP="0002241E">
            <w:pPr>
              <w:spacing w:after="0"/>
              <w:rPr>
                <w:lang w:val="en-CA"/>
              </w:rPr>
            </w:pPr>
            <w:r w:rsidRPr="0002241E">
              <w:rPr>
                <w:lang w:val="en-CA"/>
              </w:rPr>
              <w:t>All</w:t>
            </w:r>
          </w:p>
        </w:tc>
      </w:tr>
      <w:tr w:rsidR="0002241E" w:rsidRPr="0002241E" w14:paraId="4EDE1446" w14:textId="77777777" w:rsidTr="0002241E">
        <w:trPr>
          <w:cantSplit/>
          <w:trHeight w:val="348"/>
          <w:jc w:val="center"/>
        </w:trPr>
        <w:tc>
          <w:tcPr>
            <w:tcW w:w="1136" w:type="dxa"/>
            <w:vMerge/>
            <w:vAlign w:val="center"/>
          </w:tcPr>
          <w:p w14:paraId="5CBCC19A" w14:textId="77777777" w:rsidR="0002241E" w:rsidRPr="0002241E" w:rsidRDefault="0002241E" w:rsidP="0002241E">
            <w:pPr>
              <w:numPr>
                <w:ilvl w:val="0"/>
                <w:numId w:val="20"/>
              </w:numPr>
              <w:spacing w:after="0"/>
              <w:contextualSpacing/>
              <w:jc w:val="center"/>
              <w:rPr>
                <w:lang w:val="en-CA"/>
              </w:rPr>
            </w:pPr>
          </w:p>
        </w:tc>
        <w:tc>
          <w:tcPr>
            <w:tcW w:w="6344" w:type="dxa"/>
            <w:shd w:val="clear" w:color="auto" w:fill="auto"/>
          </w:tcPr>
          <w:p w14:paraId="505C0EC1" w14:textId="77777777" w:rsidR="0002241E" w:rsidRPr="0002241E" w:rsidRDefault="0002241E" w:rsidP="0002241E">
            <w:pPr>
              <w:numPr>
                <w:ilvl w:val="0"/>
                <w:numId w:val="9"/>
              </w:numPr>
              <w:spacing w:after="0"/>
              <w:contextualSpacing/>
              <w:rPr>
                <w:lang w:val="en-CA"/>
              </w:rPr>
            </w:pPr>
            <w:r w:rsidRPr="0002241E">
              <w:rPr>
                <w:lang w:val="en-CA"/>
              </w:rPr>
              <w:t>Measure pilot outcomes/success</w:t>
            </w:r>
          </w:p>
        </w:tc>
        <w:tc>
          <w:tcPr>
            <w:tcW w:w="1369" w:type="dxa"/>
            <w:shd w:val="clear" w:color="auto" w:fill="auto"/>
            <w:vAlign w:val="center"/>
          </w:tcPr>
          <w:p w14:paraId="76AEEBD6" w14:textId="77777777" w:rsidR="0002241E" w:rsidRPr="0002241E" w:rsidRDefault="0002241E" w:rsidP="0002241E">
            <w:pPr>
              <w:spacing w:after="0"/>
              <w:jc w:val="center"/>
              <w:rPr>
                <w:b/>
                <w:lang w:val="en-CA"/>
              </w:rPr>
            </w:pPr>
          </w:p>
        </w:tc>
        <w:tc>
          <w:tcPr>
            <w:tcW w:w="1948" w:type="dxa"/>
            <w:vMerge/>
            <w:shd w:val="clear" w:color="auto" w:fill="auto"/>
            <w:vAlign w:val="center"/>
          </w:tcPr>
          <w:p w14:paraId="2F9A55E6" w14:textId="77777777" w:rsidR="0002241E" w:rsidRPr="0002241E" w:rsidRDefault="0002241E" w:rsidP="0002241E">
            <w:pPr>
              <w:spacing w:after="0"/>
              <w:rPr>
                <w:b/>
                <w:lang w:val="en-CA"/>
              </w:rPr>
            </w:pPr>
          </w:p>
        </w:tc>
      </w:tr>
      <w:tr w:rsidR="0002241E" w:rsidRPr="0002241E" w14:paraId="4323B81F" w14:textId="77777777" w:rsidTr="0002241E">
        <w:trPr>
          <w:cantSplit/>
          <w:trHeight w:val="348"/>
          <w:jc w:val="center"/>
        </w:trPr>
        <w:tc>
          <w:tcPr>
            <w:tcW w:w="1136" w:type="dxa"/>
            <w:vMerge/>
            <w:vAlign w:val="center"/>
          </w:tcPr>
          <w:p w14:paraId="38BC925A" w14:textId="77777777" w:rsidR="0002241E" w:rsidRPr="0002241E" w:rsidRDefault="0002241E" w:rsidP="0002241E">
            <w:pPr>
              <w:numPr>
                <w:ilvl w:val="0"/>
                <w:numId w:val="20"/>
              </w:numPr>
              <w:spacing w:after="0"/>
              <w:contextualSpacing/>
              <w:jc w:val="center"/>
              <w:rPr>
                <w:lang w:val="en-CA"/>
              </w:rPr>
            </w:pPr>
          </w:p>
        </w:tc>
        <w:tc>
          <w:tcPr>
            <w:tcW w:w="6344" w:type="dxa"/>
            <w:shd w:val="clear" w:color="auto" w:fill="auto"/>
          </w:tcPr>
          <w:p w14:paraId="35476721" w14:textId="77777777" w:rsidR="0002241E" w:rsidRPr="0002241E" w:rsidRDefault="0002241E" w:rsidP="0002241E">
            <w:pPr>
              <w:numPr>
                <w:ilvl w:val="1"/>
                <w:numId w:val="9"/>
              </w:numPr>
              <w:spacing w:after="0"/>
              <w:ind w:left="1151"/>
              <w:contextualSpacing/>
              <w:rPr>
                <w:lang w:val="en-CA"/>
              </w:rPr>
            </w:pPr>
            <w:r w:rsidRPr="0002241E">
              <w:rPr>
                <w:lang w:val="en-CA"/>
              </w:rPr>
              <w:t>Establishing KPIs</w:t>
            </w:r>
          </w:p>
        </w:tc>
        <w:tc>
          <w:tcPr>
            <w:tcW w:w="1369" w:type="dxa"/>
            <w:shd w:val="clear" w:color="auto" w:fill="auto"/>
            <w:vAlign w:val="center"/>
          </w:tcPr>
          <w:p w14:paraId="0F4C2E10" w14:textId="77777777" w:rsidR="0002241E" w:rsidRPr="0002241E" w:rsidRDefault="0002241E" w:rsidP="0002241E">
            <w:pPr>
              <w:spacing w:after="0"/>
              <w:jc w:val="center"/>
              <w:rPr>
                <w:lang w:val="en-CA"/>
              </w:rPr>
            </w:pPr>
            <w:r w:rsidRPr="0002241E">
              <w:rPr>
                <w:lang w:val="en-CA"/>
              </w:rPr>
              <w:t>11</w:t>
            </w:r>
          </w:p>
        </w:tc>
        <w:tc>
          <w:tcPr>
            <w:tcW w:w="1948" w:type="dxa"/>
            <w:vMerge/>
            <w:shd w:val="clear" w:color="auto" w:fill="auto"/>
            <w:vAlign w:val="center"/>
          </w:tcPr>
          <w:p w14:paraId="788FE3D1" w14:textId="77777777" w:rsidR="0002241E" w:rsidRPr="0002241E" w:rsidRDefault="0002241E" w:rsidP="0002241E">
            <w:pPr>
              <w:spacing w:after="0"/>
              <w:rPr>
                <w:b/>
                <w:lang w:val="en-CA"/>
              </w:rPr>
            </w:pPr>
          </w:p>
        </w:tc>
      </w:tr>
      <w:tr w:rsidR="0002241E" w:rsidRPr="0002241E" w14:paraId="2FF210CC" w14:textId="77777777" w:rsidTr="0002241E">
        <w:trPr>
          <w:cantSplit/>
          <w:trHeight w:val="348"/>
          <w:jc w:val="center"/>
        </w:trPr>
        <w:tc>
          <w:tcPr>
            <w:tcW w:w="1136" w:type="dxa"/>
            <w:vMerge/>
            <w:vAlign w:val="center"/>
          </w:tcPr>
          <w:p w14:paraId="4C5B4604" w14:textId="77777777" w:rsidR="0002241E" w:rsidRPr="0002241E" w:rsidRDefault="0002241E" w:rsidP="0002241E">
            <w:pPr>
              <w:numPr>
                <w:ilvl w:val="0"/>
                <w:numId w:val="20"/>
              </w:numPr>
              <w:spacing w:after="0"/>
              <w:contextualSpacing/>
              <w:jc w:val="center"/>
              <w:rPr>
                <w:lang w:val="en-CA"/>
              </w:rPr>
            </w:pPr>
          </w:p>
        </w:tc>
        <w:tc>
          <w:tcPr>
            <w:tcW w:w="6344" w:type="dxa"/>
            <w:shd w:val="clear" w:color="auto" w:fill="auto"/>
          </w:tcPr>
          <w:p w14:paraId="6499EF9A" w14:textId="77777777" w:rsidR="0002241E" w:rsidRPr="0002241E" w:rsidRDefault="0002241E" w:rsidP="0002241E">
            <w:pPr>
              <w:numPr>
                <w:ilvl w:val="1"/>
                <w:numId w:val="9"/>
              </w:numPr>
              <w:spacing w:after="0"/>
              <w:ind w:left="1151"/>
              <w:contextualSpacing/>
              <w:rPr>
                <w:lang w:val="en-CA"/>
              </w:rPr>
            </w:pPr>
            <w:r w:rsidRPr="0002241E">
              <w:rPr>
                <w:lang w:val="en-CA"/>
              </w:rPr>
              <w:t>Setting benchmarks and measuring outcomes</w:t>
            </w:r>
          </w:p>
        </w:tc>
        <w:tc>
          <w:tcPr>
            <w:tcW w:w="1369" w:type="dxa"/>
            <w:shd w:val="clear" w:color="auto" w:fill="auto"/>
            <w:vAlign w:val="center"/>
          </w:tcPr>
          <w:p w14:paraId="0089D339" w14:textId="77777777" w:rsidR="0002241E" w:rsidRPr="0002241E" w:rsidRDefault="0002241E" w:rsidP="0002241E">
            <w:pPr>
              <w:spacing w:after="0"/>
              <w:jc w:val="center"/>
              <w:rPr>
                <w:b/>
                <w:lang w:val="en-CA"/>
              </w:rPr>
            </w:pPr>
          </w:p>
        </w:tc>
        <w:tc>
          <w:tcPr>
            <w:tcW w:w="1948" w:type="dxa"/>
            <w:vMerge/>
            <w:shd w:val="clear" w:color="auto" w:fill="auto"/>
            <w:vAlign w:val="center"/>
          </w:tcPr>
          <w:p w14:paraId="4278D0E1" w14:textId="77777777" w:rsidR="0002241E" w:rsidRPr="0002241E" w:rsidRDefault="0002241E" w:rsidP="0002241E">
            <w:pPr>
              <w:spacing w:after="0"/>
              <w:rPr>
                <w:b/>
                <w:lang w:val="en-CA"/>
              </w:rPr>
            </w:pPr>
          </w:p>
        </w:tc>
      </w:tr>
      <w:tr w:rsidR="0002241E" w:rsidRPr="0002241E" w14:paraId="146BE770" w14:textId="77777777" w:rsidTr="0002241E">
        <w:trPr>
          <w:cantSplit/>
          <w:trHeight w:val="348"/>
          <w:jc w:val="center"/>
        </w:trPr>
        <w:tc>
          <w:tcPr>
            <w:tcW w:w="1136" w:type="dxa"/>
            <w:vMerge/>
            <w:vAlign w:val="center"/>
          </w:tcPr>
          <w:p w14:paraId="747B24DE" w14:textId="77777777" w:rsidR="0002241E" w:rsidRPr="0002241E" w:rsidRDefault="0002241E" w:rsidP="0002241E">
            <w:pPr>
              <w:numPr>
                <w:ilvl w:val="0"/>
                <w:numId w:val="20"/>
              </w:numPr>
              <w:spacing w:after="0"/>
              <w:contextualSpacing/>
              <w:jc w:val="center"/>
              <w:rPr>
                <w:lang w:val="en-CA"/>
              </w:rPr>
            </w:pPr>
          </w:p>
        </w:tc>
        <w:tc>
          <w:tcPr>
            <w:tcW w:w="6344" w:type="dxa"/>
            <w:shd w:val="clear" w:color="auto" w:fill="auto"/>
          </w:tcPr>
          <w:p w14:paraId="334252C8" w14:textId="77777777" w:rsidR="0002241E" w:rsidRPr="0002241E" w:rsidRDefault="0002241E" w:rsidP="0002241E">
            <w:pPr>
              <w:numPr>
                <w:ilvl w:val="0"/>
                <w:numId w:val="9"/>
              </w:numPr>
              <w:spacing w:after="0"/>
              <w:contextualSpacing/>
              <w:rPr>
                <w:lang w:val="en-CA"/>
              </w:rPr>
            </w:pPr>
            <w:r w:rsidRPr="0002241E">
              <w:rPr>
                <w:lang w:val="en-CA"/>
              </w:rPr>
              <w:t>Decision to ‘go live’</w:t>
            </w:r>
          </w:p>
        </w:tc>
        <w:tc>
          <w:tcPr>
            <w:tcW w:w="1369" w:type="dxa"/>
            <w:shd w:val="clear" w:color="auto" w:fill="auto"/>
            <w:vAlign w:val="center"/>
          </w:tcPr>
          <w:p w14:paraId="126E9F58" w14:textId="77777777" w:rsidR="0002241E" w:rsidRPr="0002241E" w:rsidRDefault="0002241E" w:rsidP="0002241E">
            <w:pPr>
              <w:spacing w:after="0"/>
              <w:jc w:val="center"/>
              <w:rPr>
                <w:b/>
                <w:lang w:val="en-CA"/>
              </w:rPr>
            </w:pPr>
          </w:p>
        </w:tc>
        <w:tc>
          <w:tcPr>
            <w:tcW w:w="1948" w:type="dxa"/>
            <w:shd w:val="clear" w:color="auto" w:fill="auto"/>
            <w:vAlign w:val="center"/>
          </w:tcPr>
          <w:p w14:paraId="38E3C0E5" w14:textId="77777777" w:rsidR="0002241E" w:rsidRPr="0002241E" w:rsidRDefault="0002241E" w:rsidP="0002241E">
            <w:pPr>
              <w:spacing w:after="0"/>
              <w:rPr>
                <w:b/>
                <w:lang w:val="en-CA"/>
              </w:rPr>
            </w:pPr>
          </w:p>
        </w:tc>
      </w:tr>
      <w:tr w:rsidR="0002241E" w:rsidRPr="0002241E" w14:paraId="3A21DFE7" w14:textId="77777777" w:rsidTr="0002241E">
        <w:trPr>
          <w:cantSplit/>
          <w:trHeight w:val="348"/>
          <w:jc w:val="center"/>
        </w:trPr>
        <w:tc>
          <w:tcPr>
            <w:tcW w:w="1136" w:type="dxa"/>
            <w:vMerge w:val="restart"/>
            <w:vAlign w:val="center"/>
          </w:tcPr>
          <w:p w14:paraId="0A9A69CA" w14:textId="77777777" w:rsidR="0002241E" w:rsidRPr="0002241E" w:rsidRDefault="0002241E" w:rsidP="0002241E">
            <w:pPr>
              <w:numPr>
                <w:ilvl w:val="0"/>
                <w:numId w:val="20"/>
              </w:numPr>
              <w:spacing w:after="0"/>
              <w:contextualSpacing/>
              <w:rPr>
                <w:lang w:val="en-CA"/>
              </w:rPr>
            </w:pPr>
          </w:p>
        </w:tc>
        <w:tc>
          <w:tcPr>
            <w:tcW w:w="6344" w:type="dxa"/>
          </w:tcPr>
          <w:p w14:paraId="60D92367" w14:textId="77777777" w:rsidR="0002241E" w:rsidRPr="0002241E" w:rsidRDefault="0002241E" w:rsidP="0002241E">
            <w:pPr>
              <w:spacing w:after="0"/>
              <w:rPr>
                <w:lang w:val="en-CA"/>
              </w:rPr>
            </w:pPr>
            <w:r w:rsidRPr="0002241E">
              <w:rPr>
                <w:lang w:val="en-CA"/>
              </w:rPr>
              <w:t>Pilot countries</w:t>
            </w:r>
          </w:p>
        </w:tc>
        <w:tc>
          <w:tcPr>
            <w:tcW w:w="1369" w:type="dxa"/>
            <w:shd w:val="clear" w:color="auto" w:fill="auto"/>
            <w:vAlign w:val="center"/>
          </w:tcPr>
          <w:p w14:paraId="05300907" w14:textId="77777777" w:rsidR="0002241E" w:rsidRPr="0002241E" w:rsidRDefault="0002241E" w:rsidP="0002241E">
            <w:pPr>
              <w:spacing w:after="0"/>
              <w:jc w:val="center"/>
              <w:rPr>
                <w:lang w:val="en-CA"/>
              </w:rPr>
            </w:pPr>
          </w:p>
        </w:tc>
        <w:tc>
          <w:tcPr>
            <w:tcW w:w="1948" w:type="dxa"/>
            <w:shd w:val="clear" w:color="auto" w:fill="auto"/>
            <w:vAlign w:val="center"/>
          </w:tcPr>
          <w:p w14:paraId="1ED70685" w14:textId="77777777" w:rsidR="0002241E" w:rsidRPr="0002241E" w:rsidRDefault="0002241E" w:rsidP="0002241E">
            <w:pPr>
              <w:spacing w:after="0"/>
              <w:rPr>
                <w:lang w:val="en-CA"/>
              </w:rPr>
            </w:pPr>
          </w:p>
        </w:tc>
      </w:tr>
      <w:tr w:rsidR="0002241E" w:rsidRPr="0002241E" w14:paraId="181E98D3" w14:textId="77777777" w:rsidTr="0002241E">
        <w:trPr>
          <w:cantSplit/>
          <w:trHeight w:val="348"/>
          <w:jc w:val="center"/>
        </w:trPr>
        <w:tc>
          <w:tcPr>
            <w:tcW w:w="1136" w:type="dxa"/>
            <w:vMerge/>
            <w:vAlign w:val="center"/>
          </w:tcPr>
          <w:p w14:paraId="4097749D" w14:textId="77777777" w:rsidR="0002241E" w:rsidRPr="0002241E" w:rsidRDefault="0002241E" w:rsidP="0002241E">
            <w:pPr>
              <w:numPr>
                <w:ilvl w:val="0"/>
                <w:numId w:val="20"/>
              </w:numPr>
              <w:spacing w:after="0"/>
              <w:contextualSpacing/>
              <w:jc w:val="center"/>
              <w:rPr>
                <w:lang w:val="en-CA"/>
              </w:rPr>
            </w:pPr>
          </w:p>
        </w:tc>
        <w:tc>
          <w:tcPr>
            <w:tcW w:w="6344" w:type="dxa"/>
          </w:tcPr>
          <w:p w14:paraId="0D6180C2" w14:textId="77777777" w:rsidR="0002241E" w:rsidRPr="0002241E" w:rsidRDefault="0002241E" w:rsidP="0002241E">
            <w:pPr>
              <w:numPr>
                <w:ilvl w:val="0"/>
                <w:numId w:val="15"/>
              </w:numPr>
              <w:spacing w:after="0"/>
              <w:contextualSpacing/>
              <w:rPr>
                <w:lang w:val="en-CA"/>
              </w:rPr>
            </w:pPr>
            <w:r w:rsidRPr="0002241E">
              <w:rPr>
                <w:lang w:val="en-CA"/>
              </w:rPr>
              <w:t>Business process analysis and work planning</w:t>
            </w:r>
          </w:p>
        </w:tc>
        <w:tc>
          <w:tcPr>
            <w:tcW w:w="1369" w:type="dxa"/>
            <w:shd w:val="clear" w:color="auto" w:fill="auto"/>
            <w:vAlign w:val="center"/>
          </w:tcPr>
          <w:p w14:paraId="70953E28" w14:textId="77777777" w:rsidR="0002241E" w:rsidRPr="0002241E" w:rsidRDefault="0002241E" w:rsidP="0002241E">
            <w:pPr>
              <w:spacing w:after="0"/>
              <w:jc w:val="center"/>
              <w:rPr>
                <w:lang w:val="en-CA"/>
              </w:rPr>
            </w:pPr>
          </w:p>
        </w:tc>
        <w:tc>
          <w:tcPr>
            <w:tcW w:w="1948" w:type="dxa"/>
            <w:vMerge w:val="restart"/>
            <w:shd w:val="clear" w:color="auto" w:fill="auto"/>
            <w:vAlign w:val="center"/>
          </w:tcPr>
          <w:p w14:paraId="287E80C4" w14:textId="77777777" w:rsidR="0002241E" w:rsidRPr="0002241E" w:rsidRDefault="0002241E" w:rsidP="0002241E">
            <w:pPr>
              <w:spacing w:after="0"/>
              <w:rPr>
                <w:lang w:val="en-CA"/>
              </w:rPr>
            </w:pPr>
            <w:r w:rsidRPr="0002241E">
              <w:rPr>
                <w:lang w:val="en-CA"/>
              </w:rPr>
              <w:t>All</w:t>
            </w:r>
          </w:p>
        </w:tc>
      </w:tr>
      <w:tr w:rsidR="0002241E" w:rsidRPr="0002241E" w14:paraId="366701E2" w14:textId="77777777" w:rsidTr="0002241E">
        <w:trPr>
          <w:cantSplit/>
          <w:trHeight w:val="348"/>
          <w:jc w:val="center"/>
        </w:trPr>
        <w:tc>
          <w:tcPr>
            <w:tcW w:w="1136" w:type="dxa"/>
            <w:vMerge/>
            <w:vAlign w:val="center"/>
          </w:tcPr>
          <w:p w14:paraId="68D9A447" w14:textId="77777777" w:rsidR="0002241E" w:rsidRPr="0002241E" w:rsidRDefault="0002241E" w:rsidP="0002241E">
            <w:pPr>
              <w:numPr>
                <w:ilvl w:val="0"/>
                <w:numId w:val="20"/>
              </w:numPr>
              <w:spacing w:after="0"/>
              <w:contextualSpacing/>
              <w:jc w:val="center"/>
              <w:rPr>
                <w:lang w:val="en-CA"/>
              </w:rPr>
            </w:pPr>
          </w:p>
        </w:tc>
        <w:tc>
          <w:tcPr>
            <w:tcW w:w="6344" w:type="dxa"/>
          </w:tcPr>
          <w:p w14:paraId="00801888" w14:textId="77777777" w:rsidR="0002241E" w:rsidRPr="0002241E" w:rsidRDefault="0002241E" w:rsidP="0002241E">
            <w:pPr>
              <w:numPr>
                <w:ilvl w:val="0"/>
                <w:numId w:val="8"/>
              </w:numPr>
              <w:spacing w:after="0"/>
              <w:contextualSpacing/>
              <w:rPr>
                <w:lang w:val="en-CA"/>
              </w:rPr>
            </w:pPr>
            <w:r w:rsidRPr="0002241E">
              <w:rPr>
                <w:lang w:val="en-CA"/>
              </w:rPr>
              <w:t>Current preparedness of Sri Lanka, Samoa, Ghana</w:t>
            </w:r>
          </w:p>
        </w:tc>
        <w:tc>
          <w:tcPr>
            <w:tcW w:w="1369" w:type="dxa"/>
            <w:shd w:val="clear" w:color="auto" w:fill="auto"/>
            <w:vAlign w:val="center"/>
          </w:tcPr>
          <w:p w14:paraId="4D39B9A0" w14:textId="77777777" w:rsidR="0002241E" w:rsidRPr="0002241E" w:rsidRDefault="0002241E" w:rsidP="0002241E">
            <w:pPr>
              <w:spacing w:after="0"/>
              <w:jc w:val="center"/>
              <w:rPr>
                <w:lang w:val="en-CA"/>
              </w:rPr>
            </w:pPr>
            <w:r w:rsidRPr="0002241E">
              <w:rPr>
                <w:lang w:val="en-CA"/>
              </w:rPr>
              <w:t>26</w:t>
            </w:r>
          </w:p>
        </w:tc>
        <w:tc>
          <w:tcPr>
            <w:tcW w:w="1948" w:type="dxa"/>
            <w:vMerge/>
            <w:shd w:val="clear" w:color="auto" w:fill="auto"/>
            <w:vAlign w:val="center"/>
          </w:tcPr>
          <w:p w14:paraId="3A930D03" w14:textId="77777777" w:rsidR="0002241E" w:rsidRPr="0002241E" w:rsidRDefault="0002241E" w:rsidP="0002241E">
            <w:pPr>
              <w:spacing w:after="0"/>
              <w:rPr>
                <w:lang w:val="en-CA"/>
              </w:rPr>
            </w:pPr>
          </w:p>
        </w:tc>
      </w:tr>
      <w:tr w:rsidR="0002241E" w:rsidRPr="0002241E" w14:paraId="13491D65" w14:textId="77777777" w:rsidTr="0002241E">
        <w:trPr>
          <w:cantSplit/>
          <w:trHeight w:val="348"/>
          <w:jc w:val="center"/>
        </w:trPr>
        <w:tc>
          <w:tcPr>
            <w:tcW w:w="1136" w:type="dxa"/>
            <w:vMerge/>
            <w:vAlign w:val="center"/>
          </w:tcPr>
          <w:p w14:paraId="28C0141E" w14:textId="77777777" w:rsidR="0002241E" w:rsidRPr="0002241E" w:rsidRDefault="0002241E" w:rsidP="0002241E">
            <w:pPr>
              <w:numPr>
                <w:ilvl w:val="0"/>
                <w:numId w:val="20"/>
              </w:numPr>
              <w:spacing w:after="0"/>
              <w:contextualSpacing/>
              <w:jc w:val="center"/>
              <w:rPr>
                <w:lang w:val="en-CA"/>
              </w:rPr>
            </w:pPr>
          </w:p>
        </w:tc>
        <w:tc>
          <w:tcPr>
            <w:tcW w:w="6344" w:type="dxa"/>
          </w:tcPr>
          <w:p w14:paraId="6BD094A5" w14:textId="77777777" w:rsidR="0002241E" w:rsidRPr="0002241E" w:rsidRDefault="0002241E" w:rsidP="0002241E">
            <w:pPr>
              <w:numPr>
                <w:ilvl w:val="0"/>
                <w:numId w:val="8"/>
              </w:numPr>
              <w:spacing w:after="0"/>
              <w:contextualSpacing/>
              <w:rPr>
                <w:lang w:val="en-CA"/>
              </w:rPr>
            </w:pPr>
            <w:r w:rsidRPr="0002241E">
              <w:rPr>
                <w:lang w:val="en-CA"/>
              </w:rPr>
              <w:t xml:space="preserve">Next meetings/workshops </w:t>
            </w:r>
          </w:p>
        </w:tc>
        <w:tc>
          <w:tcPr>
            <w:tcW w:w="1369" w:type="dxa"/>
            <w:shd w:val="clear" w:color="auto" w:fill="auto"/>
            <w:vAlign w:val="center"/>
          </w:tcPr>
          <w:p w14:paraId="3BE35E4D" w14:textId="77777777" w:rsidR="0002241E" w:rsidRPr="0002241E" w:rsidRDefault="0002241E" w:rsidP="0002241E">
            <w:pPr>
              <w:spacing w:after="0"/>
              <w:jc w:val="center"/>
              <w:rPr>
                <w:lang w:val="en-CA"/>
              </w:rPr>
            </w:pPr>
          </w:p>
        </w:tc>
        <w:tc>
          <w:tcPr>
            <w:tcW w:w="1948" w:type="dxa"/>
            <w:vMerge/>
            <w:shd w:val="clear" w:color="auto" w:fill="auto"/>
            <w:vAlign w:val="center"/>
          </w:tcPr>
          <w:p w14:paraId="1CA57A14" w14:textId="77777777" w:rsidR="0002241E" w:rsidRPr="0002241E" w:rsidRDefault="0002241E" w:rsidP="0002241E">
            <w:pPr>
              <w:spacing w:after="0"/>
              <w:rPr>
                <w:lang w:val="en-CA"/>
              </w:rPr>
            </w:pPr>
          </w:p>
        </w:tc>
      </w:tr>
      <w:tr w:rsidR="0002241E" w:rsidRPr="0002241E" w14:paraId="5A00DD1F" w14:textId="77777777" w:rsidTr="0002241E">
        <w:trPr>
          <w:cantSplit/>
          <w:trHeight w:val="348"/>
          <w:jc w:val="center"/>
        </w:trPr>
        <w:tc>
          <w:tcPr>
            <w:tcW w:w="1136" w:type="dxa"/>
            <w:vMerge/>
            <w:vAlign w:val="center"/>
          </w:tcPr>
          <w:p w14:paraId="76F97425" w14:textId="77777777" w:rsidR="0002241E" w:rsidRPr="0002241E" w:rsidRDefault="0002241E" w:rsidP="0002241E">
            <w:pPr>
              <w:numPr>
                <w:ilvl w:val="0"/>
                <w:numId w:val="20"/>
              </w:numPr>
              <w:spacing w:after="0"/>
              <w:contextualSpacing/>
              <w:jc w:val="center"/>
              <w:rPr>
                <w:lang w:val="en-CA"/>
              </w:rPr>
            </w:pPr>
          </w:p>
        </w:tc>
        <w:tc>
          <w:tcPr>
            <w:tcW w:w="6344" w:type="dxa"/>
          </w:tcPr>
          <w:p w14:paraId="5AE9A215" w14:textId="77777777" w:rsidR="0002241E" w:rsidRPr="0002241E" w:rsidRDefault="0002241E" w:rsidP="0002241E">
            <w:pPr>
              <w:numPr>
                <w:ilvl w:val="0"/>
                <w:numId w:val="15"/>
              </w:numPr>
              <w:spacing w:after="0"/>
              <w:contextualSpacing/>
              <w:rPr>
                <w:lang w:val="en-CA"/>
              </w:rPr>
            </w:pPr>
            <w:r w:rsidRPr="0002241E">
              <w:rPr>
                <w:lang w:val="en-CA"/>
              </w:rPr>
              <w:t>Readiness analysis of countries with national systems</w:t>
            </w:r>
          </w:p>
        </w:tc>
        <w:tc>
          <w:tcPr>
            <w:tcW w:w="1369" w:type="dxa"/>
            <w:shd w:val="clear" w:color="auto" w:fill="auto"/>
            <w:vAlign w:val="center"/>
          </w:tcPr>
          <w:p w14:paraId="4FFBD605" w14:textId="77777777" w:rsidR="0002241E" w:rsidRPr="0002241E" w:rsidRDefault="0002241E" w:rsidP="0002241E">
            <w:pPr>
              <w:spacing w:after="0"/>
              <w:jc w:val="center"/>
              <w:rPr>
                <w:lang w:val="en-CA"/>
              </w:rPr>
            </w:pPr>
          </w:p>
        </w:tc>
        <w:tc>
          <w:tcPr>
            <w:tcW w:w="1948" w:type="dxa"/>
            <w:vMerge/>
            <w:shd w:val="clear" w:color="auto" w:fill="auto"/>
            <w:vAlign w:val="center"/>
          </w:tcPr>
          <w:p w14:paraId="0B4E6838" w14:textId="77777777" w:rsidR="0002241E" w:rsidRPr="0002241E" w:rsidRDefault="0002241E" w:rsidP="0002241E">
            <w:pPr>
              <w:spacing w:after="0"/>
              <w:rPr>
                <w:lang w:val="en-CA"/>
              </w:rPr>
            </w:pPr>
          </w:p>
        </w:tc>
      </w:tr>
      <w:tr w:rsidR="0002241E" w:rsidRPr="0002241E" w14:paraId="072A63AE" w14:textId="77777777" w:rsidTr="0002241E">
        <w:trPr>
          <w:cantSplit/>
          <w:trHeight w:val="348"/>
          <w:jc w:val="center"/>
        </w:trPr>
        <w:tc>
          <w:tcPr>
            <w:tcW w:w="1136" w:type="dxa"/>
            <w:vMerge w:val="restart"/>
            <w:vAlign w:val="center"/>
          </w:tcPr>
          <w:p w14:paraId="6E2FD19D" w14:textId="77777777" w:rsidR="0002241E" w:rsidRPr="0002241E" w:rsidRDefault="0002241E" w:rsidP="0002241E">
            <w:pPr>
              <w:numPr>
                <w:ilvl w:val="0"/>
                <w:numId w:val="20"/>
              </w:numPr>
              <w:spacing w:after="0"/>
              <w:contextualSpacing/>
              <w:rPr>
                <w:lang w:val="en-CA"/>
              </w:rPr>
            </w:pPr>
          </w:p>
        </w:tc>
        <w:tc>
          <w:tcPr>
            <w:tcW w:w="6344" w:type="dxa"/>
            <w:shd w:val="clear" w:color="auto" w:fill="auto"/>
          </w:tcPr>
          <w:p w14:paraId="3B896EB2" w14:textId="77777777" w:rsidR="0002241E" w:rsidRPr="0002241E" w:rsidRDefault="0002241E" w:rsidP="0002241E">
            <w:pPr>
              <w:spacing w:after="0"/>
              <w:rPr>
                <w:lang w:val="en-CA"/>
              </w:rPr>
            </w:pPr>
            <w:r w:rsidRPr="0002241E">
              <w:rPr>
                <w:lang w:val="en-CA"/>
              </w:rPr>
              <w:t>Inter-agency collaboration</w:t>
            </w:r>
          </w:p>
        </w:tc>
        <w:tc>
          <w:tcPr>
            <w:tcW w:w="1369" w:type="dxa"/>
            <w:shd w:val="clear" w:color="auto" w:fill="auto"/>
            <w:vAlign w:val="center"/>
          </w:tcPr>
          <w:p w14:paraId="2268637B" w14:textId="77777777" w:rsidR="0002241E" w:rsidRPr="0002241E" w:rsidRDefault="0002241E" w:rsidP="0002241E">
            <w:pPr>
              <w:spacing w:after="0"/>
              <w:jc w:val="center"/>
              <w:rPr>
                <w:lang w:val="en-CA"/>
              </w:rPr>
            </w:pPr>
          </w:p>
        </w:tc>
        <w:tc>
          <w:tcPr>
            <w:tcW w:w="1948" w:type="dxa"/>
            <w:shd w:val="clear" w:color="auto" w:fill="auto"/>
            <w:vAlign w:val="center"/>
          </w:tcPr>
          <w:p w14:paraId="19BD1DBC" w14:textId="77777777" w:rsidR="0002241E" w:rsidRPr="0002241E" w:rsidRDefault="0002241E" w:rsidP="0002241E">
            <w:pPr>
              <w:spacing w:after="0"/>
              <w:rPr>
                <w:lang w:val="en-CA"/>
              </w:rPr>
            </w:pPr>
          </w:p>
        </w:tc>
      </w:tr>
      <w:tr w:rsidR="0002241E" w:rsidRPr="0002241E" w14:paraId="6821F3E5" w14:textId="77777777" w:rsidTr="0002241E">
        <w:trPr>
          <w:cantSplit/>
          <w:trHeight w:val="348"/>
          <w:jc w:val="center"/>
        </w:trPr>
        <w:tc>
          <w:tcPr>
            <w:tcW w:w="1136" w:type="dxa"/>
            <w:vMerge/>
            <w:vAlign w:val="center"/>
          </w:tcPr>
          <w:p w14:paraId="003ECE66" w14:textId="77777777" w:rsidR="0002241E" w:rsidRPr="0002241E" w:rsidRDefault="0002241E" w:rsidP="0002241E">
            <w:pPr>
              <w:numPr>
                <w:ilvl w:val="0"/>
                <w:numId w:val="20"/>
              </w:numPr>
              <w:spacing w:after="0"/>
              <w:contextualSpacing/>
              <w:jc w:val="center"/>
              <w:rPr>
                <w:lang w:val="en-CA"/>
              </w:rPr>
            </w:pPr>
          </w:p>
        </w:tc>
        <w:tc>
          <w:tcPr>
            <w:tcW w:w="6344" w:type="dxa"/>
            <w:shd w:val="clear" w:color="auto" w:fill="auto"/>
          </w:tcPr>
          <w:p w14:paraId="0480DDC6" w14:textId="77777777" w:rsidR="0002241E" w:rsidRPr="0002241E" w:rsidRDefault="0002241E" w:rsidP="0002241E">
            <w:pPr>
              <w:numPr>
                <w:ilvl w:val="0"/>
                <w:numId w:val="15"/>
              </w:numPr>
              <w:spacing w:after="0"/>
              <w:contextualSpacing/>
              <w:rPr>
                <w:lang w:val="en-CA"/>
              </w:rPr>
            </w:pPr>
            <w:r w:rsidRPr="0002241E">
              <w:rPr>
                <w:lang w:val="en-CA"/>
              </w:rPr>
              <w:t>Current/future work &amp; collaboration opportunities</w:t>
            </w:r>
          </w:p>
        </w:tc>
        <w:tc>
          <w:tcPr>
            <w:tcW w:w="1369" w:type="dxa"/>
            <w:shd w:val="clear" w:color="auto" w:fill="auto"/>
            <w:vAlign w:val="center"/>
          </w:tcPr>
          <w:p w14:paraId="5EC8A9AE" w14:textId="77777777" w:rsidR="0002241E" w:rsidRPr="0002241E" w:rsidRDefault="0002241E" w:rsidP="0002241E">
            <w:pPr>
              <w:spacing w:after="0"/>
              <w:jc w:val="center"/>
              <w:rPr>
                <w:lang w:val="en-CA"/>
              </w:rPr>
            </w:pPr>
            <w:r w:rsidRPr="0002241E">
              <w:rPr>
                <w:lang w:val="en-CA"/>
              </w:rPr>
              <w:t>15</w:t>
            </w:r>
          </w:p>
        </w:tc>
        <w:tc>
          <w:tcPr>
            <w:tcW w:w="1948" w:type="dxa"/>
            <w:vMerge w:val="restart"/>
            <w:shd w:val="clear" w:color="auto" w:fill="auto"/>
            <w:vAlign w:val="center"/>
          </w:tcPr>
          <w:p w14:paraId="53225BA0" w14:textId="77777777" w:rsidR="0002241E" w:rsidRPr="0002241E" w:rsidRDefault="0002241E" w:rsidP="0002241E">
            <w:pPr>
              <w:spacing w:after="0"/>
              <w:rPr>
                <w:lang w:val="en-CA"/>
              </w:rPr>
            </w:pPr>
            <w:r w:rsidRPr="0002241E">
              <w:rPr>
                <w:lang w:val="en-CA"/>
              </w:rPr>
              <w:t>CODEX, CITES</w:t>
            </w:r>
          </w:p>
        </w:tc>
      </w:tr>
      <w:tr w:rsidR="0002241E" w:rsidRPr="0002241E" w14:paraId="7AD7F26A" w14:textId="77777777" w:rsidTr="0002241E">
        <w:trPr>
          <w:cantSplit/>
          <w:trHeight w:val="348"/>
          <w:jc w:val="center"/>
        </w:trPr>
        <w:tc>
          <w:tcPr>
            <w:tcW w:w="1136" w:type="dxa"/>
            <w:vMerge/>
            <w:vAlign w:val="center"/>
          </w:tcPr>
          <w:p w14:paraId="7996922C" w14:textId="77777777" w:rsidR="0002241E" w:rsidRPr="0002241E" w:rsidRDefault="0002241E" w:rsidP="0002241E">
            <w:pPr>
              <w:numPr>
                <w:ilvl w:val="0"/>
                <w:numId w:val="20"/>
              </w:numPr>
              <w:spacing w:after="0"/>
              <w:contextualSpacing/>
              <w:jc w:val="center"/>
              <w:rPr>
                <w:lang w:val="en-CA"/>
              </w:rPr>
            </w:pPr>
          </w:p>
        </w:tc>
        <w:tc>
          <w:tcPr>
            <w:tcW w:w="6344" w:type="dxa"/>
            <w:shd w:val="clear" w:color="auto" w:fill="auto"/>
          </w:tcPr>
          <w:p w14:paraId="20729719" w14:textId="77777777" w:rsidR="0002241E" w:rsidRPr="0002241E" w:rsidRDefault="0002241E" w:rsidP="0002241E">
            <w:pPr>
              <w:numPr>
                <w:ilvl w:val="0"/>
                <w:numId w:val="15"/>
              </w:numPr>
              <w:spacing w:after="0"/>
              <w:contextualSpacing/>
              <w:rPr>
                <w:lang w:val="en-CA"/>
              </w:rPr>
            </w:pPr>
            <w:r w:rsidRPr="0002241E">
              <w:rPr>
                <w:lang w:val="en-CA"/>
              </w:rPr>
              <w:t>Innovative Use of New Technologies and Information to Enhance the Implementation of CITES in the Amazon Region</w:t>
            </w:r>
          </w:p>
        </w:tc>
        <w:tc>
          <w:tcPr>
            <w:tcW w:w="1369" w:type="dxa"/>
            <w:shd w:val="clear" w:color="auto" w:fill="auto"/>
            <w:vAlign w:val="center"/>
          </w:tcPr>
          <w:p w14:paraId="671B7053" w14:textId="77777777" w:rsidR="0002241E" w:rsidRPr="0002241E" w:rsidRDefault="0002241E" w:rsidP="0002241E">
            <w:pPr>
              <w:spacing w:after="0"/>
              <w:jc w:val="center"/>
              <w:rPr>
                <w:lang w:val="en-CA"/>
              </w:rPr>
            </w:pPr>
            <w:r w:rsidRPr="0002241E">
              <w:rPr>
                <w:lang w:val="en-CA"/>
              </w:rPr>
              <w:t>25</w:t>
            </w:r>
          </w:p>
        </w:tc>
        <w:tc>
          <w:tcPr>
            <w:tcW w:w="1948" w:type="dxa"/>
            <w:vMerge/>
            <w:shd w:val="clear" w:color="auto" w:fill="auto"/>
            <w:vAlign w:val="center"/>
          </w:tcPr>
          <w:p w14:paraId="22B0FC9E" w14:textId="77777777" w:rsidR="0002241E" w:rsidRPr="0002241E" w:rsidRDefault="0002241E" w:rsidP="0002241E">
            <w:pPr>
              <w:spacing w:after="0"/>
              <w:rPr>
                <w:lang w:val="en-CA"/>
              </w:rPr>
            </w:pPr>
          </w:p>
        </w:tc>
      </w:tr>
      <w:tr w:rsidR="0002241E" w:rsidRPr="0002241E" w14:paraId="77061774" w14:textId="77777777" w:rsidTr="0002241E">
        <w:trPr>
          <w:cantSplit/>
          <w:trHeight w:val="348"/>
          <w:jc w:val="center"/>
        </w:trPr>
        <w:tc>
          <w:tcPr>
            <w:tcW w:w="1136" w:type="dxa"/>
            <w:vMerge w:val="restart"/>
            <w:vAlign w:val="center"/>
          </w:tcPr>
          <w:p w14:paraId="497BD57A" w14:textId="77777777" w:rsidR="0002241E" w:rsidRPr="0002241E" w:rsidRDefault="0002241E" w:rsidP="0002241E">
            <w:pPr>
              <w:numPr>
                <w:ilvl w:val="0"/>
                <w:numId w:val="20"/>
              </w:numPr>
              <w:spacing w:after="0"/>
              <w:contextualSpacing/>
              <w:rPr>
                <w:lang w:val="en-CA"/>
              </w:rPr>
            </w:pPr>
          </w:p>
        </w:tc>
        <w:tc>
          <w:tcPr>
            <w:tcW w:w="6344" w:type="dxa"/>
            <w:shd w:val="clear" w:color="auto" w:fill="auto"/>
          </w:tcPr>
          <w:p w14:paraId="2EB984A9" w14:textId="77777777" w:rsidR="0002241E" w:rsidRPr="0002241E" w:rsidRDefault="0002241E" w:rsidP="0002241E">
            <w:pPr>
              <w:spacing w:after="0"/>
              <w:rPr>
                <w:lang w:val="en-CA"/>
              </w:rPr>
            </w:pPr>
            <w:r w:rsidRPr="0002241E">
              <w:rPr>
                <w:lang w:val="en-CA"/>
              </w:rPr>
              <w:t>Capacity development</w:t>
            </w:r>
          </w:p>
        </w:tc>
        <w:tc>
          <w:tcPr>
            <w:tcW w:w="1369" w:type="dxa"/>
            <w:shd w:val="clear" w:color="auto" w:fill="auto"/>
            <w:vAlign w:val="center"/>
          </w:tcPr>
          <w:p w14:paraId="1E230AFB" w14:textId="77777777" w:rsidR="0002241E" w:rsidRPr="0002241E" w:rsidRDefault="0002241E" w:rsidP="0002241E">
            <w:pPr>
              <w:spacing w:after="0"/>
              <w:jc w:val="center"/>
              <w:rPr>
                <w:lang w:val="en-CA"/>
              </w:rPr>
            </w:pPr>
          </w:p>
        </w:tc>
        <w:tc>
          <w:tcPr>
            <w:tcW w:w="1948" w:type="dxa"/>
            <w:vMerge w:val="restart"/>
            <w:shd w:val="clear" w:color="auto" w:fill="auto"/>
            <w:vAlign w:val="center"/>
          </w:tcPr>
          <w:p w14:paraId="416912E1" w14:textId="77777777" w:rsidR="0002241E" w:rsidRPr="0002241E" w:rsidRDefault="0002241E" w:rsidP="0002241E">
            <w:pPr>
              <w:spacing w:after="0"/>
              <w:rPr>
                <w:lang w:val="en-CA"/>
              </w:rPr>
            </w:pPr>
            <w:r w:rsidRPr="0002241E">
              <w:rPr>
                <w:lang w:val="en-CA"/>
              </w:rPr>
              <w:t>IPPC Secretariat/ STDF</w:t>
            </w:r>
          </w:p>
        </w:tc>
      </w:tr>
      <w:tr w:rsidR="0002241E" w:rsidRPr="0002241E" w14:paraId="52301D5E" w14:textId="77777777" w:rsidTr="0002241E">
        <w:trPr>
          <w:cantSplit/>
          <w:trHeight w:val="348"/>
          <w:jc w:val="center"/>
        </w:trPr>
        <w:tc>
          <w:tcPr>
            <w:tcW w:w="1136" w:type="dxa"/>
            <w:vMerge/>
            <w:vAlign w:val="center"/>
          </w:tcPr>
          <w:p w14:paraId="3FBEB58D" w14:textId="77777777" w:rsidR="0002241E" w:rsidRPr="0002241E" w:rsidRDefault="0002241E" w:rsidP="0002241E">
            <w:pPr>
              <w:numPr>
                <w:ilvl w:val="0"/>
                <w:numId w:val="20"/>
              </w:numPr>
              <w:spacing w:after="0"/>
              <w:contextualSpacing/>
              <w:jc w:val="center"/>
              <w:rPr>
                <w:lang w:val="en-CA"/>
              </w:rPr>
            </w:pPr>
          </w:p>
        </w:tc>
        <w:tc>
          <w:tcPr>
            <w:tcW w:w="6344" w:type="dxa"/>
          </w:tcPr>
          <w:p w14:paraId="1247B82B" w14:textId="77777777" w:rsidR="0002241E" w:rsidRPr="0002241E" w:rsidRDefault="0002241E" w:rsidP="0002241E">
            <w:pPr>
              <w:numPr>
                <w:ilvl w:val="0"/>
                <w:numId w:val="15"/>
              </w:numPr>
              <w:spacing w:after="0"/>
              <w:contextualSpacing/>
              <w:rPr>
                <w:lang w:val="en-CA"/>
              </w:rPr>
            </w:pPr>
            <w:r w:rsidRPr="0002241E">
              <w:rPr>
                <w:lang w:val="en-CA"/>
              </w:rPr>
              <w:t>Existing business tools</w:t>
            </w:r>
          </w:p>
        </w:tc>
        <w:tc>
          <w:tcPr>
            <w:tcW w:w="1369" w:type="dxa"/>
            <w:shd w:val="clear" w:color="auto" w:fill="auto"/>
            <w:vAlign w:val="center"/>
          </w:tcPr>
          <w:p w14:paraId="64710A35" w14:textId="77777777" w:rsidR="0002241E" w:rsidRPr="0002241E" w:rsidRDefault="0002241E" w:rsidP="0002241E">
            <w:pPr>
              <w:spacing w:after="0"/>
              <w:jc w:val="center"/>
              <w:rPr>
                <w:lang w:val="en-CA"/>
              </w:rPr>
            </w:pPr>
          </w:p>
        </w:tc>
        <w:tc>
          <w:tcPr>
            <w:tcW w:w="1948" w:type="dxa"/>
            <w:vMerge/>
            <w:shd w:val="clear" w:color="auto" w:fill="auto"/>
            <w:vAlign w:val="center"/>
          </w:tcPr>
          <w:p w14:paraId="5FA1831F" w14:textId="77777777" w:rsidR="0002241E" w:rsidRPr="0002241E" w:rsidRDefault="0002241E" w:rsidP="0002241E">
            <w:pPr>
              <w:spacing w:after="0"/>
              <w:rPr>
                <w:lang w:val="en-CA"/>
              </w:rPr>
            </w:pPr>
          </w:p>
        </w:tc>
      </w:tr>
      <w:tr w:rsidR="0002241E" w:rsidRPr="0002241E" w14:paraId="5286DD00" w14:textId="77777777" w:rsidTr="0002241E">
        <w:trPr>
          <w:cantSplit/>
          <w:trHeight w:val="348"/>
          <w:jc w:val="center"/>
        </w:trPr>
        <w:tc>
          <w:tcPr>
            <w:tcW w:w="1136" w:type="dxa"/>
            <w:vMerge/>
            <w:vAlign w:val="center"/>
          </w:tcPr>
          <w:p w14:paraId="1AE38893" w14:textId="77777777" w:rsidR="0002241E" w:rsidRPr="0002241E" w:rsidRDefault="0002241E" w:rsidP="0002241E">
            <w:pPr>
              <w:numPr>
                <w:ilvl w:val="0"/>
                <w:numId w:val="20"/>
              </w:numPr>
              <w:spacing w:after="0"/>
              <w:contextualSpacing/>
              <w:jc w:val="center"/>
              <w:rPr>
                <w:lang w:val="en-CA"/>
              </w:rPr>
            </w:pPr>
          </w:p>
        </w:tc>
        <w:tc>
          <w:tcPr>
            <w:tcW w:w="6344" w:type="dxa"/>
          </w:tcPr>
          <w:p w14:paraId="25FB38AF" w14:textId="77777777" w:rsidR="0002241E" w:rsidRPr="0002241E" w:rsidRDefault="0002241E" w:rsidP="0002241E">
            <w:pPr>
              <w:numPr>
                <w:ilvl w:val="0"/>
                <w:numId w:val="8"/>
              </w:numPr>
              <w:spacing w:after="0"/>
              <w:contextualSpacing/>
              <w:rPr>
                <w:lang w:val="en-CA"/>
              </w:rPr>
            </w:pPr>
            <w:r w:rsidRPr="0002241E">
              <w:rPr>
                <w:lang w:val="en-CA"/>
              </w:rPr>
              <w:t>Future development</w:t>
            </w:r>
          </w:p>
        </w:tc>
        <w:tc>
          <w:tcPr>
            <w:tcW w:w="1369" w:type="dxa"/>
            <w:shd w:val="clear" w:color="auto" w:fill="auto"/>
            <w:vAlign w:val="center"/>
          </w:tcPr>
          <w:p w14:paraId="31BA5DC7" w14:textId="77777777" w:rsidR="0002241E" w:rsidRPr="0002241E" w:rsidRDefault="0002241E" w:rsidP="0002241E">
            <w:pPr>
              <w:spacing w:after="0"/>
              <w:jc w:val="center"/>
              <w:rPr>
                <w:lang w:val="en-CA"/>
              </w:rPr>
            </w:pPr>
          </w:p>
        </w:tc>
        <w:tc>
          <w:tcPr>
            <w:tcW w:w="1948" w:type="dxa"/>
            <w:vMerge/>
            <w:shd w:val="clear" w:color="auto" w:fill="auto"/>
            <w:vAlign w:val="center"/>
          </w:tcPr>
          <w:p w14:paraId="55AC6AB7" w14:textId="77777777" w:rsidR="0002241E" w:rsidRPr="0002241E" w:rsidRDefault="0002241E" w:rsidP="0002241E">
            <w:pPr>
              <w:spacing w:after="0"/>
              <w:rPr>
                <w:lang w:val="en-CA"/>
              </w:rPr>
            </w:pPr>
          </w:p>
        </w:tc>
      </w:tr>
      <w:tr w:rsidR="0002241E" w:rsidRPr="0002241E" w14:paraId="473BC319" w14:textId="77777777" w:rsidTr="0002241E">
        <w:trPr>
          <w:cantSplit/>
          <w:trHeight w:val="348"/>
          <w:jc w:val="center"/>
        </w:trPr>
        <w:tc>
          <w:tcPr>
            <w:tcW w:w="1136" w:type="dxa"/>
            <w:vMerge/>
            <w:vAlign w:val="center"/>
          </w:tcPr>
          <w:p w14:paraId="1AD91FC5" w14:textId="77777777" w:rsidR="0002241E" w:rsidRPr="0002241E" w:rsidRDefault="0002241E" w:rsidP="0002241E">
            <w:pPr>
              <w:numPr>
                <w:ilvl w:val="0"/>
                <w:numId w:val="20"/>
              </w:numPr>
              <w:spacing w:after="0"/>
              <w:contextualSpacing/>
              <w:jc w:val="center"/>
              <w:rPr>
                <w:lang w:val="en-CA"/>
              </w:rPr>
            </w:pPr>
          </w:p>
        </w:tc>
        <w:tc>
          <w:tcPr>
            <w:tcW w:w="6344" w:type="dxa"/>
          </w:tcPr>
          <w:p w14:paraId="16A48915" w14:textId="77777777" w:rsidR="0002241E" w:rsidRPr="0002241E" w:rsidRDefault="0002241E" w:rsidP="0002241E">
            <w:pPr>
              <w:numPr>
                <w:ilvl w:val="0"/>
                <w:numId w:val="8"/>
              </w:numPr>
              <w:spacing w:after="0"/>
              <w:contextualSpacing/>
              <w:rPr>
                <w:lang w:val="en-CA"/>
              </w:rPr>
            </w:pPr>
            <w:r w:rsidRPr="0002241E">
              <w:rPr>
                <w:lang w:val="en-CA"/>
              </w:rPr>
              <w:t>Collaboration with CITES and UNESCAP</w:t>
            </w:r>
          </w:p>
        </w:tc>
        <w:tc>
          <w:tcPr>
            <w:tcW w:w="1369" w:type="dxa"/>
            <w:shd w:val="clear" w:color="auto" w:fill="auto"/>
            <w:vAlign w:val="center"/>
          </w:tcPr>
          <w:p w14:paraId="412BAD2A" w14:textId="77777777" w:rsidR="0002241E" w:rsidRPr="0002241E" w:rsidRDefault="0002241E" w:rsidP="0002241E">
            <w:pPr>
              <w:spacing w:after="0"/>
              <w:jc w:val="center"/>
              <w:rPr>
                <w:lang w:val="en-CA"/>
              </w:rPr>
            </w:pPr>
          </w:p>
        </w:tc>
        <w:tc>
          <w:tcPr>
            <w:tcW w:w="1948" w:type="dxa"/>
            <w:vMerge/>
            <w:shd w:val="clear" w:color="auto" w:fill="auto"/>
            <w:vAlign w:val="center"/>
          </w:tcPr>
          <w:p w14:paraId="439F097C" w14:textId="77777777" w:rsidR="0002241E" w:rsidRPr="0002241E" w:rsidRDefault="0002241E" w:rsidP="0002241E">
            <w:pPr>
              <w:spacing w:after="0"/>
              <w:rPr>
                <w:lang w:val="en-CA"/>
              </w:rPr>
            </w:pPr>
          </w:p>
        </w:tc>
      </w:tr>
      <w:tr w:rsidR="0002241E" w:rsidRPr="0002241E" w14:paraId="78202008" w14:textId="77777777" w:rsidTr="0002241E">
        <w:trPr>
          <w:cantSplit/>
          <w:jc w:val="center"/>
        </w:trPr>
        <w:tc>
          <w:tcPr>
            <w:tcW w:w="1136" w:type="dxa"/>
            <w:vMerge w:val="restart"/>
            <w:vAlign w:val="center"/>
          </w:tcPr>
          <w:p w14:paraId="5AB862E2" w14:textId="77777777" w:rsidR="0002241E" w:rsidRPr="0002241E" w:rsidRDefault="0002241E" w:rsidP="0002241E">
            <w:pPr>
              <w:numPr>
                <w:ilvl w:val="0"/>
                <w:numId w:val="20"/>
              </w:numPr>
              <w:spacing w:after="0"/>
              <w:contextualSpacing/>
              <w:rPr>
                <w:lang w:val="en-CA"/>
              </w:rPr>
            </w:pPr>
          </w:p>
        </w:tc>
        <w:tc>
          <w:tcPr>
            <w:tcW w:w="6344" w:type="dxa"/>
          </w:tcPr>
          <w:p w14:paraId="6EB658E8" w14:textId="77777777" w:rsidR="0002241E" w:rsidRPr="0002241E" w:rsidRDefault="0002241E" w:rsidP="0002241E">
            <w:pPr>
              <w:spacing w:after="0"/>
              <w:rPr>
                <w:lang w:val="en-CA"/>
              </w:rPr>
            </w:pPr>
            <w:r w:rsidRPr="0002241E">
              <w:rPr>
                <w:lang w:val="en-CA"/>
              </w:rPr>
              <w:t xml:space="preserve">Development of the funding strategy </w:t>
            </w:r>
          </w:p>
        </w:tc>
        <w:tc>
          <w:tcPr>
            <w:tcW w:w="1369" w:type="dxa"/>
            <w:shd w:val="clear" w:color="auto" w:fill="auto"/>
            <w:vAlign w:val="center"/>
          </w:tcPr>
          <w:p w14:paraId="647DB032" w14:textId="77777777" w:rsidR="0002241E" w:rsidRPr="0002241E" w:rsidRDefault="0002241E" w:rsidP="0002241E">
            <w:pPr>
              <w:spacing w:after="0"/>
              <w:jc w:val="center"/>
              <w:rPr>
                <w:lang w:val="en-CA"/>
              </w:rPr>
            </w:pPr>
          </w:p>
        </w:tc>
        <w:tc>
          <w:tcPr>
            <w:tcW w:w="1948" w:type="dxa"/>
            <w:vMerge/>
            <w:shd w:val="clear" w:color="auto" w:fill="auto"/>
            <w:vAlign w:val="center"/>
          </w:tcPr>
          <w:p w14:paraId="44DD4801" w14:textId="77777777" w:rsidR="0002241E" w:rsidRPr="0002241E" w:rsidRDefault="0002241E" w:rsidP="0002241E">
            <w:pPr>
              <w:spacing w:after="0"/>
              <w:rPr>
                <w:lang w:val="en-CA"/>
              </w:rPr>
            </w:pPr>
          </w:p>
        </w:tc>
      </w:tr>
      <w:tr w:rsidR="0002241E" w:rsidRPr="0002241E" w14:paraId="67C1309E" w14:textId="77777777" w:rsidTr="0002241E">
        <w:trPr>
          <w:cantSplit/>
          <w:jc w:val="center"/>
        </w:trPr>
        <w:tc>
          <w:tcPr>
            <w:tcW w:w="1136" w:type="dxa"/>
            <w:vMerge/>
            <w:vAlign w:val="center"/>
          </w:tcPr>
          <w:p w14:paraId="0379D2AA" w14:textId="77777777" w:rsidR="0002241E" w:rsidRPr="0002241E" w:rsidRDefault="0002241E" w:rsidP="0002241E">
            <w:pPr>
              <w:numPr>
                <w:ilvl w:val="0"/>
                <w:numId w:val="20"/>
              </w:numPr>
              <w:spacing w:after="0"/>
              <w:contextualSpacing/>
              <w:jc w:val="center"/>
              <w:rPr>
                <w:lang w:val="en-CA"/>
              </w:rPr>
            </w:pPr>
          </w:p>
        </w:tc>
        <w:tc>
          <w:tcPr>
            <w:tcW w:w="6344" w:type="dxa"/>
          </w:tcPr>
          <w:p w14:paraId="73936BB1" w14:textId="77777777" w:rsidR="0002241E" w:rsidRPr="0002241E" w:rsidRDefault="0002241E" w:rsidP="0002241E">
            <w:pPr>
              <w:numPr>
                <w:ilvl w:val="0"/>
                <w:numId w:val="15"/>
              </w:numPr>
              <w:spacing w:after="0"/>
              <w:contextualSpacing/>
              <w:rPr>
                <w:lang w:val="en-CA"/>
              </w:rPr>
            </w:pPr>
            <w:r w:rsidRPr="0002241E">
              <w:rPr>
                <w:lang w:val="en-CA"/>
              </w:rPr>
              <w:t>Consultancy</w:t>
            </w:r>
          </w:p>
        </w:tc>
        <w:tc>
          <w:tcPr>
            <w:tcW w:w="1369" w:type="dxa"/>
            <w:shd w:val="clear" w:color="auto" w:fill="auto"/>
            <w:vAlign w:val="center"/>
          </w:tcPr>
          <w:p w14:paraId="79975E62" w14:textId="77777777" w:rsidR="0002241E" w:rsidRPr="0002241E" w:rsidRDefault="0002241E" w:rsidP="0002241E">
            <w:pPr>
              <w:spacing w:after="0"/>
              <w:jc w:val="center"/>
              <w:rPr>
                <w:lang w:val="en-CA"/>
              </w:rPr>
            </w:pPr>
            <w:r w:rsidRPr="0002241E">
              <w:rPr>
                <w:lang w:val="en-CA"/>
              </w:rPr>
              <w:t>12</w:t>
            </w:r>
          </w:p>
        </w:tc>
        <w:tc>
          <w:tcPr>
            <w:tcW w:w="1948" w:type="dxa"/>
            <w:vMerge w:val="restart"/>
            <w:shd w:val="clear" w:color="auto" w:fill="auto"/>
            <w:vAlign w:val="center"/>
          </w:tcPr>
          <w:p w14:paraId="3F0CC3D2" w14:textId="77777777" w:rsidR="0002241E" w:rsidRPr="0002241E" w:rsidRDefault="0002241E" w:rsidP="0002241E">
            <w:pPr>
              <w:spacing w:after="0"/>
              <w:rPr>
                <w:lang w:val="en-CA"/>
              </w:rPr>
            </w:pPr>
            <w:r w:rsidRPr="0002241E">
              <w:rPr>
                <w:lang w:val="en-CA"/>
              </w:rPr>
              <w:t>IPPC Secretariat/ STDF</w:t>
            </w:r>
          </w:p>
        </w:tc>
      </w:tr>
      <w:tr w:rsidR="0002241E" w:rsidRPr="0002241E" w14:paraId="5109D117" w14:textId="77777777" w:rsidTr="0002241E">
        <w:trPr>
          <w:cantSplit/>
          <w:jc w:val="center"/>
        </w:trPr>
        <w:tc>
          <w:tcPr>
            <w:tcW w:w="1136" w:type="dxa"/>
            <w:vMerge/>
            <w:vAlign w:val="center"/>
          </w:tcPr>
          <w:p w14:paraId="79731BB9" w14:textId="77777777" w:rsidR="0002241E" w:rsidRPr="0002241E" w:rsidRDefault="0002241E" w:rsidP="0002241E">
            <w:pPr>
              <w:numPr>
                <w:ilvl w:val="0"/>
                <w:numId w:val="20"/>
              </w:numPr>
              <w:spacing w:after="0"/>
              <w:contextualSpacing/>
              <w:jc w:val="center"/>
              <w:rPr>
                <w:lang w:val="en-CA"/>
              </w:rPr>
            </w:pPr>
          </w:p>
        </w:tc>
        <w:tc>
          <w:tcPr>
            <w:tcW w:w="6344" w:type="dxa"/>
          </w:tcPr>
          <w:p w14:paraId="4FFB91DA" w14:textId="77777777" w:rsidR="0002241E" w:rsidRPr="0002241E" w:rsidRDefault="0002241E" w:rsidP="0002241E">
            <w:pPr>
              <w:numPr>
                <w:ilvl w:val="0"/>
                <w:numId w:val="12"/>
              </w:numPr>
              <w:spacing w:after="0"/>
              <w:contextualSpacing/>
              <w:rPr>
                <w:lang w:val="en-CA"/>
              </w:rPr>
            </w:pPr>
            <w:r w:rsidRPr="0002241E">
              <w:rPr>
                <w:lang w:val="en-CA"/>
              </w:rPr>
              <w:t>Analysis of costs and options</w:t>
            </w:r>
          </w:p>
        </w:tc>
        <w:tc>
          <w:tcPr>
            <w:tcW w:w="1369" w:type="dxa"/>
            <w:shd w:val="clear" w:color="auto" w:fill="auto"/>
            <w:vAlign w:val="center"/>
          </w:tcPr>
          <w:p w14:paraId="0117259A" w14:textId="77777777" w:rsidR="0002241E" w:rsidRPr="0002241E" w:rsidRDefault="0002241E" w:rsidP="0002241E">
            <w:pPr>
              <w:spacing w:after="0"/>
              <w:jc w:val="center"/>
              <w:rPr>
                <w:lang w:val="en-CA"/>
              </w:rPr>
            </w:pPr>
          </w:p>
        </w:tc>
        <w:tc>
          <w:tcPr>
            <w:tcW w:w="1948" w:type="dxa"/>
            <w:vMerge/>
            <w:shd w:val="clear" w:color="auto" w:fill="auto"/>
            <w:vAlign w:val="center"/>
          </w:tcPr>
          <w:p w14:paraId="700A2A68" w14:textId="77777777" w:rsidR="0002241E" w:rsidRPr="0002241E" w:rsidRDefault="0002241E" w:rsidP="0002241E">
            <w:pPr>
              <w:spacing w:after="0"/>
              <w:rPr>
                <w:lang w:val="en-CA"/>
              </w:rPr>
            </w:pPr>
          </w:p>
        </w:tc>
      </w:tr>
      <w:tr w:rsidR="0002241E" w:rsidRPr="0002241E" w14:paraId="5A77E183" w14:textId="77777777" w:rsidTr="0002241E">
        <w:trPr>
          <w:cantSplit/>
          <w:jc w:val="center"/>
        </w:trPr>
        <w:tc>
          <w:tcPr>
            <w:tcW w:w="1136" w:type="dxa"/>
            <w:vMerge/>
            <w:vAlign w:val="center"/>
          </w:tcPr>
          <w:p w14:paraId="00A74796" w14:textId="77777777" w:rsidR="0002241E" w:rsidRPr="0002241E" w:rsidRDefault="0002241E" w:rsidP="0002241E">
            <w:pPr>
              <w:numPr>
                <w:ilvl w:val="0"/>
                <w:numId w:val="20"/>
              </w:numPr>
              <w:spacing w:after="0"/>
              <w:contextualSpacing/>
              <w:jc w:val="center"/>
              <w:rPr>
                <w:lang w:val="en-CA"/>
              </w:rPr>
            </w:pPr>
          </w:p>
        </w:tc>
        <w:tc>
          <w:tcPr>
            <w:tcW w:w="6344" w:type="dxa"/>
          </w:tcPr>
          <w:p w14:paraId="2C71EC02" w14:textId="77777777" w:rsidR="0002241E" w:rsidRPr="0002241E" w:rsidRDefault="0002241E" w:rsidP="0002241E">
            <w:pPr>
              <w:numPr>
                <w:ilvl w:val="0"/>
                <w:numId w:val="12"/>
              </w:numPr>
              <w:spacing w:after="0"/>
              <w:contextualSpacing/>
              <w:rPr>
                <w:lang w:val="en-CA"/>
              </w:rPr>
            </w:pPr>
            <w:r w:rsidRPr="0002241E">
              <w:rPr>
                <w:lang w:val="en-CA"/>
              </w:rPr>
              <w:t>Expert meeting</w:t>
            </w:r>
          </w:p>
        </w:tc>
        <w:tc>
          <w:tcPr>
            <w:tcW w:w="1369" w:type="dxa"/>
            <w:shd w:val="clear" w:color="auto" w:fill="auto"/>
            <w:vAlign w:val="center"/>
          </w:tcPr>
          <w:p w14:paraId="2977CA24" w14:textId="77777777" w:rsidR="0002241E" w:rsidRPr="0002241E" w:rsidRDefault="0002241E" w:rsidP="0002241E">
            <w:pPr>
              <w:spacing w:after="0"/>
              <w:jc w:val="center"/>
              <w:rPr>
                <w:lang w:val="en-CA"/>
              </w:rPr>
            </w:pPr>
          </w:p>
        </w:tc>
        <w:tc>
          <w:tcPr>
            <w:tcW w:w="1948" w:type="dxa"/>
            <w:vMerge/>
            <w:shd w:val="clear" w:color="auto" w:fill="auto"/>
            <w:vAlign w:val="center"/>
          </w:tcPr>
          <w:p w14:paraId="73929C02" w14:textId="77777777" w:rsidR="0002241E" w:rsidRPr="0002241E" w:rsidRDefault="0002241E" w:rsidP="0002241E">
            <w:pPr>
              <w:spacing w:after="0"/>
              <w:rPr>
                <w:lang w:val="en-CA"/>
              </w:rPr>
            </w:pPr>
          </w:p>
        </w:tc>
      </w:tr>
      <w:tr w:rsidR="0002241E" w:rsidRPr="0002241E" w14:paraId="74DB1964" w14:textId="77777777" w:rsidTr="0002241E">
        <w:trPr>
          <w:cantSplit/>
          <w:trHeight w:val="324"/>
          <w:jc w:val="center"/>
        </w:trPr>
        <w:tc>
          <w:tcPr>
            <w:tcW w:w="1136" w:type="dxa"/>
            <w:vMerge/>
            <w:vAlign w:val="center"/>
          </w:tcPr>
          <w:p w14:paraId="44134C82" w14:textId="77777777" w:rsidR="0002241E" w:rsidRPr="0002241E" w:rsidRDefault="0002241E" w:rsidP="0002241E">
            <w:pPr>
              <w:numPr>
                <w:ilvl w:val="0"/>
                <w:numId w:val="20"/>
              </w:numPr>
              <w:spacing w:after="0"/>
              <w:contextualSpacing/>
              <w:jc w:val="center"/>
              <w:rPr>
                <w:lang w:val="en-CA"/>
              </w:rPr>
            </w:pPr>
          </w:p>
        </w:tc>
        <w:tc>
          <w:tcPr>
            <w:tcW w:w="6344" w:type="dxa"/>
          </w:tcPr>
          <w:p w14:paraId="336B02F9" w14:textId="77777777" w:rsidR="0002241E" w:rsidRPr="0002241E" w:rsidRDefault="0002241E" w:rsidP="0002241E">
            <w:pPr>
              <w:numPr>
                <w:ilvl w:val="0"/>
                <w:numId w:val="15"/>
              </w:numPr>
              <w:spacing w:after="0"/>
              <w:contextualSpacing/>
              <w:rPr>
                <w:lang w:val="en-CA"/>
              </w:rPr>
            </w:pPr>
            <w:r w:rsidRPr="0002241E">
              <w:rPr>
                <w:lang w:val="en-CA"/>
              </w:rPr>
              <w:t>Output and next step</w:t>
            </w:r>
          </w:p>
        </w:tc>
        <w:tc>
          <w:tcPr>
            <w:tcW w:w="1369" w:type="dxa"/>
            <w:shd w:val="clear" w:color="auto" w:fill="auto"/>
          </w:tcPr>
          <w:p w14:paraId="2B5DEBF1" w14:textId="77777777" w:rsidR="0002241E" w:rsidRPr="0002241E" w:rsidRDefault="0002241E" w:rsidP="0002241E">
            <w:pPr>
              <w:spacing w:after="0"/>
              <w:rPr>
                <w:lang w:val="en-CA"/>
              </w:rPr>
            </w:pPr>
          </w:p>
        </w:tc>
        <w:tc>
          <w:tcPr>
            <w:tcW w:w="1948" w:type="dxa"/>
            <w:vMerge/>
            <w:shd w:val="clear" w:color="auto" w:fill="auto"/>
            <w:vAlign w:val="center"/>
          </w:tcPr>
          <w:p w14:paraId="4D313C17" w14:textId="77777777" w:rsidR="0002241E" w:rsidRPr="0002241E" w:rsidRDefault="0002241E" w:rsidP="0002241E">
            <w:pPr>
              <w:spacing w:after="0"/>
              <w:rPr>
                <w:lang w:val="en-CA"/>
              </w:rPr>
            </w:pPr>
          </w:p>
        </w:tc>
      </w:tr>
      <w:tr w:rsidR="0002241E" w:rsidRPr="0002241E" w14:paraId="1C5641CD" w14:textId="77777777" w:rsidTr="0002241E">
        <w:trPr>
          <w:cantSplit/>
          <w:trHeight w:val="324"/>
          <w:jc w:val="center"/>
        </w:trPr>
        <w:tc>
          <w:tcPr>
            <w:tcW w:w="1136" w:type="dxa"/>
            <w:vMerge w:val="restart"/>
            <w:vAlign w:val="center"/>
          </w:tcPr>
          <w:p w14:paraId="146A05C5" w14:textId="77777777" w:rsidR="0002241E" w:rsidRPr="0002241E" w:rsidRDefault="0002241E" w:rsidP="0002241E">
            <w:pPr>
              <w:numPr>
                <w:ilvl w:val="0"/>
                <w:numId w:val="20"/>
              </w:numPr>
              <w:spacing w:after="0"/>
              <w:contextualSpacing/>
              <w:rPr>
                <w:lang w:val="en-CA"/>
              </w:rPr>
            </w:pPr>
          </w:p>
        </w:tc>
        <w:tc>
          <w:tcPr>
            <w:tcW w:w="6344" w:type="dxa"/>
          </w:tcPr>
          <w:p w14:paraId="426C1462" w14:textId="77777777" w:rsidR="0002241E" w:rsidRPr="0002241E" w:rsidRDefault="0002241E" w:rsidP="0002241E">
            <w:pPr>
              <w:spacing w:after="0"/>
              <w:ind w:left="16"/>
              <w:rPr>
                <w:lang w:val="en-CA"/>
              </w:rPr>
            </w:pPr>
            <w:r w:rsidRPr="0002241E">
              <w:rPr>
                <w:lang w:val="en-CA"/>
              </w:rPr>
              <w:t xml:space="preserve">2017 - Year of Trade Facilitation </w:t>
            </w:r>
          </w:p>
        </w:tc>
        <w:tc>
          <w:tcPr>
            <w:tcW w:w="1369" w:type="dxa"/>
            <w:shd w:val="clear" w:color="auto" w:fill="auto"/>
          </w:tcPr>
          <w:p w14:paraId="4756C7D2" w14:textId="77777777" w:rsidR="0002241E" w:rsidRPr="0002241E" w:rsidRDefault="0002241E" w:rsidP="0002241E">
            <w:pPr>
              <w:spacing w:after="0"/>
              <w:rPr>
                <w:lang w:val="en-CA"/>
              </w:rPr>
            </w:pPr>
          </w:p>
        </w:tc>
        <w:tc>
          <w:tcPr>
            <w:tcW w:w="1948" w:type="dxa"/>
            <w:vMerge w:val="restart"/>
            <w:shd w:val="clear" w:color="auto" w:fill="auto"/>
            <w:vAlign w:val="center"/>
          </w:tcPr>
          <w:p w14:paraId="673CA36C" w14:textId="77777777" w:rsidR="0002241E" w:rsidRPr="0002241E" w:rsidRDefault="0002241E" w:rsidP="0002241E">
            <w:pPr>
              <w:spacing w:after="0"/>
              <w:rPr>
                <w:lang w:val="en-CA"/>
              </w:rPr>
            </w:pPr>
            <w:r w:rsidRPr="0002241E">
              <w:rPr>
                <w:lang w:val="en-CA"/>
              </w:rPr>
              <w:t>All</w:t>
            </w:r>
          </w:p>
        </w:tc>
      </w:tr>
      <w:tr w:rsidR="0002241E" w:rsidRPr="0002241E" w14:paraId="515D3D71" w14:textId="77777777" w:rsidTr="0002241E">
        <w:trPr>
          <w:cantSplit/>
          <w:trHeight w:val="324"/>
          <w:jc w:val="center"/>
        </w:trPr>
        <w:tc>
          <w:tcPr>
            <w:tcW w:w="1136" w:type="dxa"/>
            <w:vMerge/>
            <w:vAlign w:val="center"/>
          </w:tcPr>
          <w:p w14:paraId="3427079A" w14:textId="77777777" w:rsidR="0002241E" w:rsidRPr="0002241E" w:rsidRDefault="0002241E" w:rsidP="0002241E">
            <w:pPr>
              <w:numPr>
                <w:ilvl w:val="0"/>
                <w:numId w:val="20"/>
              </w:numPr>
              <w:spacing w:after="0"/>
              <w:contextualSpacing/>
              <w:jc w:val="center"/>
              <w:rPr>
                <w:lang w:val="en-CA"/>
              </w:rPr>
            </w:pPr>
          </w:p>
        </w:tc>
        <w:tc>
          <w:tcPr>
            <w:tcW w:w="6344" w:type="dxa"/>
          </w:tcPr>
          <w:p w14:paraId="585B6647" w14:textId="77777777" w:rsidR="0002241E" w:rsidRPr="0002241E" w:rsidRDefault="0002241E" w:rsidP="0002241E">
            <w:pPr>
              <w:numPr>
                <w:ilvl w:val="0"/>
                <w:numId w:val="15"/>
              </w:numPr>
              <w:spacing w:after="0"/>
              <w:contextualSpacing/>
              <w:rPr>
                <w:lang w:val="en-CA"/>
              </w:rPr>
            </w:pPr>
            <w:r w:rsidRPr="0002241E">
              <w:rPr>
                <w:lang w:val="en-CA"/>
              </w:rPr>
              <w:t>WTO collaboration and stakeholder engagement</w:t>
            </w:r>
          </w:p>
        </w:tc>
        <w:tc>
          <w:tcPr>
            <w:tcW w:w="1369" w:type="dxa"/>
            <w:shd w:val="clear" w:color="auto" w:fill="auto"/>
          </w:tcPr>
          <w:p w14:paraId="456F88A3" w14:textId="77777777" w:rsidR="0002241E" w:rsidRPr="0002241E" w:rsidRDefault="0002241E" w:rsidP="0002241E">
            <w:pPr>
              <w:spacing w:after="0"/>
              <w:rPr>
                <w:lang w:val="en-CA"/>
              </w:rPr>
            </w:pPr>
          </w:p>
        </w:tc>
        <w:tc>
          <w:tcPr>
            <w:tcW w:w="1948" w:type="dxa"/>
            <w:vMerge/>
            <w:shd w:val="clear" w:color="auto" w:fill="auto"/>
            <w:vAlign w:val="center"/>
          </w:tcPr>
          <w:p w14:paraId="62D99CB2" w14:textId="77777777" w:rsidR="0002241E" w:rsidRPr="0002241E" w:rsidRDefault="0002241E" w:rsidP="0002241E">
            <w:pPr>
              <w:spacing w:after="0"/>
              <w:rPr>
                <w:lang w:val="en-CA"/>
              </w:rPr>
            </w:pPr>
          </w:p>
        </w:tc>
      </w:tr>
      <w:tr w:rsidR="0002241E" w:rsidRPr="0002241E" w14:paraId="0273D6F6" w14:textId="77777777" w:rsidTr="0002241E">
        <w:trPr>
          <w:cantSplit/>
          <w:trHeight w:val="324"/>
          <w:jc w:val="center"/>
        </w:trPr>
        <w:tc>
          <w:tcPr>
            <w:tcW w:w="1136" w:type="dxa"/>
            <w:vMerge/>
            <w:vAlign w:val="center"/>
          </w:tcPr>
          <w:p w14:paraId="010AFDA8" w14:textId="77777777" w:rsidR="0002241E" w:rsidRPr="0002241E" w:rsidRDefault="0002241E" w:rsidP="0002241E">
            <w:pPr>
              <w:numPr>
                <w:ilvl w:val="0"/>
                <w:numId w:val="20"/>
              </w:numPr>
              <w:spacing w:after="0"/>
              <w:contextualSpacing/>
              <w:jc w:val="center"/>
              <w:rPr>
                <w:lang w:val="en-CA"/>
              </w:rPr>
            </w:pPr>
          </w:p>
        </w:tc>
        <w:tc>
          <w:tcPr>
            <w:tcW w:w="6344" w:type="dxa"/>
          </w:tcPr>
          <w:p w14:paraId="1DB1D533" w14:textId="77777777" w:rsidR="0002241E" w:rsidRPr="0002241E" w:rsidRDefault="0002241E" w:rsidP="0002241E">
            <w:pPr>
              <w:numPr>
                <w:ilvl w:val="0"/>
                <w:numId w:val="13"/>
              </w:numPr>
              <w:spacing w:after="0"/>
              <w:contextualSpacing/>
              <w:rPr>
                <w:lang w:val="en-CA"/>
              </w:rPr>
            </w:pPr>
            <w:r w:rsidRPr="0002241E">
              <w:rPr>
                <w:lang w:val="en-CA"/>
              </w:rPr>
              <w:t>Potential workshops/symposia  -  Africa, South America and International</w:t>
            </w:r>
          </w:p>
        </w:tc>
        <w:tc>
          <w:tcPr>
            <w:tcW w:w="1369" w:type="dxa"/>
            <w:shd w:val="clear" w:color="auto" w:fill="auto"/>
          </w:tcPr>
          <w:p w14:paraId="4A4CBDB9" w14:textId="77777777" w:rsidR="0002241E" w:rsidRPr="0002241E" w:rsidRDefault="0002241E" w:rsidP="0002241E">
            <w:pPr>
              <w:spacing w:after="0"/>
              <w:rPr>
                <w:lang w:val="en-CA"/>
              </w:rPr>
            </w:pPr>
          </w:p>
        </w:tc>
        <w:tc>
          <w:tcPr>
            <w:tcW w:w="1948" w:type="dxa"/>
            <w:vMerge/>
            <w:shd w:val="clear" w:color="auto" w:fill="auto"/>
            <w:vAlign w:val="center"/>
          </w:tcPr>
          <w:p w14:paraId="7D175063" w14:textId="77777777" w:rsidR="0002241E" w:rsidRPr="0002241E" w:rsidRDefault="0002241E" w:rsidP="0002241E">
            <w:pPr>
              <w:spacing w:after="0"/>
              <w:rPr>
                <w:lang w:val="en-CA"/>
              </w:rPr>
            </w:pPr>
          </w:p>
        </w:tc>
      </w:tr>
      <w:tr w:rsidR="0002241E" w:rsidRPr="0002241E" w14:paraId="71438D3D" w14:textId="77777777" w:rsidTr="0002241E">
        <w:trPr>
          <w:cantSplit/>
          <w:trHeight w:val="324"/>
          <w:jc w:val="center"/>
        </w:trPr>
        <w:tc>
          <w:tcPr>
            <w:tcW w:w="1136" w:type="dxa"/>
            <w:vMerge w:val="restart"/>
            <w:vAlign w:val="center"/>
          </w:tcPr>
          <w:p w14:paraId="310A4B8C" w14:textId="77777777" w:rsidR="0002241E" w:rsidRPr="0002241E" w:rsidRDefault="0002241E" w:rsidP="0002241E">
            <w:pPr>
              <w:numPr>
                <w:ilvl w:val="0"/>
                <w:numId w:val="20"/>
              </w:numPr>
              <w:spacing w:after="0"/>
              <w:contextualSpacing/>
              <w:rPr>
                <w:lang w:val="en-CA"/>
              </w:rPr>
            </w:pPr>
          </w:p>
        </w:tc>
        <w:tc>
          <w:tcPr>
            <w:tcW w:w="6344" w:type="dxa"/>
          </w:tcPr>
          <w:p w14:paraId="73010BD5" w14:textId="77777777" w:rsidR="0002241E" w:rsidRPr="0002241E" w:rsidRDefault="0002241E" w:rsidP="0002241E">
            <w:pPr>
              <w:spacing w:after="0"/>
              <w:rPr>
                <w:lang w:val="en-CA"/>
              </w:rPr>
            </w:pPr>
            <w:r w:rsidRPr="0002241E">
              <w:rPr>
                <w:lang w:val="en-CA"/>
              </w:rPr>
              <w:t>Forward work plan – 2017/18</w:t>
            </w:r>
          </w:p>
        </w:tc>
        <w:tc>
          <w:tcPr>
            <w:tcW w:w="1369" w:type="dxa"/>
            <w:shd w:val="clear" w:color="auto" w:fill="auto"/>
          </w:tcPr>
          <w:p w14:paraId="0A2FD049" w14:textId="77777777" w:rsidR="0002241E" w:rsidRPr="0002241E" w:rsidRDefault="0002241E" w:rsidP="0002241E">
            <w:pPr>
              <w:spacing w:after="0"/>
              <w:rPr>
                <w:lang w:val="en-CA"/>
              </w:rPr>
            </w:pPr>
          </w:p>
        </w:tc>
        <w:tc>
          <w:tcPr>
            <w:tcW w:w="1948" w:type="dxa"/>
            <w:vMerge/>
            <w:shd w:val="clear" w:color="auto" w:fill="auto"/>
            <w:vAlign w:val="center"/>
          </w:tcPr>
          <w:p w14:paraId="67563531" w14:textId="77777777" w:rsidR="0002241E" w:rsidRPr="0002241E" w:rsidRDefault="0002241E" w:rsidP="0002241E">
            <w:pPr>
              <w:spacing w:after="0"/>
              <w:rPr>
                <w:lang w:val="en-CA"/>
              </w:rPr>
            </w:pPr>
          </w:p>
        </w:tc>
      </w:tr>
      <w:tr w:rsidR="0002241E" w:rsidRPr="0002241E" w14:paraId="39909EE6" w14:textId="77777777" w:rsidTr="0002241E">
        <w:trPr>
          <w:cantSplit/>
          <w:trHeight w:val="324"/>
          <w:jc w:val="center"/>
        </w:trPr>
        <w:tc>
          <w:tcPr>
            <w:tcW w:w="1136" w:type="dxa"/>
            <w:vMerge/>
            <w:vAlign w:val="center"/>
          </w:tcPr>
          <w:p w14:paraId="478E4157" w14:textId="77777777" w:rsidR="0002241E" w:rsidRPr="0002241E" w:rsidRDefault="0002241E" w:rsidP="0002241E">
            <w:pPr>
              <w:numPr>
                <w:ilvl w:val="0"/>
                <w:numId w:val="20"/>
              </w:numPr>
              <w:spacing w:after="0"/>
              <w:contextualSpacing/>
              <w:jc w:val="center"/>
              <w:rPr>
                <w:lang w:val="en-CA"/>
              </w:rPr>
            </w:pPr>
          </w:p>
        </w:tc>
        <w:tc>
          <w:tcPr>
            <w:tcW w:w="6344" w:type="dxa"/>
          </w:tcPr>
          <w:p w14:paraId="376D7AE7" w14:textId="77777777" w:rsidR="0002241E" w:rsidRPr="0002241E" w:rsidRDefault="0002241E" w:rsidP="0002241E">
            <w:pPr>
              <w:numPr>
                <w:ilvl w:val="0"/>
                <w:numId w:val="16"/>
              </w:numPr>
              <w:spacing w:after="0"/>
              <w:contextualSpacing/>
              <w:rPr>
                <w:lang w:val="en-CA"/>
              </w:rPr>
            </w:pPr>
            <w:r w:rsidRPr="0002241E">
              <w:rPr>
                <w:lang w:val="en-CA"/>
              </w:rPr>
              <w:t xml:space="preserve">PTC work plan </w:t>
            </w:r>
          </w:p>
        </w:tc>
        <w:tc>
          <w:tcPr>
            <w:tcW w:w="1369" w:type="dxa"/>
            <w:shd w:val="clear" w:color="auto" w:fill="auto"/>
          </w:tcPr>
          <w:p w14:paraId="7E10B0A7" w14:textId="77777777" w:rsidR="0002241E" w:rsidRPr="0002241E" w:rsidRDefault="0002241E" w:rsidP="0002241E">
            <w:pPr>
              <w:spacing w:after="0"/>
              <w:rPr>
                <w:lang w:val="en-CA"/>
              </w:rPr>
            </w:pPr>
          </w:p>
        </w:tc>
        <w:tc>
          <w:tcPr>
            <w:tcW w:w="1948" w:type="dxa"/>
            <w:vMerge/>
            <w:shd w:val="clear" w:color="auto" w:fill="auto"/>
            <w:vAlign w:val="center"/>
          </w:tcPr>
          <w:p w14:paraId="6155F479" w14:textId="77777777" w:rsidR="0002241E" w:rsidRPr="0002241E" w:rsidRDefault="0002241E" w:rsidP="0002241E">
            <w:pPr>
              <w:spacing w:after="0"/>
              <w:rPr>
                <w:lang w:val="en-CA"/>
              </w:rPr>
            </w:pPr>
          </w:p>
        </w:tc>
      </w:tr>
      <w:tr w:rsidR="0002241E" w:rsidRPr="0002241E" w14:paraId="4FBCFBE0" w14:textId="77777777" w:rsidTr="0002241E">
        <w:trPr>
          <w:cantSplit/>
          <w:trHeight w:val="324"/>
          <w:jc w:val="center"/>
        </w:trPr>
        <w:tc>
          <w:tcPr>
            <w:tcW w:w="1136" w:type="dxa"/>
            <w:vMerge/>
            <w:vAlign w:val="center"/>
          </w:tcPr>
          <w:p w14:paraId="7C2CA854" w14:textId="77777777" w:rsidR="0002241E" w:rsidRPr="0002241E" w:rsidRDefault="0002241E" w:rsidP="0002241E">
            <w:pPr>
              <w:numPr>
                <w:ilvl w:val="0"/>
                <w:numId w:val="20"/>
              </w:numPr>
              <w:spacing w:after="0"/>
              <w:contextualSpacing/>
              <w:jc w:val="center"/>
              <w:rPr>
                <w:lang w:val="en-CA"/>
              </w:rPr>
            </w:pPr>
          </w:p>
        </w:tc>
        <w:tc>
          <w:tcPr>
            <w:tcW w:w="6344" w:type="dxa"/>
          </w:tcPr>
          <w:p w14:paraId="5842A95B" w14:textId="77777777" w:rsidR="0002241E" w:rsidRPr="0002241E" w:rsidRDefault="0002241E" w:rsidP="0002241E">
            <w:pPr>
              <w:spacing w:after="0"/>
              <w:ind w:left="720"/>
              <w:contextualSpacing/>
              <w:rPr>
                <w:lang w:val="en-CA"/>
              </w:rPr>
            </w:pPr>
            <w:r w:rsidRPr="0002241E">
              <w:rPr>
                <w:lang w:val="en-CA"/>
              </w:rPr>
              <w:t>PAC/ISG work/meetings</w:t>
            </w:r>
          </w:p>
        </w:tc>
        <w:tc>
          <w:tcPr>
            <w:tcW w:w="1369" w:type="dxa"/>
            <w:shd w:val="clear" w:color="auto" w:fill="auto"/>
          </w:tcPr>
          <w:p w14:paraId="1067F83B" w14:textId="77777777" w:rsidR="0002241E" w:rsidRPr="0002241E" w:rsidRDefault="0002241E" w:rsidP="0002241E">
            <w:pPr>
              <w:spacing w:after="0"/>
              <w:rPr>
                <w:lang w:val="en-CA"/>
              </w:rPr>
            </w:pPr>
          </w:p>
        </w:tc>
        <w:tc>
          <w:tcPr>
            <w:tcW w:w="1948" w:type="dxa"/>
            <w:vMerge/>
            <w:shd w:val="clear" w:color="auto" w:fill="auto"/>
            <w:vAlign w:val="center"/>
          </w:tcPr>
          <w:p w14:paraId="7FAA9FAF" w14:textId="77777777" w:rsidR="0002241E" w:rsidRPr="0002241E" w:rsidRDefault="0002241E" w:rsidP="0002241E">
            <w:pPr>
              <w:spacing w:after="0"/>
              <w:rPr>
                <w:lang w:val="en-CA"/>
              </w:rPr>
            </w:pPr>
          </w:p>
        </w:tc>
      </w:tr>
      <w:tr w:rsidR="0002241E" w:rsidRPr="0002241E" w14:paraId="710BD1B9" w14:textId="77777777" w:rsidTr="0002241E">
        <w:trPr>
          <w:cantSplit/>
          <w:trHeight w:val="324"/>
          <w:jc w:val="center"/>
        </w:trPr>
        <w:tc>
          <w:tcPr>
            <w:tcW w:w="1136" w:type="dxa"/>
            <w:vMerge/>
            <w:vAlign w:val="center"/>
          </w:tcPr>
          <w:p w14:paraId="2017B198" w14:textId="77777777" w:rsidR="0002241E" w:rsidRPr="0002241E" w:rsidRDefault="0002241E" w:rsidP="0002241E">
            <w:pPr>
              <w:numPr>
                <w:ilvl w:val="0"/>
                <w:numId w:val="20"/>
              </w:numPr>
              <w:spacing w:after="0"/>
              <w:contextualSpacing/>
              <w:jc w:val="center"/>
              <w:rPr>
                <w:lang w:val="en-CA"/>
              </w:rPr>
            </w:pPr>
          </w:p>
        </w:tc>
        <w:tc>
          <w:tcPr>
            <w:tcW w:w="6344" w:type="dxa"/>
          </w:tcPr>
          <w:p w14:paraId="4804D94D" w14:textId="77777777" w:rsidR="0002241E" w:rsidRPr="0002241E" w:rsidRDefault="0002241E" w:rsidP="0002241E">
            <w:pPr>
              <w:numPr>
                <w:ilvl w:val="0"/>
                <w:numId w:val="16"/>
              </w:numPr>
              <w:spacing w:after="0"/>
              <w:contextualSpacing/>
              <w:rPr>
                <w:lang w:val="en-CA"/>
              </w:rPr>
            </w:pPr>
            <w:r w:rsidRPr="0002241E">
              <w:rPr>
                <w:lang w:val="en-CA"/>
              </w:rPr>
              <w:t>Teleconference schedule</w:t>
            </w:r>
          </w:p>
        </w:tc>
        <w:tc>
          <w:tcPr>
            <w:tcW w:w="1369" w:type="dxa"/>
            <w:shd w:val="clear" w:color="auto" w:fill="auto"/>
          </w:tcPr>
          <w:p w14:paraId="7D114AF1" w14:textId="77777777" w:rsidR="0002241E" w:rsidRPr="0002241E" w:rsidRDefault="0002241E" w:rsidP="0002241E">
            <w:pPr>
              <w:spacing w:after="0"/>
              <w:rPr>
                <w:lang w:val="en-CA"/>
              </w:rPr>
            </w:pPr>
          </w:p>
        </w:tc>
        <w:tc>
          <w:tcPr>
            <w:tcW w:w="1948" w:type="dxa"/>
            <w:vMerge/>
            <w:shd w:val="clear" w:color="auto" w:fill="auto"/>
            <w:vAlign w:val="center"/>
          </w:tcPr>
          <w:p w14:paraId="1B74F5F1" w14:textId="77777777" w:rsidR="0002241E" w:rsidRPr="0002241E" w:rsidRDefault="0002241E" w:rsidP="0002241E">
            <w:pPr>
              <w:spacing w:after="0"/>
              <w:rPr>
                <w:lang w:val="en-CA"/>
              </w:rPr>
            </w:pPr>
          </w:p>
        </w:tc>
      </w:tr>
      <w:tr w:rsidR="0002241E" w:rsidRPr="0002241E" w14:paraId="07FCC7A0" w14:textId="77777777" w:rsidTr="0002241E">
        <w:trPr>
          <w:cantSplit/>
          <w:trHeight w:val="324"/>
          <w:jc w:val="center"/>
        </w:trPr>
        <w:tc>
          <w:tcPr>
            <w:tcW w:w="1136" w:type="dxa"/>
            <w:vMerge/>
            <w:vAlign w:val="center"/>
          </w:tcPr>
          <w:p w14:paraId="6D79A8BB" w14:textId="77777777" w:rsidR="0002241E" w:rsidRPr="0002241E" w:rsidRDefault="0002241E" w:rsidP="0002241E">
            <w:pPr>
              <w:numPr>
                <w:ilvl w:val="0"/>
                <w:numId w:val="20"/>
              </w:numPr>
              <w:spacing w:after="0"/>
              <w:contextualSpacing/>
              <w:jc w:val="center"/>
              <w:rPr>
                <w:lang w:val="en-CA"/>
              </w:rPr>
            </w:pPr>
          </w:p>
        </w:tc>
        <w:tc>
          <w:tcPr>
            <w:tcW w:w="6344" w:type="dxa"/>
          </w:tcPr>
          <w:p w14:paraId="6F4AF7CE" w14:textId="77777777" w:rsidR="0002241E" w:rsidRPr="0002241E" w:rsidRDefault="0002241E" w:rsidP="0002241E">
            <w:pPr>
              <w:numPr>
                <w:ilvl w:val="0"/>
                <w:numId w:val="16"/>
              </w:numPr>
              <w:spacing w:after="0"/>
              <w:contextualSpacing/>
              <w:rPr>
                <w:lang w:val="en-CA"/>
              </w:rPr>
            </w:pPr>
            <w:r w:rsidRPr="0002241E">
              <w:rPr>
                <w:lang w:val="en-CA"/>
              </w:rPr>
              <w:t>Next face-to-face meeting</w:t>
            </w:r>
          </w:p>
        </w:tc>
        <w:tc>
          <w:tcPr>
            <w:tcW w:w="1369" w:type="dxa"/>
            <w:shd w:val="clear" w:color="auto" w:fill="auto"/>
          </w:tcPr>
          <w:p w14:paraId="2A118D01" w14:textId="77777777" w:rsidR="0002241E" w:rsidRPr="0002241E" w:rsidRDefault="0002241E" w:rsidP="0002241E">
            <w:pPr>
              <w:spacing w:after="0"/>
              <w:rPr>
                <w:lang w:val="en-CA"/>
              </w:rPr>
            </w:pPr>
          </w:p>
        </w:tc>
        <w:tc>
          <w:tcPr>
            <w:tcW w:w="1948" w:type="dxa"/>
            <w:vMerge/>
            <w:shd w:val="clear" w:color="auto" w:fill="auto"/>
            <w:vAlign w:val="center"/>
          </w:tcPr>
          <w:p w14:paraId="7E5B19E1" w14:textId="77777777" w:rsidR="0002241E" w:rsidRPr="0002241E" w:rsidRDefault="0002241E" w:rsidP="0002241E">
            <w:pPr>
              <w:spacing w:after="0"/>
              <w:rPr>
                <w:lang w:val="en-CA"/>
              </w:rPr>
            </w:pPr>
          </w:p>
        </w:tc>
      </w:tr>
      <w:tr w:rsidR="0002241E" w:rsidRPr="0002241E" w14:paraId="51581DC3" w14:textId="77777777" w:rsidTr="0002241E">
        <w:trPr>
          <w:cantSplit/>
          <w:trHeight w:val="324"/>
          <w:jc w:val="center"/>
        </w:trPr>
        <w:tc>
          <w:tcPr>
            <w:tcW w:w="1136" w:type="dxa"/>
            <w:vAlign w:val="center"/>
          </w:tcPr>
          <w:p w14:paraId="0782F469" w14:textId="77777777" w:rsidR="0002241E" w:rsidRPr="0002241E" w:rsidRDefault="0002241E" w:rsidP="0002241E">
            <w:pPr>
              <w:numPr>
                <w:ilvl w:val="0"/>
                <w:numId w:val="20"/>
              </w:numPr>
              <w:spacing w:after="0"/>
              <w:contextualSpacing/>
              <w:rPr>
                <w:lang w:val="en-CA"/>
              </w:rPr>
            </w:pPr>
          </w:p>
        </w:tc>
        <w:tc>
          <w:tcPr>
            <w:tcW w:w="6344" w:type="dxa"/>
          </w:tcPr>
          <w:p w14:paraId="45E704DC" w14:textId="77777777" w:rsidR="0002241E" w:rsidRPr="0002241E" w:rsidRDefault="0002241E" w:rsidP="0002241E">
            <w:pPr>
              <w:spacing w:after="0"/>
              <w:rPr>
                <w:lang w:val="en-CA"/>
              </w:rPr>
            </w:pPr>
            <w:r w:rsidRPr="0002241E">
              <w:rPr>
                <w:lang w:val="en-CA"/>
              </w:rPr>
              <w:t>Other issues</w:t>
            </w:r>
          </w:p>
        </w:tc>
        <w:tc>
          <w:tcPr>
            <w:tcW w:w="1369" w:type="dxa"/>
            <w:shd w:val="clear" w:color="auto" w:fill="auto"/>
          </w:tcPr>
          <w:p w14:paraId="4AB245E9" w14:textId="77777777" w:rsidR="0002241E" w:rsidRPr="0002241E" w:rsidRDefault="0002241E" w:rsidP="0002241E">
            <w:pPr>
              <w:spacing w:after="0"/>
              <w:rPr>
                <w:lang w:val="en-CA"/>
              </w:rPr>
            </w:pPr>
          </w:p>
        </w:tc>
        <w:tc>
          <w:tcPr>
            <w:tcW w:w="1948" w:type="dxa"/>
            <w:vMerge/>
            <w:shd w:val="clear" w:color="auto" w:fill="auto"/>
            <w:vAlign w:val="center"/>
          </w:tcPr>
          <w:p w14:paraId="3430DB41" w14:textId="77777777" w:rsidR="0002241E" w:rsidRPr="0002241E" w:rsidRDefault="0002241E" w:rsidP="0002241E">
            <w:pPr>
              <w:spacing w:after="0"/>
              <w:rPr>
                <w:lang w:val="en-CA"/>
              </w:rPr>
            </w:pPr>
          </w:p>
        </w:tc>
      </w:tr>
    </w:tbl>
    <w:p w14:paraId="26F52A5A" w14:textId="77777777" w:rsidR="003C4CC7" w:rsidRDefault="003C4CC7" w:rsidP="00285774">
      <w:pPr>
        <w:jc w:val="both"/>
        <w:rPr>
          <w:b/>
        </w:rPr>
      </w:pPr>
    </w:p>
    <w:p w14:paraId="6DF84458" w14:textId="6862C898" w:rsidR="0002241E" w:rsidRDefault="0002241E">
      <w:pPr>
        <w:spacing w:after="0"/>
        <w:rPr>
          <w:b/>
        </w:rPr>
      </w:pPr>
      <w:r>
        <w:rPr>
          <w:b/>
        </w:rPr>
        <w:br w:type="page"/>
      </w:r>
    </w:p>
    <w:p w14:paraId="30B66D53" w14:textId="4AB48034" w:rsidR="0002241E" w:rsidRDefault="006523B3" w:rsidP="00EA6D4B">
      <w:pPr>
        <w:pStyle w:val="Heading1"/>
      </w:pPr>
      <w:bookmarkStart w:id="20" w:name="_Toc482185436"/>
      <w:r>
        <w:lastRenderedPageBreak/>
        <w:t xml:space="preserve">Annex </w:t>
      </w:r>
      <w:r w:rsidR="00550893">
        <w:t>2</w:t>
      </w:r>
      <w:r w:rsidR="00DF443D">
        <w:t xml:space="preserve"> – Hub Evaluation C</w:t>
      </w:r>
      <w:r w:rsidR="0002241E">
        <w:t>riteria</w:t>
      </w:r>
      <w:bookmarkEnd w:id="20"/>
    </w:p>
    <w:p w14:paraId="5E99D297" w14:textId="77777777" w:rsidR="0002241E" w:rsidRPr="0002241E" w:rsidRDefault="0002241E" w:rsidP="0002241E">
      <w:pPr>
        <w:jc w:val="both"/>
      </w:pPr>
      <w:r w:rsidRPr="0002241E">
        <w:t>The pilot of the HUB is anticipated to commence from Q3 2017.  System testing will occur prior to the 120-day pilot phase.</w:t>
      </w:r>
    </w:p>
    <w:p w14:paraId="4E30E06B" w14:textId="77777777" w:rsidR="0002241E" w:rsidRPr="0002241E" w:rsidRDefault="0002241E" w:rsidP="0002241E">
      <w:pPr>
        <w:jc w:val="both"/>
      </w:pPr>
      <w:r w:rsidRPr="0002241E">
        <w:t xml:space="preserve">Prior to making the HUB available to additional countries, the pilot phase will be evaluated to ensure it is meeting intended technical functionality from a client (country) perspective.  The pilot phase will be evaluated within one month of the pilot ending.  </w:t>
      </w:r>
    </w:p>
    <w:p w14:paraId="441E427C" w14:textId="77777777" w:rsidR="0002241E" w:rsidRPr="0002241E" w:rsidRDefault="0002241E" w:rsidP="0002241E">
      <w:pPr>
        <w:jc w:val="both"/>
      </w:pPr>
      <w:r w:rsidRPr="0002241E">
        <w:t>The PTC will evaluate the responses from the pilot countries.</w:t>
      </w:r>
    </w:p>
    <w:p w14:paraId="57E9722D" w14:textId="77777777" w:rsidR="0002241E" w:rsidRPr="0002241E" w:rsidRDefault="0002241E" w:rsidP="0002241E">
      <w:pPr>
        <w:jc w:val="both"/>
      </w:pPr>
      <w:r w:rsidRPr="0002241E">
        <w:t>Depending on the results of the evaluation, system enhancements may be required prior to general availability use of the HUB and additional countries on-boarding in Q1 2018.</w:t>
      </w:r>
    </w:p>
    <w:p w14:paraId="31CE0E1A" w14:textId="77777777" w:rsidR="0002241E" w:rsidRPr="0002241E" w:rsidRDefault="0002241E" w:rsidP="0002241E">
      <w:pPr>
        <w:jc w:val="both"/>
      </w:pPr>
      <w:r w:rsidRPr="0002241E">
        <w:t>Evaluation of the pilot phase will be based on the following criteria.</w:t>
      </w:r>
    </w:p>
    <w:p w14:paraId="48FFC88C" w14:textId="7634B3BB" w:rsidR="0002241E" w:rsidRPr="0002241E" w:rsidRDefault="0002241E" w:rsidP="0002241E">
      <w:pPr>
        <w:jc w:val="both"/>
      </w:pPr>
      <w:r w:rsidRPr="0002241E">
        <w:t>On-boarding process</w:t>
      </w:r>
    </w:p>
    <w:p w14:paraId="17BD792E" w14:textId="76BA1087" w:rsidR="0002241E" w:rsidRPr="0002241E" w:rsidRDefault="0002241E" w:rsidP="0002241E">
      <w:pPr>
        <w:pStyle w:val="ListParagraph"/>
        <w:numPr>
          <w:ilvl w:val="0"/>
          <w:numId w:val="37"/>
        </w:numPr>
        <w:jc w:val="both"/>
      </w:pPr>
      <w:r w:rsidRPr="0002241E">
        <w:t>Time frame to reconfigure of existing national system to pilot in the HUB</w:t>
      </w:r>
    </w:p>
    <w:p w14:paraId="5ADE96C7" w14:textId="5FDD43CB" w:rsidR="0002241E" w:rsidRPr="0002241E" w:rsidRDefault="0002241E" w:rsidP="0002241E">
      <w:pPr>
        <w:pStyle w:val="ListParagraph"/>
        <w:numPr>
          <w:ilvl w:val="0"/>
          <w:numId w:val="37"/>
        </w:numPr>
        <w:jc w:val="both"/>
      </w:pPr>
      <w:r w:rsidRPr="0002241E">
        <w:t>User guides – were they easy to understand? Did they cover all functions?</w:t>
      </w:r>
    </w:p>
    <w:p w14:paraId="284B2B8F" w14:textId="1F10F39D" w:rsidR="0002241E" w:rsidRPr="0002241E" w:rsidRDefault="0002241E" w:rsidP="0002241E">
      <w:pPr>
        <w:pStyle w:val="ListParagraph"/>
        <w:numPr>
          <w:ilvl w:val="0"/>
          <w:numId w:val="37"/>
        </w:numPr>
        <w:jc w:val="both"/>
      </w:pPr>
      <w:r w:rsidRPr="0002241E">
        <w:t>On-line resources.  Code sets, technical data</w:t>
      </w:r>
    </w:p>
    <w:p w14:paraId="66D2C990" w14:textId="39986971" w:rsidR="0002241E" w:rsidRPr="0002241E" w:rsidRDefault="0002241E" w:rsidP="0002241E">
      <w:pPr>
        <w:pStyle w:val="ListParagraph"/>
        <w:numPr>
          <w:ilvl w:val="0"/>
          <w:numId w:val="37"/>
        </w:numPr>
        <w:jc w:val="both"/>
      </w:pPr>
      <w:r w:rsidRPr="0002241E">
        <w:t>Lesson learnt</w:t>
      </w:r>
    </w:p>
    <w:p w14:paraId="3F8B977E" w14:textId="5EDFF42F" w:rsidR="0002241E" w:rsidRPr="0002241E" w:rsidRDefault="0002241E" w:rsidP="0002241E">
      <w:pPr>
        <w:jc w:val="both"/>
      </w:pPr>
      <w:r w:rsidRPr="0002241E">
        <w:t>System function – technical testing of the hub</w:t>
      </w:r>
    </w:p>
    <w:p w14:paraId="693F921D" w14:textId="4635B540" w:rsidR="0002241E" w:rsidRPr="0002241E" w:rsidRDefault="0002241E" w:rsidP="0002241E">
      <w:pPr>
        <w:pStyle w:val="ListParagraph"/>
        <w:numPr>
          <w:ilvl w:val="0"/>
          <w:numId w:val="39"/>
        </w:numPr>
        <w:jc w:val="both"/>
      </w:pPr>
      <w:r w:rsidRPr="0002241E">
        <w:t>Schema able to be met and processed</w:t>
      </w:r>
    </w:p>
    <w:p w14:paraId="46D55E77" w14:textId="2AD3DB72" w:rsidR="0002241E" w:rsidRPr="0002241E" w:rsidRDefault="0002241E" w:rsidP="0002241E">
      <w:pPr>
        <w:pStyle w:val="ListParagraph"/>
        <w:numPr>
          <w:ilvl w:val="0"/>
          <w:numId w:val="39"/>
        </w:numPr>
        <w:jc w:val="both"/>
      </w:pPr>
      <w:r w:rsidRPr="0002241E">
        <w:t>Envelope header</w:t>
      </w:r>
    </w:p>
    <w:p w14:paraId="0295E5B5" w14:textId="3AA53668" w:rsidR="0002241E" w:rsidRPr="0002241E" w:rsidRDefault="0002241E" w:rsidP="0002241E">
      <w:pPr>
        <w:pStyle w:val="ListParagraph"/>
        <w:numPr>
          <w:ilvl w:val="0"/>
          <w:numId w:val="39"/>
        </w:numPr>
        <w:jc w:val="both"/>
      </w:pPr>
      <w:r w:rsidRPr="0002241E">
        <w:t>Issued and withdrawal work flows are working</w:t>
      </w:r>
    </w:p>
    <w:p w14:paraId="4B9A0880" w14:textId="7A52218F" w:rsidR="0002241E" w:rsidRPr="0002241E" w:rsidRDefault="0002241E" w:rsidP="0002241E">
      <w:pPr>
        <w:pStyle w:val="ListParagraph"/>
        <w:numPr>
          <w:ilvl w:val="0"/>
          <w:numId w:val="39"/>
        </w:numPr>
        <w:jc w:val="both"/>
      </w:pPr>
      <w:r w:rsidRPr="0002241E">
        <w:t>WSDL</w:t>
      </w:r>
    </w:p>
    <w:p w14:paraId="6F44F5BC" w14:textId="709CE311" w:rsidR="0002241E" w:rsidRPr="0002241E" w:rsidRDefault="0002241E" w:rsidP="0002241E">
      <w:pPr>
        <w:pStyle w:val="ListParagraph"/>
        <w:numPr>
          <w:ilvl w:val="0"/>
          <w:numId w:val="39"/>
        </w:numPr>
        <w:jc w:val="both"/>
      </w:pPr>
      <w:r w:rsidRPr="0002241E">
        <w:t>Support level from technical help desk</w:t>
      </w:r>
    </w:p>
    <w:p w14:paraId="439418F8" w14:textId="517C88DA" w:rsidR="0002241E" w:rsidRPr="0002241E" w:rsidRDefault="0002241E" w:rsidP="0002241E">
      <w:pPr>
        <w:pStyle w:val="ListParagraph"/>
        <w:numPr>
          <w:ilvl w:val="0"/>
          <w:numId w:val="39"/>
        </w:numPr>
        <w:jc w:val="both"/>
      </w:pPr>
      <w:r w:rsidRPr="0002241E">
        <w:t>UI functionality for transaction log, admin portal</w:t>
      </w:r>
    </w:p>
    <w:p w14:paraId="238EBCAF" w14:textId="5148B356" w:rsidR="0002241E" w:rsidRPr="0002241E" w:rsidRDefault="0002241E" w:rsidP="0002241E">
      <w:pPr>
        <w:pStyle w:val="ListParagraph"/>
        <w:numPr>
          <w:ilvl w:val="0"/>
          <w:numId w:val="39"/>
        </w:numPr>
        <w:jc w:val="both"/>
      </w:pPr>
      <w:r w:rsidRPr="0002241E">
        <w:t>Import and/or export usage</w:t>
      </w:r>
    </w:p>
    <w:p w14:paraId="35E95034" w14:textId="50A79474" w:rsidR="0002241E" w:rsidRPr="0002241E" w:rsidRDefault="0002241E" w:rsidP="0002241E">
      <w:pPr>
        <w:jc w:val="both"/>
      </w:pPr>
      <w:r w:rsidRPr="0002241E">
        <w:t>Configuration of HUB functions (</w:t>
      </w:r>
      <w:proofErr w:type="spellStart"/>
      <w:r w:rsidRPr="0002241E">
        <w:t>eg</w:t>
      </w:r>
      <w:proofErr w:type="spellEnd"/>
      <w:r w:rsidRPr="0002241E">
        <w:t>. Number of certificates)</w:t>
      </w:r>
    </w:p>
    <w:p w14:paraId="52B6B16F" w14:textId="47F6F6C3" w:rsidR="0002241E" w:rsidRPr="0002241E" w:rsidRDefault="0002241E" w:rsidP="0002241E">
      <w:pPr>
        <w:jc w:val="both"/>
      </w:pPr>
      <w:r w:rsidRPr="0002241E">
        <w:t>Appropriateness of test plan</w:t>
      </w:r>
    </w:p>
    <w:p w14:paraId="45C1C14C" w14:textId="6610AF87" w:rsidR="0002241E" w:rsidRPr="0002241E" w:rsidRDefault="0002241E" w:rsidP="0002241E">
      <w:pPr>
        <w:pStyle w:val="ListParagraph"/>
        <w:numPr>
          <w:ilvl w:val="0"/>
          <w:numId w:val="41"/>
        </w:numPr>
        <w:jc w:val="both"/>
      </w:pPr>
      <w:r w:rsidRPr="0002241E">
        <w:t>Envelope header appropriate for IPPC to evaluate the HUB</w:t>
      </w:r>
    </w:p>
    <w:p w14:paraId="35214F83" w14:textId="2375A6A8" w:rsidR="0002241E" w:rsidRPr="0002241E" w:rsidRDefault="0002241E" w:rsidP="0002241E">
      <w:pPr>
        <w:pStyle w:val="ListParagraph"/>
        <w:numPr>
          <w:ilvl w:val="0"/>
          <w:numId w:val="41"/>
        </w:numPr>
        <w:jc w:val="both"/>
      </w:pPr>
      <w:r w:rsidRPr="0002241E">
        <w:t>Number of certificates</w:t>
      </w:r>
    </w:p>
    <w:p w14:paraId="59F41254" w14:textId="392163A4" w:rsidR="0002241E" w:rsidRPr="0002241E" w:rsidRDefault="0002241E" w:rsidP="0002241E">
      <w:pPr>
        <w:pStyle w:val="ListParagraph"/>
        <w:numPr>
          <w:ilvl w:val="0"/>
          <w:numId w:val="41"/>
        </w:numPr>
        <w:jc w:val="both"/>
      </w:pPr>
      <w:r w:rsidRPr="0002241E">
        <w:t>Status of certificates</w:t>
      </w:r>
    </w:p>
    <w:p w14:paraId="03701422" w14:textId="5B5B6F71" w:rsidR="0002241E" w:rsidRPr="0002241E" w:rsidRDefault="0002241E" w:rsidP="0002241E">
      <w:pPr>
        <w:pStyle w:val="ListParagraph"/>
        <w:numPr>
          <w:ilvl w:val="0"/>
          <w:numId w:val="41"/>
        </w:numPr>
        <w:jc w:val="both"/>
      </w:pPr>
      <w:r w:rsidRPr="0002241E">
        <w:t>Number of countries exchanging</w:t>
      </w:r>
    </w:p>
    <w:p w14:paraId="7DC11A3D" w14:textId="1779A3F5" w:rsidR="0002241E" w:rsidRPr="0002241E" w:rsidRDefault="0002241E" w:rsidP="0002241E">
      <w:pPr>
        <w:pStyle w:val="ListParagraph"/>
        <w:numPr>
          <w:ilvl w:val="0"/>
          <w:numId w:val="41"/>
        </w:numPr>
        <w:jc w:val="both"/>
      </w:pPr>
      <w:r w:rsidRPr="0002241E">
        <w:t>Number of countries exporting/importing</w:t>
      </w:r>
    </w:p>
    <w:p w14:paraId="741897B5" w14:textId="686581C3" w:rsidR="0002241E" w:rsidRPr="0002241E" w:rsidRDefault="0002241E" w:rsidP="0002241E">
      <w:pPr>
        <w:jc w:val="both"/>
      </w:pPr>
      <w:r w:rsidRPr="0002241E">
        <w:t>Transaction log</w:t>
      </w:r>
    </w:p>
    <w:p w14:paraId="6E80FD34" w14:textId="192FF766" w:rsidR="0002241E" w:rsidRPr="0002241E" w:rsidRDefault="0002241E" w:rsidP="0002241E">
      <w:pPr>
        <w:jc w:val="both"/>
      </w:pPr>
      <w:r w:rsidRPr="0002241E">
        <w:t>Compliance of HUB with requirements</w:t>
      </w:r>
    </w:p>
    <w:p w14:paraId="657E96DE" w14:textId="69186861" w:rsidR="0002241E" w:rsidRPr="0002241E" w:rsidRDefault="0002241E" w:rsidP="0002241E">
      <w:pPr>
        <w:pStyle w:val="ListParagraph"/>
        <w:numPr>
          <w:ilvl w:val="0"/>
          <w:numId w:val="43"/>
        </w:numPr>
        <w:jc w:val="both"/>
      </w:pPr>
      <w:r w:rsidRPr="0002241E">
        <w:t>Bug/Issue identification</w:t>
      </w:r>
    </w:p>
    <w:p w14:paraId="446EC0E7" w14:textId="66F1DB23" w:rsidR="0002241E" w:rsidRPr="0002241E" w:rsidRDefault="0002241E" w:rsidP="0002241E">
      <w:pPr>
        <w:pStyle w:val="ListParagraph"/>
        <w:numPr>
          <w:ilvl w:val="0"/>
          <w:numId w:val="43"/>
        </w:numPr>
        <w:jc w:val="both"/>
      </w:pPr>
      <w:r w:rsidRPr="0002241E">
        <w:t>Issue triage</w:t>
      </w:r>
    </w:p>
    <w:p w14:paraId="67EB3A3A" w14:textId="4FC76402" w:rsidR="0002241E" w:rsidRPr="0002241E" w:rsidRDefault="0002241E" w:rsidP="0002241E">
      <w:pPr>
        <w:pStyle w:val="ListParagraph"/>
        <w:numPr>
          <w:ilvl w:val="0"/>
          <w:numId w:val="43"/>
        </w:numPr>
        <w:jc w:val="both"/>
      </w:pPr>
      <w:r w:rsidRPr="0002241E">
        <w:t>Issue fix, traceability</w:t>
      </w:r>
    </w:p>
    <w:p w14:paraId="4625BAE1" w14:textId="6032CA90" w:rsidR="0002241E" w:rsidRPr="0002241E" w:rsidRDefault="0002241E" w:rsidP="0002241E">
      <w:pPr>
        <w:jc w:val="both"/>
      </w:pPr>
      <w:r w:rsidRPr="0002241E">
        <w:t>Decision on potential changes to HUB requirements</w:t>
      </w:r>
    </w:p>
    <w:p w14:paraId="307F3496" w14:textId="1791CD3B" w:rsidR="0002241E" w:rsidRPr="0002241E" w:rsidRDefault="0002241E" w:rsidP="0002241E">
      <w:pPr>
        <w:jc w:val="both"/>
      </w:pPr>
      <w:r w:rsidRPr="0002241E">
        <w:t>Expected timeframes to use both imports/exports</w:t>
      </w:r>
    </w:p>
    <w:p w14:paraId="1B113915" w14:textId="4F7B1EE2" w:rsidR="0002241E" w:rsidRPr="0002241E" w:rsidRDefault="0002241E" w:rsidP="0002241E">
      <w:pPr>
        <w:jc w:val="both"/>
      </w:pPr>
      <w:r w:rsidRPr="0002241E">
        <w:t>Evaluation of the operation of the agreement between UNICC and IPPC</w:t>
      </w:r>
    </w:p>
    <w:p w14:paraId="7EC7A541" w14:textId="77777777" w:rsidR="0002241E" w:rsidRPr="0002241E" w:rsidRDefault="0002241E" w:rsidP="0002241E">
      <w:pPr>
        <w:jc w:val="both"/>
      </w:pPr>
    </w:p>
    <w:p w14:paraId="4C1BAB85" w14:textId="77777777" w:rsidR="0002241E" w:rsidRPr="0002241E" w:rsidRDefault="0002241E" w:rsidP="0002241E">
      <w:pPr>
        <w:jc w:val="both"/>
      </w:pPr>
      <w:r w:rsidRPr="0002241E">
        <w:lastRenderedPageBreak/>
        <w:t>Subsequent to the pilot phase, confirmation of participation will be required from countries.  Internal approval processes will cover</w:t>
      </w:r>
    </w:p>
    <w:p w14:paraId="5C8FDF5D" w14:textId="76000DAA" w:rsidR="0002241E" w:rsidRPr="0002241E" w:rsidRDefault="0002241E" w:rsidP="0002241E">
      <w:pPr>
        <w:pStyle w:val="ListParagraph"/>
        <w:numPr>
          <w:ilvl w:val="0"/>
          <w:numId w:val="45"/>
        </w:numPr>
        <w:jc w:val="both"/>
      </w:pPr>
      <w:r w:rsidRPr="0002241E">
        <w:t>Financial</w:t>
      </w:r>
    </w:p>
    <w:p w14:paraId="1678C8A8" w14:textId="2A3190D9" w:rsidR="0002241E" w:rsidRPr="0002241E" w:rsidRDefault="0002241E" w:rsidP="0002241E">
      <w:pPr>
        <w:pStyle w:val="ListParagraph"/>
        <w:numPr>
          <w:ilvl w:val="0"/>
          <w:numId w:val="45"/>
        </w:numPr>
        <w:jc w:val="both"/>
      </w:pPr>
      <w:r w:rsidRPr="0002241E">
        <w:t>Project closure. Internal sign off that country will use HUB system</w:t>
      </w:r>
    </w:p>
    <w:p w14:paraId="7192BB6A" w14:textId="46FE2026" w:rsidR="0002241E" w:rsidRDefault="0002241E" w:rsidP="0002241E">
      <w:pPr>
        <w:pStyle w:val="ListParagraph"/>
        <w:numPr>
          <w:ilvl w:val="0"/>
          <w:numId w:val="45"/>
        </w:numPr>
        <w:jc w:val="both"/>
      </w:pPr>
      <w:r w:rsidRPr="0002241E">
        <w:t>Legal framework document (agreement with the IPPC)</w:t>
      </w:r>
    </w:p>
    <w:p w14:paraId="1E241BC3" w14:textId="77777777" w:rsidR="0002241E" w:rsidRDefault="0002241E">
      <w:pPr>
        <w:spacing w:after="0"/>
      </w:pPr>
      <w:r>
        <w:br w:type="page"/>
      </w:r>
    </w:p>
    <w:p w14:paraId="1A298C75" w14:textId="09632720" w:rsidR="0002241E" w:rsidRDefault="00550893" w:rsidP="00EA6D4B">
      <w:pPr>
        <w:pStyle w:val="Heading1"/>
      </w:pPr>
      <w:bookmarkStart w:id="21" w:name="_Toc482185437"/>
      <w:r>
        <w:lastRenderedPageBreak/>
        <w:t>Annex 3</w:t>
      </w:r>
      <w:r w:rsidR="006523B3">
        <w:t xml:space="preserve"> –</w:t>
      </w:r>
      <w:r w:rsidR="0002241E">
        <w:t xml:space="preserve"> Criteria for the evaluation of ASYCER</w:t>
      </w:r>
      <w:bookmarkEnd w:id="21"/>
    </w:p>
    <w:p w14:paraId="132CE311" w14:textId="77777777" w:rsidR="00EA6D4B" w:rsidRPr="00B03C59" w:rsidRDefault="00EA6D4B" w:rsidP="00EA6D4B">
      <w:pPr>
        <w:rPr>
          <w:b/>
        </w:rPr>
      </w:pPr>
      <w:r w:rsidRPr="00B03C59">
        <w:rPr>
          <w:b/>
        </w:rPr>
        <w:t>Evaluation of ASCYER as GeNS</w:t>
      </w:r>
    </w:p>
    <w:p w14:paraId="3C0FC46C" w14:textId="77777777" w:rsidR="00EA6D4B" w:rsidRDefault="00EA6D4B" w:rsidP="00EA6D4B"/>
    <w:p w14:paraId="43EF2694" w14:textId="23FAE73E" w:rsidR="00EA6D4B" w:rsidRPr="00EA6D4B" w:rsidRDefault="00EA6D4B" w:rsidP="00EA6D4B">
      <w:r w:rsidRPr="00EA6D4B">
        <w:t xml:space="preserve">The IPPC assessment of the UNCTAD </w:t>
      </w:r>
      <w:r w:rsidR="00E91D96" w:rsidRPr="00EA6D4B">
        <w:t>system</w:t>
      </w:r>
      <w:r w:rsidRPr="00EA6D4B">
        <w:t xml:space="preserve"> called ASCYER to be suitable for rebuilt to suit the use as GeNS.  The assessment will be conducted in two stages – 1. Technical and 2. Business</w:t>
      </w:r>
    </w:p>
    <w:p w14:paraId="48A7C26C" w14:textId="77777777" w:rsidR="00EA6D4B" w:rsidRPr="00EA6D4B" w:rsidRDefault="00EA6D4B" w:rsidP="00EA6D4B"/>
    <w:p w14:paraId="66DA8E16" w14:textId="77777777" w:rsidR="00EA6D4B" w:rsidRPr="00EA6D4B" w:rsidRDefault="00EA6D4B" w:rsidP="00EA6D4B">
      <w:pPr>
        <w:pStyle w:val="ListParagraph"/>
        <w:numPr>
          <w:ilvl w:val="0"/>
          <w:numId w:val="47"/>
        </w:numPr>
        <w:spacing w:after="160" w:line="259" w:lineRule="auto"/>
      </w:pPr>
      <w:r w:rsidRPr="00EA6D4B">
        <w:rPr>
          <w:b/>
        </w:rPr>
        <w:t>Technical assessment</w:t>
      </w:r>
      <w:r w:rsidRPr="00EA6D4B">
        <w:t xml:space="preserve"> based on assessment criteria and analysis by UNICC and IPPC (through the PTC). </w:t>
      </w:r>
    </w:p>
    <w:p w14:paraId="66C64BB8" w14:textId="77777777" w:rsidR="00EA6D4B" w:rsidRPr="00EA6D4B" w:rsidRDefault="00EA6D4B" w:rsidP="00EA6D4B">
      <w:pPr>
        <w:pStyle w:val="ListParagraph"/>
        <w:numPr>
          <w:ilvl w:val="0"/>
          <w:numId w:val="49"/>
        </w:numPr>
        <w:spacing w:after="160" w:line="259" w:lineRule="auto"/>
      </w:pPr>
      <w:r w:rsidRPr="00EA6D4B">
        <w:t>Proposal able to satisfy GeNS specifications</w:t>
      </w:r>
    </w:p>
    <w:p w14:paraId="6053B0C7" w14:textId="77777777" w:rsidR="00EA6D4B" w:rsidRPr="00EA6D4B" w:rsidRDefault="00EA6D4B" w:rsidP="00EA6D4B">
      <w:pPr>
        <w:pStyle w:val="ListParagraph"/>
        <w:numPr>
          <w:ilvl w:val="1"/>
          <w:numId w:val="49"/>
        </w:numPr>
        <w:spacing w:after="160" w:line="259" w:lineRule="auto"/>
      </w:pPr>
      <w:r w:rsidRPr="00EA6D4B">
        <w:t>Web based</w:t>
      </w:r>
    </w:p>
    <w:p w14:paraId="05B1A175" w14:textId="77777777" w:rsidR="00EA6D4B" w:rsidRPr="00EA6D4B" w:rsidRDefault="00EA6D4B" w:rsidP="00EA6D4B">
      <w:pPr>
        <w:pStyle w:val="ListParagraph"/>
        <w:numPr>
          <w:ilvl w:val="1"/>
          <w:numId w:val="49"/>
        </w:numPr>
        <w:spacing w:after="160" w:line="259" w:lineRule="auto"/>
      </w:pPr>
      <w:r w:rsidRPr="00EA6D4B">
        <w:t>Central hosting</w:t>
      </w:r>
    </w:p>
    <w:p w14:paraId="0A8BACD8" w14:textId="77777777" w:rsidR="00EA6D4B" w:rsidRPr="00EA6D4B" w:rsidRDefault="00EA6D4B" w:rsidP="00EA6D4B">
      <w:pPr>
        <w:pStyle w:val="ListParagraph"/>
        <w:numPr>
          <w:ilvl w:val="1"/>
          <w:numId w:val="49"/>
        </w:numPr>
        <w:spacing w:after="160" w:line="259" w:lineRule="auto"/>
      </w:pPr>
      <w:r w:rsidRPr="00EA6D4B">
        <w:t>ISPM 12 compliant</w:t>
      </w:r>
    </w:p>
    <w:p w14:paraId="2B729BCF" w14:textId="77777777" w:rsidR="00EA6D4B" w:rsidRPr="00EA6D4B" w:rsidRDefault="00EA6D4B" w:rsidP="00EA6D4B">
      <w:pPr>
        <w:pStyle w:val="ListParagraph"/>
        <w:numPr>
          <w:ilvl w:val="1"/>
          <w:numId w:val="49"/>
        </w:numPr>
        <w:spacing w:after="160" w:line="259" w:lineRule="auto"/>
      </w:pPr>
      <w:r w:rsidRPr="00EA6D4B">
        <w:t>Ability to connect to the HUB (WSDL compliant)</w:t>
      </w:r>
    </w:p>
    <w:p w14:paraId="66D016A9" w14:textId="77777777" w:rsidR="00EA6D4B" w:rsidRPr="00EA6D4B" w:rsidRDefault="00EA6D4B" w:rsidP="00EA6D4B">
      <w:pPr>
        <w:pStyle w:val="ListParagraph"/>
        <w:numPr>
          <w:ilvl w:val="1"/>
          <w:numId w:val="49"/>
        </w:numPr>
        <w:spacing w:after="160" w:line="259" w:lineRule="auto"/>
      </w:pPr>
      <w:r w:rsidRPr="00EA6D4B">
        <w:t xml:space="preserve">Compliant with specified </w:t>
      </w:r>
      <w:r w:rsidRPr="00EA6D4B">
        <w:rPr>
          <w:strike/>
        </w:rPr>
        <w:t>(issuing, re-exporting and replace)</w:t>
      </w:r>
      <w:r w:rsidRPr="00EA6D4B">
        <w:t xml:space="preserve"> workflows</w:t>
      </w:r>
    </w:p>
    <w:p w14:paraId="58022FA7" w14:textId="77777777" w:rsidR="00EA6D4B" w:rsidRPr="00EA6D4B" w:rsidRDefault="00EA6D4B" w:rsidP="00EA6D4B">
      <w:pPr>
        <w:pStyle w:val="ListParagraph"/>
        <w:numPr>
          <w:ilvl w:val="1"/>
          <w:numId w:val="49"/>
        </w:numPr>
        <w:spacing w:after="160" w:line="259" w:lineRule="auto"/>
      </w:pPr>
      <w:r w:rsidRPr="00EA6D4B">
        <w:t>User management</w:t>
      </w:r>
    </w:p>
    <w:p w14:paraId="66EB06D6" w14:textId="77777777" w:rsidR="00EA6D4B" w:rsidRPr="00EA6D4B" w:rsidRDefault="00EA6D4B" w:rsidP="00EA6D4B">
      <w:pPr>
        <w:pStyle w:val="ListParagraph"/>
        <w:numPr>
          <w:ilvl w:val="1"/>
          <w:numId w:val="49"/>
        </w:numPr>
        <w:spacing w:after="160" w:line="259" w:lineRule="auto"/>
      </w:pPr>
      <w:r w:rsidRPr="00EA6D4B">
        <w:t>Security of system</w:t>
      </w:r>
    </w:p>
    <w:p w14:paraId="61723288" w14:textId="77777777" w:rsidR="00EA6D4B" w:rsidRPr="00EA6D4B" w:rsidRDefault="00EA6D4B" w:rsidP="00EA6D4B">
      <w:pPr>
        <w:pStyle w:val="ListParagraph"/>
        <w:numPr>
          <w:ilvl w:val="1"/>
          <w:numId w:val="49"/>
        </w:numPr>
        <w:spacing w:after="160" w:line="259" w:lineRule="auto"/>
      </w:pPr>
      <w:r w:rsidRPr="00EA6D4B">
        <w:t>24/7 availability and down time expectation</w:t>
      </w:r>
    </w:p>
    <w:p w14:paraId="75096FBB" w14:textId="77777777" w:rsidR="00EA6D4B" w:rsidRPr="00EA6D4B" w:rsidRDefault="00EA6D4B" w:rsidP="00EA6D4B">
      <w:pPr>
        <w:pStyle w:val="ListParagraph"/>
        <w:numPr>
          <w:ilvl w:val="1"/>
          <w:numId w:val="49"/>
        </w:numPr>
        <w:spacing w:after="160" w:line="259" w:lineRule="auto"/>
      </w:pPr>
      <w:r w:rsidRPr="00EA6D4B">
        <w:t>Privacy of data by user role</w:t>
      </w:r>
    </w:p>
    <w:p w14:paraId="06106175" w14:textId="77777777" w:rsidR="00EA6D4B" w:rsidRPr="00EA6D4B" w:rsidRDefault="00EA6D4B" w:rsidP="00EA6D4B">
      <w:pPr>
        <w:pStyle w:val="ListParagraph"/>
        <w:numPr>
          <w:ilvl w:val="1"/>
          <w:numId w:val="49"/>
        </w:numPr>
        <w:spacing w:after="160" w:line="259" w:lineRule="auto"/>
      </w:pPr>
      <w:r w:rsidRPr="00EA6D4B">
        <w:t>Password policy</w:t>
      </w:r>
    </w:p>
    <w:p w14:paraId="3D777708" w14:textId="77777777" w:rsidR="00EA6D4B" w:rsidRPr="00EA6D4B" w:rsidRDefault="00EA6D4B" w:rsidP="00EA6D4B">
      <w:pPr>
        <w:pStyle w:val="ListParagraph"/>
        <w:numPr>
          <w:ilvl w:val="1"/>
          <w:numId w:val="49"/>
        </w:numPr>
        <w:spacing w:after="160" w:line="259" w:lineRule="auto"/>
      </w:pPr>
      <w:r w:rsidRPr="00EA6D4B">
        <w:t>Future needs for mobile usage</w:t>
      </w:r>
    </w:p>
    <w:p w14:paraId="2B1E4A38" w14:textId="77777777" w:rsidR="00EA6D4B" w:rsidRPr="00EA6D4B" w:rsidRDefault="00EA6D4B" w:rsidP="00EA6D4B">
      <w:pPr>
        <w:pStyle w:val="ListParagraph"/>
        <w:numPr>
          <w:ilvl w:val="1"/>
          <w:numId w:val="49"/>
        </w:numPr>
        <w:spacing w:after="160" w:line="259" w:lineRule="auto"/>
      </w:pPr>
      <w:r w:rsidRPr="00EA6D4B">
        <w:t>Arrangements of system ownership and hosting</w:t>
      </w:r>
    </w:p>
    <w:p w14:paraId="441217CA" w14:textId="77777777" w:rsidR="00EA6D4B" w:rsidRPr="00EA6D4B" w:rsidRDefault="00EA6D4B" w:rsidP="00EA6D4B">
      <w:pPr>
        <w:pStyle w:val="ListParagraph"/>
        <w:numPr>
          <w:ilvl w:val="0"/>
          <w:numId w:val="49"/>
        </w:numPr>
        <w:spacing w:after="160" w:line="259" w:lineRule="auto"/>
      </w:pPr>
      <w:r w:rsidRPr="00EA6D4B">
        <w:t>Supplier competence</w:t>
      </w:r>
    </w:p>
    <w:p w14:paraId="05278B3C" w14:textId="77777777" w:rsidR="00EA6D4B" w:rsidRPr="00EA6D4B" w:rsidRDefault="00EA6D4B" w:rsidP="00EA6D4B">
      <w:pPr>
        <w:pStyle w:val="ListParagraph"/>
        <w:numPr>
          <w:ilvl w:val="1"/>
          <w:numId w:val="49"/>
        </w:numPr>
        <w:spacing w:after="160" w:line="259" w:lineRule="auto"/>
      </w:pPr>
      <w:r w:rsidRPr="00EA6D4B">
        <w:t xml:space="preserve">Depth of skills and experience of project staff </w:t>
      </w:r>
    </w:p>
    <w:p w14:paraId="59153105" w14:textId="77777777" w:rsidR="00EA6D4B" w:rsidRPr="00EA6D4B" w:rsidRDefault="00EA6D4B" w:rsidP="00EA6D4B">
      <w:pPr>
        <w:pStyle w:val="ListParagraph"/>
        <w:numPr>
          <w:ilvl w:val="1"/>
          <w:numId w:val="49"/>
        </w:numPr>
        <w:spacing w:after="160" w:line="259" w:lineRule="auto"/>
      </w:pPr>
      <w:r w:rsidRPr="00EA6D4B">
        <w:t>Readiness to commence</w:t>
      </w:r>
    </w:p>
    <w:p w14:paraId="1D067DD0" w14:textId="77777777" w:rsidR="00EA6D4B" w:rsidRPr="00EA6D4B" w:rsidRDefault="00EA6D4B" w:rsidP="00EA6D4B">
      <w:pPr>
        <w:pStyle w:val="ListParagraph"/>
        <w:numPr>
          <w:ilvl w:val="0"/>
          <w:numId w:val="49"/>
        </w:numPr>
        <w:spacing w:after="160" w:line="259" w:lineRule="auto"/>
      </w:pPr>
      <w:r w:rsidRPr="00EA6D4B">
        <w:t>Alignment with industry best practises and standards (</w:t>
      </w:r>
      <w:proofErr w:type="spellStart"/>
      <w:r w:rsidRPr="00EA6D4B">
        <w:t>eg</w:t>
      </w:r>
      <w:proofErr w:type="spellEnd"/>
      <w:r w:rsidRPr="00EA6D4B">
        <w:t xml:space="preserve">. IT, ISO standards, </w:t>
      </w:r>
      <w:proofErr w:type="spellStart"/>
      <w:r w:rsidRPr="00EA6D4B">
        <w:t>etc</w:t>
      </w:r>
      <w:proofErr w:type="spellEnd"/>
      <w:r w:rsidRPr="00EA6D4B">
        <w:t>)</w:t>
      </w:r>
    </w:p>
    <w:p w14:paraId="1D1544BE" w14:textId="77777777" w:rsidR="00EA6D4B" w:rsidRPr="00EA6D4B" w:rsidRDefault="00EA6D4B" w:rsidP="00EA6D4B">
      <w:pPr>
        <w:pStyle w:val="ListParagraph"/>
        <w:numPr>
          <w:ilvl w:val="1"/>
          <w:numId w:val="49"/>
        </w:numPr>
        <w:spacing w:after="160" w:line="259" w:lineRule="auto"/>
      </w:pPr>
      <w:r w:rsidRPr="00EA6D4B">
        <w:t xml:space="preserve">User interface </w:t>
      </w:r>
    </w:p>
    <w:p w14:paraId="53FAFEFE" w14:textId="77777777" w:rsidR="00EA6D4B" w:rsidRPr="00EA6D4B" w:rsidRDefault="00EA6D4B" w:rsidP="00EA6D4B">
      <w:pPr>
        <w:pStyle w:val="ListParagraph"/>
        <w:numPr>
          <w:ilvl w:val="2"/>
          <w:numId w:val="49"/>
        </w:numPr>
        <w:spacing w:after="160" w:line="259" w:lineRule="auto"/>
      </w:pPr>
      <w:r w:rsidRPr="00EA6D4B">
        <w:t>appropriate to end users</w:t>
      </w:r>
    </w:p>
    <w:p w14:paraId="5F154B89" w14:textId="77777777" w:rsidR="00EA6D4B" w:rsidRPr="00EA6D4B" w:rsidRDefault="00EA6D4B" w:rsidP="00EA6D4B">
      <w:pPr>
        <w:pStyle w:val="ListParagraph"/>
        <w:numPr>
          <w:ilvl w:val="2"/>
          <w:numId w:val="49"/>
        </w:numPr>
        <w:spacing w:after="160" w:line="259" w:lineRule="auto"/>
      </w:pPr>
      <w:r w:rsidRPr="00EA6D4B">
        <w:t>Simple</w:t>
      </w:r>
    </w:p>
    <w:p w14:paraId="4EFFAAE0" w14:textId="77777777" w:rsidR="00EA6D4B" w:rsidRPr="00EA6D4B" w:rsidRDefault="00EA6D4B" w:rsidP="00EA6D4B">
      <w:pPr>
        <w:pStyle w:val="ListParagraph"/>
        <w:numPr>
          <w:ilvl w:val="2"/>
          <w:numId w:val="49"/>
        </w:numPr>
        <w:spacing w:after="160" w:line="259" w:lineRule="auto"/>
      </w:pPr>
      <w:r w:rsidRPr="00EA6D4B">
        <w:t xml:space="preserve">Intuitive </w:t>
      </w:r>
    </w:p>
    <w:p w14:paraId="414B20A0" w14:textId="77777777" w:rsidR="00EA6D4B" w:rsidRPr="00EA6D4B" w:rsidRDefault="00EA6D4B" w:rsidP="00EA6D4B">
      <w:pPr>
        <w:pStyle w:val="ListParagraph"/>
        <w:numPr>
          <w:ilvl w:val="1"/>
          <w:numId w:val="49"/>
        </w:numPr>
        <w:spacing w:after="160" w:line="259" w:lineRule="auto"/>
      </w:pPr>
      <w:r w:rsidRPr="00EA6D4B">
        <w:t>Technology stack</w:t>
      </w:r>
    </w:p>
    <w:p w14:paraId="7A2F7E60" w14:textId="77777777" w:rsidR="00EA6D4B" w:rsidRPr="00EA6D4B" w:rsidRDefault="00EA6D4B" w:rsidP="00EA6D4B">
      <w:pPr>
        <w:pStyle w:val="ListParagraph"/>
        <w:numPr>
          <w:ilvl w:val="2"/>
          <w:numId w:val="49"/>
        </w:numPr>
        <w:spacing w:after="160" w:line="259" w:lineRule="auto"/>
      </w:pPr>
      <w:r w:rsidRPr="00EA6D4B">
        <w:t>Hardware</w:t>
      </w:r>
    </w:p>
    <w:p w14:paraId="0B102A6E" w14:textId="77777777" w:rsidR="00EA6D4B" w:rsidRPr="00EA6D4B" w:rsidRDefault="00EA6D4B" w:rsidP="00EA6D4B">
      <w:pPr>
        <w:pStyle w:val="ListParagraph"/>
        <w:numPr>
          <w:ilvl w:val="2"/>
          <w:numId w:val="49"/>
        </w:numPr>
        <w:spacing w:after="160" w:line="259" w:lineRule="auto"/>
      </w:pPr>
      <w:r w:rsidRPr="00EA6D4B">
        <w:t xml:space="preserve">Software </w:t>
      </w:r>
    </w:p>
    <w:p w14:paraId="063873B0" w14:textId="77777777" w:rsidR="00EA6D4B" w:rsidRPr="00EA6D4B" w:rsidRDefault="00EA6D4B" w:rsidP="00EA6D4B">
      <w:pPr>
        <w:pStyle w:val="ListParagraph"/>
        <w:numPr>
          <w:ilvl w:val="2"/>
          <w:numId w:val="49"/>
        </w:numPr>
        <w:spacing w:after="160" w:line="259" w:lineRule="auto"/>
      </w:pPr>
      <w:r w:rsidRPr="00EA6D4B">
        <w:t xml:space="preserve">Speed of </w:t>
      </w:r>
      <w:r w:rsidRPr="00EA6D4B">
        <w:rPr>
          <w:rFonts w:cs="Arial"/>
          <w:lang w:val="en-US"/>
        </w:rPr>
        <w:t>scalability</w:t>
      </w:r>
    </w:p>
    <w:p w14:paraId="3EBAE37B" w14:textId="77777777" w:rsidR="00EA6D4B" w:rsidRPr="00EA6D4B" w:rsidRDefault="00EA6D4B" w:rsidP="00EA6D4B">
      <w:pPr>
        <w:pStyle w:val="ListParagraph"/>
        <w:numPr>
          <w:ilvl w:val="1"/>
          <w:numId w:val="49"/>
        </w:numPr>
        <w:spacing w:after="160" w:line="259" w:lineRule="auto"/>
      </w:pPr>
      <w:r w:rsidRPr="00EA6D4B">
        <w:t>Quality system for deliverables</w:t>
      </w:r>
    </w:p>
    <w:p w14:paraId="22B5B689" w14:textId="77777777" w:rsidR="00EA6D4B" w:rsidRPr="00EA6D4B" w:rsidRDefault="00EA6D4B" w:rsidP="00EA6D4B">
      <w:pPr>
        <w:pStyle w:val="ListParagraph"/>
        <w:numPr>
          <w:ilvl w:val="2"/>
          <w:numId w:val="49"/>
        </w:numPr>
        <w:spacing w:after="160" w:line="259" w:lineRule="auto"/>
      </w:pPr>
      <w:r w:rsidRPr="00EA6D4B">
        <w:t>Certification</w:t>
      </w:r>
    </w:p>
    <w:p w14:paraId="302858DF" w14:textId="77777777" w:rsidR="00EA6D4B" w:rsidRPr="00EA6D4B" w:rsidRDefault="00EA6D4B" w:rsidP="00EA6D4B">
      <w:pPr>
        <w:pStyle w:val="ListParagraph"/>
        <w:numPr>
          <w:ilvl w:val="2"/>
          <w:numId w:val="49"/>
        </w:numPr>
        <w:spacing w:after="160" w:line="259" w:lineRule="auto"/>
      </w:pPr>
      <w:r w:rsidRPr="00EA6D4B">
        <w:t>Documented system</w:t>
      </w:r>
    </w:p>
    <w:p w14:paraId="16E63835" w14:textId="77777777" w:rsidR="00EA6D4B" w:rsidRPr="00EA6D4B" w:rsidRDefault="00EA6D4B" w:rsidP="00EA6D4B">
      <w:pPr>
        <w:pStyle w:val="ListParagraph"/>
        <w:numPr>
          <w:ilvl w:val="0"/>
          <w:numId w:val="49"/>
        </w:numPr>
        <w:spacing w:after="160" w:line="259" w:lineRule="auto"/>
      </w:pPr>
      <w:r w:rsidRPr="00EA6D4B">
        <w:t>Support for multi-tenanted environment and growing partnerships/usage</w:t>
      </w:r>
    </w:p>
    <w:p w14:paraId="190710E3" w14:textId="77777777" w:rsidR="00EA6D4B" w:rsidRPr="00EA6D4B" w:rsidRDefault="00EA6D4B" w:rsidP="00EA6D4B">
      <w:pPr>
        <w:pStyle w:val="ListParagraph"/>
        <w:numPr>
          <w:ilvl w:val="1"/>
          <w:numId w:val="49"/>
        </w:numPr>
        <w:spacing w:after="160" w:line="259" w:lineRule="auto"/>
      </w:pPr>
      <w:r w:rsidRPr="00EA6D4B">
        <w:t>Test and production environment</w:t>
      </w:r>
    </w:p>
    <w:p w14:paraId="3F1FA0D1" w14:textId="77777777" w:rsidR="00EA6D4B" w:rsidRPr="00EA6D4B" w:rsidRDefault="00EA6D4B" w:rsidP="00EA6D4B">
      <w:pPr>
        <w:pStyle w:val="ListParagraph"/>
        <w:numPr>
          <w:ilvl w:val="1"/>
          <w:numId w:val="49"/>
        </w:numPr>
        <w:spacing w:after="160" w:line="259" w:lineRule="auto"/>
      </w:pPr>
      <w:r w:rsidRPr="00EA6D4B">
        <w:t>On-boarding process for new countries</w:t>
      </w:r>
    </w:p>
    <w:p w14:paraId="3B694F49" w14:textId="77777777" w:rsidR="00EA6D4B" w:rsidRPr="00EA6D4B" w:rsidRDefault="00EA6D4B" w:rsidP="00EA6D4B">
      <w:pPr>
        <w:pStyle w:val="ListParagraph"/>
        <w:numPr>
          <w:ilvl w:val="1"/>
          <w:numId w:val="49"/>
        </w:numPr>
        <w:spacing w:after="160" w:line="259" w:lineRule="auto"/>
      </w:pPr>
      <w:r w:rsidRPr="00EA6D4B">
        <w:t>Potential for additional organisations joining the system</w:t>
      </w:r>
    </w:p>
    <w:p w14:paraId="521389CC" w14:textId="77777777" w:rsidR="00EA6D4B" w:rsidRPr="00EA6D4B" w:rsidRDefault="00EA6D4B" w:rsidP="00EA6D4B">
      <w:pPr>
        <w:pStyle w:val="ListParagraph"/>
        <w:numPr>
          <w:ilvl w:val="0"/>
          <w:numId w:val="49"/>
        </w:numPr>
        <w:spacing w:after="160" w:line="259" w:lineRule="auto"/>
      </w:pPr>
      <w:r w:rsidRPr="00EA6D4B">
        <w:t>Consistent global service delivery with options for local resources</w:t>
      </w:r>
    </w:p>
    <w:p w14:paraId="529A2EA0" w14:textId="77777777" w:rsidR="00EA6D4B" w:rsidRPr="00EA6D4B" w:rsidRDefault="00EA6D4B" w:rsidP="00EA6D4B"/>
    <w:p w14:paraId="7FFB8FF4" w14:textId="77777777" w:rsidR="00EA6D4B" w:rsidRPr="00EA6D4B" w:rsidRDefault="00EA6D4B" w:rsidP="00EA6D4B">
      <w:pPr>
        <w:pStyle w:val="ListParagraph"/>
        <w:numPr>
          <w:ilvl w:val="0"/>
          <w:numId w:val="47"/>
        </w:numPr>
        <w:spacing w:after="160" w:line="259" w:lineRule="auto"/>
      </w:pPr>
      <w:r w:rsidRPr="00EA6D4B">
        <w:rPr>
          <w:b/>
        </w:rPr>
        <w:t>Business assessment</w:t>
      </w:r>
      <w:r w:rsidRPr="00EA6D4B">
        <w:t xml:space="preserve"> criteria to be conducted by the IPPC</w:t>
      </w:r>
    </w:p>
    <w:p w14:paraId="70CE900E" w14:textId="77777777" w:rsidR="00EA6D4B" w:rsidRPr="00EA6D4B" w:rsidRDefault="00EA6D4B" w:rsidP="00EA6D4B">
      <w:pPr>
        <w:pStyle w:val="ListParagraph"/>
      </w:pPr>
    </w:p>
    <w:p w14:paraId="3F795210" w14:textId="77777777" w:rsidR="00EA6D4B" w:rsidRPr="00EA6D4B" w:rsidRDefault="00EA6D4B" w:rsidP="00EA6D4B">
      <w:pPr>
        <w:pStyle w:val="ListParagraph"/>
        <w:numPr>
          <w:ilvl w:val="1"/>
          <w:numId w:val="48"/>
        </w:numPr>
        <w:spacing w:after="160" w:line="259" w:lineRule="auto"/>
      </w:pPr>
      <w:r w:rsidRPr="00EA6D4B">
        <w:t xml:space="preserve">Contractual arrangement </w:t>
      </w:r>
    </w:p>
    <w:p w14:paraId="2C4DF5B9" w14:textId="77777777" w:rsidR="00EA6D4B" w:rsidRPr="00EA6D4B" w:rsidRDefault="00EA6D4B" w:rsidP="00EA6D4B">
      <w:pPr>
        <w:pStyle w:val="ListParagraph"/>
        <w:numPr>
          <w:ilvl w:val="2"/>
          <w:numId w:val="48"/>
        </w:numPr>
        <w:spacing w:after="160" w:line="259" w:lineRule="auto"/>
      </w:pPr>
      <w:r w:rsidRPr="00EA6D4B">
        <w:t>Efficient administrative procedure and costs related with establishment, operations and maintenance of system</w:t>
      </w:r>
    </w:p>
    <w:p w14:paraId="45D87FBE" w14:textId="77777777" w:rsidR="00EA6D4B" w:rsidRPr="00EA6D4B" w:rsidRDefault="00EA6D4B" w:rsidP="00EA6D4B">
      <w:pPr>
        <w:pStyle w:val="ListParagraph"/>
        <w:numPr>
          <w:ilvl w:val="2"/>
          <w:numId w:val="48"/>
        </w:numPr>
        <w:spacing w:after="160" w:line="259" w:lineRule="auto"/>
      </w:pPr>
      <w:r w:rsidRPr="00EA6D4B">
        <w:t>Timeframes for contract of engagement</w:t>
      </w:r>
    </w:p>
    <w:p w14:paraId="1DA96515" w14:textId="77777777" w:rsidR="00EA6D4B" w:rsidRPr="00EA6D4B" w:rsidRDefault="00EA6D4B" w:rsidP="00EA6D4B">
      <w:pPr>
        <w:pStyle w:val="ListParagraph"/>
        <w:numPr>
          <w:ilvl w:val="2"/>
          <w:numId w:val="48"/>
        </w:numPr>
        <w:spacing w:after="160" w:line="259" w:lineRule="auto"/>
      </w:pPr>
      <w:r w:rsidRPr="00EA6D4B">
        <w:t>Readiness of resources to commence</w:t>
      </w:r>
    </w:p>
    <w:p w14:paraId="06978DEE" w14:textId="77777777" w:rsidR="00EA6D4B" w:rsidRPr="00EA6D4B" w:rsidRDefault="00EA6D4B" w:rsidP="00EA6D4B">
      <w:pPr>
        <w:pStyle w:val="ListParagraph"/>
        <w:numPr>
          <w:ilvl w:val="2"/>
          <w:numId w:val="48"/>
        </w:numPr>
        <w:spacing w:after="160" w:line="259" w:lineRule="auto"/>
      </w:pPr>
      <w:r w:rsidRPr="00EA6D4B">
        <w:t>Ownership of system code and data</w:t>
      </w:r>
    </w:p>
    <w:p w14:paraId="7F2C98E2" w14:textId="77777777" w:rsidR="00EA6D4B" w:rsidRPr="00EA6D4B" w:rsidRDefault="00EA6D4B" w:rsidP="00EA6D4B">
      <w:pPr>
        <w:pStyle w:val="ListParagraph"/>
        <w:numPr>
          <w:ilvl w:val="2"/>
          <w:numId w:val="48"/>
        </w:numPr>
        <w:spacing w:after="160" w:line="259" w:lineRule="auto"/>
      </w:pPr>
      <w:r w:rsidRPr="00EA6D4B">
        <w:t>Flexibility to accommodate change without penalties</w:t>
      </w:r>
    </w:p>
    <w:p w14:paraId="6CF2037F" w14:textId="77777777" w:rsidR="00EA6D4B" w:rsidRPr="00EA6D4B" w:rsidRDefault="00EA6D4B" w:rsidP="00EA6D4B">
      <w:pPr>
        <w:pStyle w:val="ListParagraph"/>
        <w:numPr>
          <w:ilvl w:val="2"/>
          <w:numId w:val="48"/>
        </w:numPr>
        <w:spacing w:after="160" w:line="259" w:lineRule="auto"/>
      </w:pPr>
      <w:r w:rsidRPr="00EA6D4B">
        <w:t>Warranty (</w:t>
      </w:r>
      <w:proofErr w:type="spellStart"/>
      <w:r w:rsidRPr="00EA6D4B">
        <w:t>eg</w:t>
      </w:r>
      <w:proofErr w:type="spellEnd"/>
      <w:r w:rsidRPr="00EA6D4B">
        <w:t>. Production bug fixes within agreed time)</w:t>
      </w:r>
    </w:p>
    <w:p w14:paraId="1B7D0079" w14:textId="77777777" w:rsidR="00EA6D4B" w:rsidRPr="00EA6D4B" w:rsidRDefault="00EA6D4B" w:rsidP="00EA6D4B">
      <w:pPr>
        <w:pStyle w:val="ListParagraph"/>
        <w:numPr>
          <w:ilvl w:val="1"/>
          <w:numId w:val="48"/>
        </w:numPr>
        <w:spacing w:after="160" w:line="259" w:lineRule="auto"/>
      </w:pPr>
      <w:r w:rsidRPr="00EA6D4B">
        <w:t>Capacity and capability to perform the work within the IPPC timeframe</w:t>
      </w:r>
    </w:p>
    <w:p w14:paraId="2587D3A3" w14:textId="77777777" w:rsidR="00EA6D4B" w:rsidRPr="00EA6D4B" w:rsidRDefault="00EA6D4B" w:rsidP="00EA6D4B">
      <w:pPr>
        <w:pStyle w:val="ListParagraph"/>
        <w:numPr>
          <w:ilvl w:val="2"/>
          <w:numId w:val="48"/>
        </w:numPr>
        <w:spacing w:after="160" w:line="259" w:lineRule="auto"/>
      </w:pPr>
      <w:r w:rsidRPr="00EA6D4B">
        <w:t>Timeframes for build, testing and implementation</w:t>
      </w:r>
    </w:p>
    <w:p w14:paraId="66CED819" w14:textId="77777777" w:rsidR="00EA6D4B" w:rsidRPr="00EA6D4B" w:rsidRDefault="00EA6D4B" w:rsidP="00EA6D4B">
      <w:pPr>
        <w:pStyle w:val="ListParagraph"/>
        <w:numPr>
          <w:ilvl w:val="1"/>
          <w:numId w:val="48"/>
        </w:numPr>
        <w:spacing w:after="160" w:line="259" w:lineRule="auto"/>
      </w:pPr>
      <w:r w:rsidRPr="00EA6D4B">
        <w:t>Past performance</w:t>
      </w:r>
    </w:p>
    <w:p w14:paraId="284526A7" w14:textId="77777777" w:rsidR="00EA6D4B" w:rsidRPr="00EA6D4B" w:rsidRDefault="00EA6D4B" w:rsidP="00EA6D4B">
      <w:pPr>
        <w:pStyle w:val="ListParagraph"/>
        <w:numPr>
          <w:ilvl w:val="2"/>
          <w:numId w:val="48"/>
        </w:numPr>
        <w:spacing w:after="160" w:line="259" w:lineRule="auto"/>
      </w:pPr>
      <w:r w:rsidRPr="00EA6D4B">
        <w:t>Experience in the IT industry</w:t>
      </w:r>
    </w:p>
    <w:p w14:paraId="7FE899E6" w14:textId="77777777" w:rsidR="00EA6D4B" w:rsidRPr="00EA6D4B" w:rsidRDefault="00EA6D4B" w:rsidP="00EA6D4B">
      <w:pPr>
        <w:pStyle w:val="ListParagraph"/>
        <w:numPr>
          <w:ilvl w:val="2"/>
          <w:numId w:val="48"/>
        </w:numPr>
        <w:spacing w:after="160" w:line="259" w:lineRule="auto"/>
      </w:pPr>
      <w:r w:rsidRPr="00EA6D4B">
        <w:t xml:space="preserve">Experience with centralised web based systems; producing, sending and receiving electronic certificates; and issuing paper certificates </w:t>
      </w:r>
    </w:p>
    <w:p w14:paraId="19650677" w14:textId="77777777" w:rsidR="00EA6D4B" w:rsidRPr="00EA6D4B" w:rsidRDefault="00EA6D4B" w:rsidP="00EA6D4B">
      <w:pPr>
        <w:pStyle w:val="ListParagraph"/>
        <w:numPr>
          <w:ilvl w:val="2"/>
          <w:numId w:val="48"/>
        </w:numPr>
        <w:spacing w:after="160" w:line="259" w:lineRule="auto"/>
      </w:pPr>
      <w:r w:rsidRPr="00EA6D4B">
        <w:t>Global inter-agency collaboration experience</w:t>
      </w:r>
    </w:p>
    <w:p w14:paraId="53B5CB16" w14:textId="77777777" w:rsidR="00EA6D4B" w:rsidRPr="00EA6D4B" w:rsidRDefault="00EA6D4B" w:rsidP="00EA6D4B">
      <w:pPr>
        <w:pStyle w:val="ListParagraph"/>
        <w:numPr>
          <w:ilvl w:val="2"/>
          <w:numId w:val="48"/>
        </w:numPr>
        <w:spacing w:after="160" w:line="259" w:lineRule="auto"/>
      </w:pPr>
      <w:r w:rsidRPr="00EA6D4B">
        <w:t>Range of managed services aligned to IPPC business needs</w:t>
      </w:r>
    </w:p>
    <w:p w14:paraId="003CEC41" w14:textId="77777777" w:rsidR="00EA6D4B" w:rsidRPr="00EA6D4B" w:rsidRDefault="00EA6D4B" w:rsidP="00EA6D4B">
      <w:pPr>
        <w:pStyle w:val="ListParagraph"/>
        <w:numPr>
          <w:ilvl w:val="2"/>
          <w:numId w:val="48"/>
        </w:numPr>
        <w:spacing w:after="160" w:line="259" w:lineRule="auto"/>
      </w:pPr>
      <w:r w:rsidRPr="00EA6D4B">
        <w:t>Customer recommendation</w:t>
      </w:r>
    </w:p>
    <w:p w14:paraId="3C40243F" w14:textId="77777777" w:rsidR="00EA6D4B" w:rsidRPr="00EA6D4B" w:rsidRDefault="00EA6D4B" w:rsidP="00EA6D4B">
      <w:pPr>
        <w:pStyle w:val="ListParagraph"/>
        <w:numPr>
          <w:ilvl w:val="1"/>
          <w:numId w:val="48"/>
        </w:numPr>
        <w:spacing w:after="160" w:line="259" w:lineRule="auto"/>
      </w:pPr>
      <w:r w:rsidRPr="00EA6D4B">
        <w:t>Experience in Training</w:t>
      </w:r>
      <w:r w:rsidRPr="00EA6D4B">
        <w:tab/>
      </w:r>
    </w:p>
    <w:p w14:paraId="03BB6C4B" w14:textId="77777777" w:rsidR="00EA6D4B" w:rsidRPr="00EA6D4B" w:rsidRDefault="00EA6D4B" w:rsidP="00EA6D4B">
      <w:pPr>
        <w:pStyle w:val="ListParagraph"/>
        <w:numPr>
          <w:ilvl w:val="2"/>
          <w:numId w:val="48"/>
        </w:numPr>
        <w:spacing w:after="160" w:line="259" w:lineRule="auto"/>
      </w:pPr>
      <w:r w:rsidRPr="00EA6D4B">
        <w:t>Development of user manuals</w:t>
      </w:r>
    </w:p>
    <w:p w14:paraId="48362E38" w14:textId="77777777" w:rsidR="00EA6D4B" w:rsidRPr="00EA6D4B" w:rsidRDefault="00EA6D4B" w:rsidP="00EA6D4B">
      <w:pPr>
        <w:pStyle w:val="ListParagraph"/>
        <w:numPr>
          <w:ilvl w:val="2"/>
          <w:numId w:val="48"/>
        </w:numPr>
        <w:spacing w:after="160" w:line="259" w:lineRule="auto"/>
      </w:pPr>
      <w:r w:rsidRPr="00EA6D4B">
        <w:t>Delivery of end user training</w:t>
      </w:r>
    </w:p>
    <w:p w14:paraId="6198044A" w14:textId="77777777" w:rsidR="00EA6D4B" w:rsidRPr="00EA6D4B" w:rsidRDefault="00EA6D4B" w:rsidP="00EA6D4B">
      <w:pPr>
        <w:pStyle w:val="ListParagraph"/>
        <w:numPr>
          <w:ilvl w:val="2"/>
          <w:numId w:val="48"/>
        </w:numPr>
        <w:spacing w:after="160" w:line="259" w:lineRule="auto"/>
      </w:pPr>
      <w:r w:rsidRPr="00EA6D4B">
        <w:t>On-going maintenance of training modules and delivery</w:t>
      </w:r>
    </w:p>
    <w:p w14:paraId="1FE984F1" w14:textId="77777777" w:rsidR="00EA6D4B" w:rsidRPr="00EA6D4B" w:rsidRDefault="00EA6D4B" w:rsidP="00EA6D4B">
      <w:pPr>
        <w:pStyle w:val="ListParagraph"/>
        <w:numPr>
          <w:ilvl w:val="1"/>
          <w:numId w:val="48"/>
        </w:numPr>
        <w:spacing w:after="160" w:line="259" w:lineRule="auto"/>
      </w:pPr>
      <w:r w:rsidRPr="00EA6D4B">
        <w:t>Client support services</w:t>
      </w:r>
      <w:r w:rsidRPr="00EA6D4B">
        <w:tab/>
      </w:r>
    </w:p>
    <w:p w14:paraId="5C9DE744" w14:textId="77777777" w:rsidR="00EA6D4B" w:rsidRPr="00EA6D4B" w:rsidRDefault="00EA6D4B" w:rsidP="00EA6D4B">
      <w:pPr>
        <w:pStyle w:val="ListParagraph"/>
        <w:numPr>
          <w:ilvl w:val="2"/>
          <w:numId w:val="48"/>
        </w:numPr>
        <w:spacing w:after="160" w:line="259" w:lineRule="auto"/>
      </w:pPr>
      <w:r w:rsidRPr="00EA6D4B">
        <w:t>Customer service policy and practise</w:t>
      </w:r>
    </w:p>
    <w:p w14:paraId="30BE141D" w14:textId="77777777" w:rsidR="00EA6D4B" w:rsidRPr="00EA6D4B" w:rsidRDefault="00EA6D4B" w:rsidP="00EA6D4B">
      <w:pPr>
        <w:pStyle w:val="ListParagraph"/>
        <w:numPr>
          <w:ilvl w:val="2"/>
          <w:numId w:val="48"/>
        </w:numPr>
        <w:spacing w:after="160" w:line="259" w:lineRule="auto"/>
      </w:pPr>
      <w:r w:rsidRPr="00EA6D4B">
        <w:t>Surveys for customer feedback</w:t>
      </w:r>
    </w:p>
    <w:p w14:paraId="07167268" w14:textId="77777777" w:rsidR="00EA6D4B" w:rsidRPr="00EA6D4B" w:rsidRDefault="00EA6D4B" w:rsidP="00EA6D4B">
      <w:pPr>
        <w:pStyle w:val="ListParagraph"/>
        <w:numPr>
          <w:ilvl w:val="2"/>
          <w:numId w:val="48"/>
        </w:numPr>
        <w:spacing w:after="160" w:line="259" w:lineRule="auto"/>
      </w:pPr>
      <w:r w:rsidRPr="00EA6D4B">
        <w:rPr>
          <w:rFonts w:cs="Arial"/>
          <w:lang w:val="en-US"/>
        </w:rPr>
        <w:t>change management</w:t>
      </w:r>
    </w:p>
    <w:p w14:paraId="032FB968" w14:textId="77777777" w:rsidR="00EA6D4B" w:rsidRPr="00EA6D4B" w:rsidRDefault="00EA6D4B" w:rsidP="00EA6D4B">
      <w:pPr>
        <w:pStyle w:val="ListParagraph"/>
        <w:numPr>
          <w:ilvl w:val="2"/>
          <w:numId w:val="48"/>
        </w:numPr>
        <w:spacing w:after="160" w:line="259" w:lineRule="auto"/>
      </w:pPr>
      <w:r w:rsidRPr="00EA6D4B">
        <w:rPr>
          <w:rFonts w:cs="Arial"/>
          <w:lang w:val="en-US"/>
        </w:rPr>
        <w:t>initial implementation</w:t>
      </w:r>
    </w:p>
    <w:p w14:paraId="58E8720B" w14:textId="77777777" w:rsidR="00EA6D4B" w:rsidRPr="00EA6D4B" w:rsidRDefault="00EA6D4B" w:rsidP="00EA6D4B">
      <w:pPr>
        <w:pStyle w:val="ListParagraph"/>
        <w:numPr>
          <w:ilvl w:val="2"/>
          <w:numId w:val="48"/>
        </w:numPr>
        <w:spacing w:after="160" w:line="259" w:lineRule="auto"/>
      </w:pPr>
      <w:r w:rsidRPr="00EA6D4B">
        <w:rPr>
          <w:rFonts w:cs="Arial"/>
          <w:lang w:val="en-US"/>
        </w:rPr>
        <w:t xml:space="preserve">level of on-going support </w:t>
      </w:r>
    </w:p>
    <w:p w14:paraId="686BF0BB" w14:textId="77777777" w:rsidR="00EA6D4B" w:rsidRPr="00EA6D4B" w:rsidRDefault="00EA6D4B" w:rsidP="00EA6D4B">
      <w:pPr>
        <w:pStyle w:val="ListParagraph"/>
        <w:numPr>
          <w:ilvl w:val="2"/>
          <w:numId w:val="48"/>
        </w:numPr>
        <w:spacing w:after="160" w:line="259" w:lineRule="auto"/>
      </w:pPr>
      <w:r w:rsidRPr="00EA6D4B">
        <w:rPr>
          <w:rFonts w:cs="Arial"/>
          <w:lang w:val="en-US"/>
        </w:rPr>
        <w:t>scalability</w:t>
      </w:r>
    </w:p>
    <w:p w14:paraId="0FFF1386" w14:textId="77777777" w:rsidR="00EA6D4B" w:rsidRPr="00EA6D4B" w:rsidRDefault="00EA6D4B" w:rsidP="00EA6D4B">
      <w:pPr>
        <w:pStyle w:val="ListParagraph"/>
        <w:numPr>
          <w:ilvl w:val="1"/>
          <w:numId w:val="48"/>
        </w:numPr>
        <w:spacing w:after="160" w:line="259" w:lineRule="auto"/>
      </w:pPr>
      <w:r w:rsidRPr="00EA6D4B">
        <w:t>Political neutrality</w:t>
      </w:r>
    </w:p>
    <w:p w14:paraId="479CAA23" w14:textId="77777777" w:rsidR="00EA6D4B" w:rsidRPr="00EA6D4B" w:rsidRDefault="00EA6D4B" w:rsidP="00EA6D4B">
      <w:pPr>
        <w:pStyle w:val="ListParagraph"/>
        <w:numPr>
          <w:ilvl w:val="2"/>
          <w:numId w:val="48"/>
        </w:numPr>
        <w:spacing w:after="160" w:line="259" w:lineRule="auto"/>
      </w:pPr>
      <w:r w:rsidRPr="00EA6D4B">
        <w:t>Location and regulatory capacity of servers</w:t>
      </w:r>
    </w:p>
    <w:p w14:paraId="6037CBDE" w14:textId="77777777" w:rsidR="00EA6D4B" w:rsidRPr="00EA6D4B" w:rsidRDefault="00EA6D4B" w:rsidP="00EA6D4B">
      <w:pPr>
        <w:pStyle w:val="ListParagraph"/>
        <w:numPr>
          <w:ilvl w:val="1"/>
          <w:numId w:val="48"/>
        </w:numPr>
        <w:spacing w:after="160" w:line="259" w:lineRule="auto"/>
      </w:pPr>
      <w:r w:rsidRPr="00EA6D4B">
        <w:t>Financial considerations</w:t>
      </w:r>
    </w:p>
    <w:p w14:paraId="5794E49B" w14:textId="77777777" w:rsidR="00EA6D4B" w:rsidRPr="00EA6D4B" w:rsidRDefault="00EA6D4B" w:rsidP="00EA6D4B">
      <w:pPr>
        <w:pStyle w:val="ListParagraph"/>
        <w:numPr>
          <w:ilvl w:val="2"/>
          <w:numId w:val="48"/>
        </w:numPr>
        <w:spacing w:after="160" w:line="259" w:lineRule="auto"/>
      </w:pPr>
      <w:r w:rsidRPr="00EA6D4B">
        <w:t>Build price</w:t>
      </w:r>
    </w:p>
    <w:p w14:paraId="0612E9CD" w14:textId="77777777" w:rsidR="00EA6D4B" w:rsidRPr="00EA6D4B" w:rsidRDefault="00EA6D4B" w:rsidP="00EA6D4B">
      <w:pPr>
        <w:pStyle w:val="ListParagraph"/>
        <w:numPr>
          <w:ilvl w:val="2"/>
          <w:numId w:val="48"/>
        </w:numPr>
        <w:spacing w:after="160" w:line="259" w:lineRule="auto"/>
      </w:pPr>
      <w:r w:rsidRPr="00EA6D4B">
        <w:t>Operations and maintenance costs (considering countries coming on line)</w:t>
      </w:r>
    </w:p>
    <w:p w14:paraId="1EA008A2" w14:textId="77777777" w:rsidR="00EA6D4B" w:rsidRPr="00EA6D4B" w:rsidRDefault="00EA6D4B" w:rsidP="00EA6D4B">
      <w:pPr>
        <w:pStyle w:val="ListParagraph"/>
        <w:numPr>
          <w:ilvl w:val="2"/>
          <w:numId w:val="48"/>
        </w:numPr>
        <w:spacing w:after="160" w:line="259" w:lineRule="auto"/>
      </w:pPr>
      <w:r w:rsidRPr="00EA6D4B">
        <w:t>Price breaks and quantity discounts (economy of scale)</w:t>
      </w:r>
    </w:p>
    <w:p w14:paraId="7C77FA4D" w14:textId="77777777" w:rsidR="00EA6D4B" w:rsidRPr="00EA6D4B" w:rsidRDefault="00EA6D4B" w:rsidP="00EA6D4B">
      <w:pPr>
        <w:pStyle w:val="ListParagraph"/>
        <w:numPr>
          <w:ilvl w:val="2"/>
          <w:numId w:val="48"/>
        </w:numPr>
        <w:spacing w:after="160" w:line="259" w:lineRule="auto"/>
      </w:pPr>
      <w:r w:rsidRPr="00EA6D4B">
        <w:t>Satisfies best value analysis</w:t>
      </w:r>
    </w:p>
    <w:p w14:paraId="620F01EC" w14:textId="5319E464" w:rsidR="006523B3" w:rsidRDefault="006523B3">
      <w:pPr>
        <w:spacing w:after="0"/>
      </w:pPr>
      <w:r>
        <w:br w:type="page"/>
      </w:r>
    </w:p>
    <w:p w14:paraId="3D44827C" w14:textId="62AAA51F" w:rsidR="00550893" w:rsidRPr="006523B3" w:rsidRDefault="00550893" w:rsidP="00550893">
      <w:pPr>
        <w:pStyle w:val="Heading1"/>
      </w:pPr>
      <w:bookmarkStart w:id="22" w:name="_GoBack"/>
      <w:bookmarkEnd w:id="22"/>
      <w:r>
        <w:lastRenderedPageBreak/>
        <w:br w:type="page"/>
      </w:r>
      <w:bookmarkStart w:id="23" w:name="_Toc482185438"/>
      <w:r w:rsidRPr="006523B3">
        <w:lastRenderedPageBreak/>
        <w:t xml:space="preserve">Annex </w:t>
      </w:r>
      <w:r>
        <w:t>4</w:t>
      </w:r>
      <w:r w:rsidRPr="006523B3">
        <w:t xml:space="preserve"> </w:t>
      </w:r>
      <w:r w:rsidR="00BB649D">
        <w:t>–</w:t>
      </w:r>
      <w:r w:rsidRPr="006523B3">
        <w:t xml:space="preserve"> </w:t>
      </w:r>
      <w:r w:rsidR="00BB649D">
        <w:t>Work plan</w:t>
      </w:r>
      <w:bookmarkEnd w:id="23"/>
    </w:p>
    <w:tbl>
      <w:tblPr>
        <w:tblStyle w:val="TableGrid"/>
        <w:tblW w:w="10310" w:type="dxa"/>
        <w:jc w:val="center"/>
        <w:tblLayout w:type="fixed"/>
        <w:tblLook w:val="04A0" w:firstRow="1" w:lastRow="0" w:firstColumn="1" w:lastColumn="0" w:noHBand="0" w:noVBand="1"/>
      </w:tblPr>
      <w:tblGrid>
        <w:gridCol w:w="6318"/>
        <w:gridCol w:w="1996"/>
        <w:gridCol w:w="1996"/>
      </w:tblGrid>
      <w:tr w:rsidR="00550893" w:rsidRPr="003B066F" w14:paraId="011CC46D" w14:textId="77777777" w:rsidTr="00BB649D">
        <w:trPr>
          <w:tblHeader/>
          <w:jc w:val="center"/>
        </w:trPr>
        <w:tc>
          <w:tcPr>
            <w:tcW w:w="6318" w:type="dxa"/>
          </w:tcPr>
          <w:p w14:paraId="084E92DC" w14:textId="77777777" w:rsidR="00550893" w:rsidRPr="001A6AEB" w:rsidRDefault="00550893" w:rsidP="00496722">
            <w:pPr>
              <w:jc w:val="center"/>
              <w:rPr>
                <w:b/>
              </w:rPr>
            </w:pPr>
            <w:r>
              <w:rPr>
                <w:b/>
              </w:rPr>
              <w:t>Action Item</w:t>
            </w:r>
          </w:p>
        </w:tc>
        <w:tc>
          <w:tcPr>
            <w:tcW w:w="1996" w:type="dxa"/>
          </w:tcPr>
          <w:p w14:paraId="4964C429" w14:textId="77777777" w:rsidR="00550893" w:rsidRPr="001A6AEB" w:rsidRDefault="00550893" w:rsidP="00496722">
            <w:pPr>
              <w:jc w:val="center"/>
              <w:rPr>
                <w:b/>
              </w:rPr>
            </w:pPr>
            <w:r>
              <w:rPr>
                <w:b/>
              </w:rPr>
              <w:t>Lead</w:t>
            </w:r>
          </w:p>
        </w:tc>
        <w:tc>
          <w:tcPr>
            <w:tcW w:w="1996" w:type="dxa"/>
          </w:tcPr>
          <w:p w14:paraId="0AF26FC9" w14:textId="77777777" w:rsidR="00BB649D" w:rsidRDefault="00550893" w:rsidP="00496722">
            <w:pPr>
              <w:jc w:val="center"/>
              <w:rPr>
                <w:b/>
              </w:rPr>
            </w:pPr>
            <w:r>
              <w:rPr>
                <w:b/>
              </w:rPr>
              <w:t>Due Date</w:t>
            </w:r>
            <w:r w:rsidR="00C86AF5">
              <w:rPr>
                <w:b/>
              </w:rPr>
              <w:t xml:space="preserve"> </w:t>
            </w:r>
          </w:p>
          <w:p w14:paraId="39C62240" w14:textId="11B72C64" w:rsidR="00550893" w:rsidRPr="001A6AEB" w:rsidRDefault="00C86AF5" w:rsidP="00496722">
            <w:pPr>
              <w:jc w:val="center"/>
              <w:rPr>
                <w:b/>
              </w:rPr>
            </w:pPr>
            <w:r>
              <w:rPr>
                <w:b/>
              </w:rPr>
              <w:t>(2017)</w:t>
            </w:r>
          </w:p>
        </w:tc>
      </w:tr>
      <w:tr w:rsidR="003608F8" w14:paraId="179D412C" w14:textId="77777777" w:rsidTr="00BB649D">
        <w:trPr>
          <w:jc w:val="center"/>
        </w:trPr>
        <w:tc>
          <w:tcPr>
            <w:tcW w:w="6318" w:type="dxa"/>
          </w:tcPr>
          <w:p w14:paraId="11EFD8E8" w14:textId="77D1E2D5" w:rsidR="003608F8" w:rsidRDefault="003608F8" w:rsidP="00C86AF5">
            <w:pPr>
              <w:jc w:val="both"/>
            </w:pPr>
            <w:r>
              <w:t>Revise harmonisation of product description  proposal</w:t>
            </w:r>
          </w:p>
        </w:tc>
        <w:tc>
          <w:tcPr>
            <w:tcW w:w="1996" w:type="dxa"/>
          </w:tcPr>
          <w:p w14:paraId="3960F7D7" w14:textId="49F80BA6" w:rsidR="003608F8" w:rsidRDefault="003608F8" w:rsidP="00DF443D">
            <w:pPr>
              <w:jc w:val="both"/>
            </w:pPr>
            <w:r>
              <w:t>Horn</w:t>
            </w:r>
          </w:p>
        </w:tc>
        <w:tc>
          <w:tcPr>
            <w:tcW w:w="1996" w:type="dxa"/>
          </w:tcPr>
          <w:p w14:paraId="5810CD35" w14:textId="747AE645" w:rsidR="003608F8" w:rsidRDefault="003608F8" w:rsidP="00C86AF5">
            <w:pPr>
              <w:jc w:val="both"/>
            </w:pPr>
            <w:r>
              <w:t>31 March</w:t>
            </w:r>
          </w:p>
        </w:tc>
      </w:tr>
      <w:tr w:rsidR="003608F8" w14:paraId="1F81C1C5" w14:textId="77777777" w:rsidTr="00BB649D">
        <w:trPr>
          <w:jc w:val="center"/>
        </w:trPr>
        <w:tc>
          <w:tcPr>
            <w:tcW w:w="6318" w:type="dxa"/>
          </w:tcPr>
          <w:p w14:paraId="72475D59" w14:textId="529D4F6B" w:rsidR="003608F8" w:rsidRDefault="003608F8" w:rsidP="00DF443D">
            <w:pPr>
              <w:jc w:val="both"/>
            </w:pPr>
            <w:r>
              <w:t>Finalise hub specification and WSDL document</w:t>
            </w:r>
          </w:p>
        </w:tc>
        <w:tc>
          <w:tcPr>
            <w:tcW w:w="1996" w:type="dxa"/>
          </w:tcPr>
          <w:p w14:paraId="36D5089B" w14:textId="77FC95EF" w:rsidR="003608F8" w:rsidRDefault="003608F8" w:rsidP="00DF443D">
            <w:pPr>
              <w:jc w:val="both"/>
            </w:pPr>
            <w:r>
              <w:t>UNICC</w:t>
            </w:r>
          </w:p>
        </w:tc>
        <w:tc>
          <w:tcPr>
            <w:tcW w:w="1996" w:type="dxa"/>
          </w:tcPr>
          <w:p w14:paraId="25B80418" w14:textId="7D7D19CF" w:rsidR="003608F8" w:rsidRDefault="003608F8" w:rsidP="00DF443D">
            <w:pPr>
              <w:jc w:val="both"/>
            </w:pPr>
            <w:r>
              <w:t xml:space="preserve">27 March </w:t>
            </w:r>
          </w:p>
        </w:tc>
      </w:tr>
      <w:tr w:rsidR="00BB649D" w14:paraId="154FE217" w14:textId="77777777" w:rsidTr="00BB649D">
        <w:trPr>
          <w:jc w:val="center"/>
        </w:trPr>
        <w:tc>
          <w:tcPr>
            <w:tcW w:w="6318" w:type="dxa"/>
          </w:tcPr>
          <w:p w14:paraId="6B29B718" w14:textId="345C184A" w:rsidR="00BB649D" w:rsidRDefault="00BB649D" w:rsidP="00BB649D">
            <w:pPr>
              <w:jc w:val="both"/>
            </w:pPr>
            <w:r w:rsidRPr="00BB649D">
              <w:t>Update Global ePhyto and Trade Facili</w:t>
            </w:r>
            <w:r>
              <w:t>tation Symposium (</w:t>
            </w:r>
            <w:proofErr w:type="spellStart"/>
            <w:r>
              <w:t>GeTCS</w:t>
            </w:r>
            <w:proofErr w:type="spellEnd"/>
            <w:r>
              <w:t>)</w:t>
            </w:r>
            <w:r>
              <w:tab/>
              <w:t>paper</w:t>
            </w:r>
            <w:r w:rsidRPr="00BB649D">
              <w:tab/>
            </w:r>
            <w:r w:rsidRPr="00BB649D">
              <w:tab/>
            </w:r>
            <w:r w:rsidRPr="00BB649D">
              <w:tab/>
            </w:r>
            <w:r w:rsidRPr="00BB649D">
              <w:tab/>
            </w:r>
          </w:p>
        </w:tc>
        <w:tc>
          <w:tcPr>
            <w:tcW w:w="1996" w:type="dxa"/>
          </w:tcPr>
          <w:p w14:paraId="3A61F50D" w14:textId="6490B62C" w:rsidR="00BB649D" w:rsidRDefault="00BB649D" w:rsidP="00DF443D">
            <w:pPr>
              <w:jc w:val="both"/>
            </w:pPr>
            <w:r w:rsidRPr="00BB649D">
              <w:t>Neimanis</w:t>
            </w:r>
          </w:p>
        </w:tc>
        <w:tc>
          <w:tcPr>
            <w:tcW w:w="1996" w:type="dxa"/>
          </w:tcPr>
          <w:p w14:paraId="5B02CBC3" w14:textId="45C0646D" w:rsidR="00BB649D" w:rsidRDefault="00BB649D" w:rsidP="00BB649D">
            <w:pPr>
              <w:jc w:val="both"/>
            </w:pPr>
            <w:r w:rsidRPr="00BB649D">
              <w:t xml:space="preserve">30 March </w:t>
            </w:r>
          </w:p>
        </w:tc>
      </w:tr>
      <w:tr w:rsidR="00BB649D" w14:paraId="2B3783B0" w14:textId="77777777" w:rsidTr="00BB649D">
        <w:trPr>
          <w:jc w:val="center"/>
        </w:trPr>
        <w:tc>
          <w:tcPr>
            <w:tcW w:w="6318" w:type="dxa"/>
          </w:tcPr>
          <w:p w14:paraId="522E7E16" w14:textId="53FBF7DC" w:rsidR="00BB649D" w:rsidRDefault="00BB649D" w:rsidP="00BB649D">
            <w:pPr>
              <w:jc w:val="both"/>
            </w:pPr>
            <w:r w:rsidRPr="00BB649D">
              <w:t xml:space="preserve">Feedback on consultancy </w:t>
            </w:r>
            <w:r>
              <w:t>Terms of Reference</w:t>
            </w:r>
            <w:r w:rsidRPr="00BB649D">
              <w:tab/>
            </w:r>
            <w:r w:rsidRPr="00BB649D">
              <w:tab/>
            </w:r>
            <w:r w:rsidRPr="00BB649D">
              <w:tab/>
            </w:r>
            <w:r w:rsidRPr="00BB649D">
              <w:tab/>
            </w:r>
          </w:p>
        </w:tc>
        <w:tc>
          <w:tcPr>
            <w:tcW w:w="1996" w:type="dxa"/>
          </w:tcPr>
          <w:p w14:paraId="5CA7FF50" w14:textId="0EECF4BF" w:rsidR="00BB649D" w:rsidRDefault="00BB649D" w:rsidP="00DF443D">
            <w:pPr>
              <w:jc w:val="both"/>
            </w:pPr>
            <w:r>
              <w:t>PTC</w:t>
            </w:r>
          </w:p>
        </w:tc>
        <w:tc>
          <w:tcPr>
            <w:tcW w:w="1996" w:type="dxa"/>
          </w:tcPr>
          <w:p w14:paraId="33FA7A6D" w14:textId="046087D2" w:rsidR="00BB649D" w:rsidRDefault="00BB649D" w:rsidP="00BB649D">
            <w:pPr>
              <w:jc w:val="both"/>
            </w:pPr>
            <w:r w:rsidRPr="00BB649D">
              <w:t xml:space="preserve">31 March </w:t>
            </w:r>
          </w:p>
        </w:tc>
      </w:tr>
      <w:tr w:rsidR="003608F8" w14:paraId="65AEE066" w14:textId="77777777" w:rsidTr="00BB649D">
        <w:trPr>
          <w:jc w:val="center"/>
        </w:trPr>
        <w:tc>
          <w:tcPr>
            <w:tcW w:w="6318" w:type="dxa"/>
          </w:tcPr>
          <w:p w14:paraId="3C7A0B59" w14:textId="5C00D176" w:rsidR="003608F8" w:rsidRDefault="003608F8" w:rsidP="00DF443D">
            <w:pPr>
              <w:jc w:val="both"/>
            </w:pPr>
            <w:r>
              <w:t>Finalize mapping and code sets</w:t>
            </w:r>
            <w:r>
              <w:tab/>
            </w:r>
            <w:r>
              <w:tab/>
            </w:r>
          </w:p>
        </w:tc>
        <w:tc>
          <w:tcPr>
            <w:tcW w:w="1996" w:type="dxa"/>
          </w:tcPr>
          <w:p w14:paraId="311229B4" w14:textId="1AA4C50F" w:rsidR="003608F8" w:rsidRDefault="003608F8" w:rsidP="00DF443D">
            <w:pPr>
              <w:jc w:val="both"/>
            </w:pPr>
            <w:proofErr w:type="spellStart"/>
            <w:r>
              <w:t>Allesandrini</w:t>
            </w:r>
            <w:proofErr w:type="spellEnd"/>
            <w:r>
              <w:t>/ Dellis/</w:t>
            </w:r>
            <w:proofErr w:type="spellStart"/>
            <w:r>
              <w:t>Kabbab</w:t>
            </w:r>
            <w:proofErr w:type="spellEnd"/>
          </w:p>
        </w:tc>
        <w:tc>
          <w:tcPr>
            <w:tcW w:w="1996" w:type="dxa"/>
          </w:tcPr>
          <w:p w14:paraId="20D6A619" w14:textId="43540B6A" w:rsidR="003608F8" w:rsidRDefault="003608F8" w:rsidP="00C86AF5">
            <w:pPr>
              <w:jc w:val="both"/>
            </w:pPr>
            <w:r>
              <w:t xml:space="preserve">15 April </w:t>
            </w:r>
          </w:p>
        </w:tc>
      </w:tr>
      <w:tr w:rsidR="003608F8" w14:paraId="1B8E00E8" w14:textId="77777777" w:rsidTr="00BB649D">
        <w:trPr>
          <w:jc w:val="center"/>
        </w:trPr>
        <w:tc>
          <w:tcPr>
            <w:tcW w:w="6318" w:type="dxa"/>
          </w:tcPr>
          <w:p w14:paraId="4CE55DFA" w14:textId="29E0E5DF" w:rsidR="003608F8" w:rsidRDefault="003608F8" w:rsidP="003608F8">
            <w:pPr>
              <w:jc w:val="both"/>
            </w:pPr>
            <w:r w:rsidRPr="003608F8">
              <w:t>Proposal for ASYCER for GeNS</w:t>
            </w:r>
            <w:r>
              <w:t xml:space="preserve"> provided to IPPC Secretariat</w:t>
            </w:r>
            <w:r w:rsidRPr="003608F8">
              <w:tab/>
            </w:r>
            <w:r w:rsidRPr="003608F8">
              <w:tab/>
            </w:r>
            <w:r w:rsidRPr="003608F8">
              <w:tab/>
            </w:r>
            <w:r w:rsidRPr="003608F8">
              <w:tab/>
            </w:r>
          </w:p>
        </w:tc>
        <w:tc>
          <w:tcPr>
            <w:tcW w:w="1996" w:type="dxa"/>
          </w:tcPr>
          <w:p w14:paraId="16531085" w14:textId="5FE274AB" w:rsidR="003608F8" w:rsidRDefault="003608F8" w:rsidP="00DF443D">
            <w:pPr>
              <w:jc w:val="both"/>
            </w:pPr>
            <w:r w:rsidRPr="003608F8">
              <w:t>UNCTAD</w:t>
            </w:r>
          </w:p>
        </w:tc>
        <w:tc>
          <w:tcPr>
            <w:tcW w:w="1996" w:type="dxa"/>
          </w:tcPr>
          <w:p w14:paraId="0BAD89D9" w14:textId="1197895B" w:rsidR="003608F8" w:rsidRDefault="003608F8" w:rsidP="003608F8">
            <w:pPr>
              <w:jc w:val="both"/>
            </w:pPr>
            <w:r w:rsidRPr="003608F8">
              <w:t xml:space="preserve">15 April </w:t>
            </w:r>
          </w:p>
        </w:tc>
      </w:tr>
      <w:tr w:rsidR="00BB649D" w14:paraId="6ABF2E43" w14:textId="77777777" w:rsidTr="00BB649D">
        <w:trPr>
          <w:jc w:val="center"/>
        </w:trPr>
        <w:tc>
          <w:tcPr>
            <w:tcW w:w="6318" w:type="dxa"/>
          </w:tcPr>
          <w:p w14:paraId="638BFDAB" w14:textId="74D73B6F" w:rsidR="00BB649D" w:rsidRDefault="00BB649D" w:rsidP="00BB649D">
            <w:pPr>
              <w:jc w:val="both"/>
            </w:pPr>
            <w:r w:rsidRPr="00BB649D">
              <w:t>Finalise consultancy service agreement</w:t>
            </w:r>
            <w:r w:rsidRPr="00BB649D">
              <w:tab/>
            </w:r>
            <w:r w:rsidRPr="00BB649D">
              <w:tab/>
            </w:r>
            <w:r w:rsidRPr="00BB649D">
              <w:tab/>
            </w:r>
          </w:p>
        </w:tc>
        <w:tc>
          <w:tcPr>
            <w:tcW w:w="1996" w:type="dxa"/>
          </w:tcPr>
          <w:p w14:paraId="0C8F71E0" w14:textId="1F3952F7" w:rsidR="00BB649D" w:rsidRDefault="00BB649D" w:rsidP="00DF443D">
            <w:pPr>
              <w:jc w:val="both"/>
            </w:pPr>
            <w:r>
              <w:t>IPPC Secretariat</w:t>
            </w:r>
          </w:p>
        </w:tc>
        <w:tc>
          <w:tcPr>
            <w:tcW w:w="1996" w:type="dxa"/>
          </w:tcPr>
          <w:p w14:paraId="76104F4D" w14:textId="50E8B848" w:rsidR="00BB649D" w:rsidRDefault="00BB649D" w:rsidP="00BB649D">
            <w:pPr>
              <w:jc w:val="both"/>
            </w:pPr>
            <w:r w:rsidRPr="00BB649D">
              <w:t>15 April</w:t>
            </w:r>
          </w:p>
        </w:tc>
      </w:tr>
      <w:tr w:rsidR="003608F8" w14:paraId="68B949D8" w14:textId="77777777" w:rsidTr="00BB649D">
        <w:trPr>
          <w:jc w:val="center"/>
        </w:trPr>
        <w:tc>
          <w:tcPr>
            <w:tcW w:w="6318" w:type="dxa"/>
          </w:tcPr>
          <w:p w14:paraId="47A82E8A" w14:textId="28B8AA71" w:rsidR="003608F8" w:rsidRDefault="003608F8" w:rsidP="003608F8">
            <w:pPr>
              <w:jc w:val="both"/>
            </w:pPr>
            <w:r>
              <w:t xml:space="preserve">Review, respond and update </w:t>
            </w:r>
            <w:r w:rsidRPr="00C86AF5">
              <w:t>product description  proposal</w:t>
            </w:r>
            <w:r>
              <w:t xml:space="preserve"> </w:t>
            </w:r>
          </w:p>
        </w:tc>
        <w:tc>
          <w:tcPr>
            <w:tcW w:w="1996" w:type="dxa"/>
          </w:tcPr>
          <w:p w14:paraId="1A0E2CAB" w14:textId="4F6F6F17" w:rsidR="003608F8" w:rsidRDefault="003608F8" w:rsidP="00DF443D">
            <w:pPr>
              <w:jc w:val="both"/>
            </w:pPr>
            <w:r>
              <w:t>PTC</w:t>
            </w:r>
          </w:p>
        </w:tc>
        <w:tc>
          <w:tcPr>
            <w:tcW w:w="1996" w:type="dxa"/>
          </w:tcPr>
          <w:p w14:paraId="2CD45478" w14:textId="0A46CD09" w:rsidR="003608F8" w:rsidRDefault="003608F8" w:rsidP="003608F8">
            <w:pPr>
              <w:jc w:val="both"/>
            </w:pPr>
            <w:r>
              <w:t>24 April</w:t>
            </w:r>
          </w:p>
        </w:tc>
      </w:tr>
      <w:tr w:rsidR="003608F8" w14:paraId="6F9DA9F7" w14:textId="77777777" w:rsidTr="00BB649D">
        <w:trPr>
          <w:jc w:val="center"/>
        </w:trPr>
        <w:tc>
          <w:tcPr>
            <w:tcW w:w="6318" w:type="dxa"/>
          </w:tcPr>
          <w:p w14:paraId="7AB2AE2B" w14:textId="7007A87A" w:rsidR="003608F8" w:rsidRDefault="003608F8" w:rsidP="00DF443D">
            <w:pPr>
              <w:jc w:val="both"/>
            </w:pPr>
            <w:r w:rsidRPr="003608F8">
              <w:t>Paper on schema and coding issues</w:t>
            </w:r>
            <w:r w:rsidRPr="003608F8">
              <w:tab/>
            </w:r>
            <w:r w:rsidRPr="003608F8">
              <w:tab/>
            </w:r>
            <w:r w:rsidRPr="003608F8">
              <w:tab/>
            </w:r>
            <w:r w:rsidRPr="003608F8">
              <w:tab/>
            </w:r>
          </w:p>
        </w:tc>
        <w:tc>
          <w:tcPr>
            <w:tcW w:w="1996" w:type="dxa"/>
          </w:tcPr>
          <w:p w14:paraId="33D0B071" w14:textId="331AAF9E" w:rsidR="003608F8" w:rsidRDefault="003608F8" w:rsidP="003608F8">
            <w:pPr>
              <w:jc w:val="both"/>
            </w:pPr>
            <w:proofErr w:type="spellStart"/>
            <w:r>
              <w:t>Allesandrini</w:t>
            </w:r>
            <w:proofErr w:type="spellEnd"/>
            <w:r>
              <w:t xml:space="preserve">/ </w:t>
            </w:r>
            <w:r w:rsidRPr="003608F8">
              <w:t>Dellis</w:t>
            </w:r>
            <w:r>
              <w:t>/</w:t>
            </w:r>
            <w:proofErr w:type="spellStart"/>
            <w:r>
              <w:t>Kabbab</w:t>
            </w:r>
            <w:proofErr w:type="spellEnd"/>
          </w:p>
        </w:tc>
        <w:tc>
          <w:tcPr>
            <w:tcW w:w="1996" w:type="dxa"/>
          </w:tcPr>
          <w:p w14:paraId="680DAC73" w14:textId="5934787B" w:rsidR="003608F8" w:rsidRDefault="003608F8" w:rsidP="00C86AF5">
            <w:pPr>
              <w:jc w:val="both"/>
            </w:pPr>
            <w:r w:rsidRPr="003608F8">
              <w:t xml:space="preserve">30 April </w:t>
            </w:r>
          </w:p>
        </w:tc>
      </w:tr>
      <w:tr w:rsidR="00BB649D" w14:paraId="19B6697B" w14:textId="77777777" w:rsidTr="00BB649D">
        <w:trPr>
          <w:jc w:val="center"/>
        </w:trPr>
        <w:tc>
          <w:tcPr>
            <w:tcW w:w="6318" w:type="dxa"/>
          </w:tcPr>
          <w:p w14:paraId="6576BE9C" w14:textId="6C1F9E2D" w:rsidR="00BB649D" w:rsidRPr="003608F8" w:rsidRDefault="00BB649D" w:rsidP="00BB649D">
            <w:pPr>
              <w:jc w:val="both"/>
            </w:pPr>
            <w:r w:rsidRPr="00BB649D">
              <w:t xml:space="preserve">Paper </w:t>
            </w:r>
            <w:r>
              <w:t xml:space="preserve">on </w:t>
            </w:r>
            <w:r w:rsidRPr="00BB649D">
              <w:t>‘principles ‘</w:t>
            </w:r>
            <w:r>
              <w:t>for cost recovery</w:t>
            </w:r>
            <w:r w:rsidRPr="00BB649D">
              <w:tab/>
            </w:r>
            <w:r w:rsidRPr="00BB649D">
              <w:tab/>
            </w:r>
            <w:r w:rsidRPr="00BB649D">
              <w:tab/>
            </w:r>
            <w:r w:rsidRPr="00BB649D">
              <w:tab/>
            </w:r>
          </w:p>
        </w:tc>
        <w:tc>
          <w:tcPr>
            <w:tcW w:w="1996" w:type="dxa"/>
          </w:tcPr>
          <w:p w14:paraId="177B5B6A" w14:textId="68B7D2D7" w:rsidR="00BB649D" w:rsidRPr="003608F8" w:rsidRDefault="00BB649D" w:rsidP="00DF443D">
            <w:pPr>
              <w:jc w:val="both"/>
            </w:pPr>
            <w:r w:rsidRPr="00BB649D">
              <w:t>Dellis</w:t>
            </w:r>
          </w:p>
        </w:tc>
        <w:tc>
          <w:tcPr>
            <w:tcW w:w="1996" w:type="dxa"/>
          </w:tcPr>
          <w:p w14:paraId="726EA4D5" w14:textId="1AE01C81" w:rsidR="00BB649D" w:rsidRPr="003608F8" w:rsidRDefault="00BB649D" w:rsidP="00BB649D">
            <w:pPr>
              <w:jc w:val="both"/>
            </w:pPr>
            <w:r w:rsidRPr="00BB649D">
              <w:t xml:space="preserve">30 April </w:t>
            </w:r>
          </w:p>
        </w:tc>
      </w:tr>
      <w:tr w:rsidR="003608F8" w14:paraId="664880BB" w14:textId="77777777" w:rsidTr="00BB649D">
        <w:trPr>
          <w:jc w:val="center"/>
        </w:trPr>
        <w:tc>
          <w:tcPr>
            <w:tcW w:w="6318" w:type="dxa"/>
          </w:tcPr>
          <w:p w14:paraId="1B378735" w14:textId="685AFDA2" w:rsidR="003608F8" w:rsidRDefault="003608F8" w:rsidP="00BB649D">
            <w:pPr>
              <w:jc w:val="both"/>
            </w:pPr>
            <w:r w:rsidRPr="003608F8">
              <w:t xml:space="preserve">Assessment of </w:t>
            </w:r>
            <w:r w:rsidR="00BB649D" w:rsidRPr="003608F8">
              <w:t xml:space="preserve">ASYCER </w:t>
            </w:r>
            <w:r w:rsidR="00BB649D">
              <w:t>p</w:t>
            </w:r>
            <w:r w:rsidRPr="003608F8">
              <w:t>roposal</w:t>
            </w:r>
            <w:r w:rsidRPr="003608F8">
              <w:tab/>
            </w:r>
            <w:r w:rsidRPr="003608F8">
              <w:tab/>
            </w:r>
            <w:r w:rsidRPr="003608F8">
              <w:tab/>
            </w:r>
          </w:p>
        </w:tc>
        <w:tc>
          <w:tcPr>
            <w:tcW w:w="1996" w:type="dxa"/>
          </w:tcPr>
          <w:p w14:paraId="3C4AB5E0" w14:textId="6D083A9C" w:rsidR="003608F8" w:rsidRDefault="003608F8" w:rsidP="00DF443D">
            <w:pPr>
              <w:jc w:val="both"/>
            </w:pPr>
            <w:r w:rsidRPr="003608F8">
              <w:t>UNICC/</w:t>
            </w:r>
            <w:r>
              <w:t>IPPC Secretariat/</w:t>
            </w:r>
            <w:r w:rsidRPr="003608F8">
              <w:t>PTC</w:t>
            </w:r>
            <w:r w:rsidRPr="003608F8">
              <w:tab/>
            </w:r>
          </w:p>
        </w:tc>
        <w:tc>
          <w:tcPr>
            <w:tcW w:w="1996" w:type="dxa"/>
          </w:tcPr>
          <w:p w14:paraId="19302001" w14:textId="05C12E8F" w:rsidR="003608F8" w:rsidRDefault="003608F8" w:rsidP="00BB649D">
            <w:pPr>
              <w:jc w:val="both"/>
            </w:pPr>
            <w:r w:rsidRPr="003608F8">
              <w:t xml:space="preserve">15 May </w:t>
            </w:r>
          </w:p>
        </w:tc>
      </w:tr>
      <w:tr w:rsidR="003608F8" w14:paraId="47A76B6A" w14:textId="7DF4ECA0" w:rsidTr="00BB649D">
        <w:trPr>
          <w:jc w:val="center"/>
        </w:trPr>
        <w:tc>
          <w:tcPr>
            <w:tcW w:w="6318" w:type="dxa"/>
          </w:tcPr>
          <w:p w14:paraId="2A01D97B" w14:textId="3FDFE9AE" w:rsidR="003608F8" w:rsidRDefault="003608F8" w:rsidP="00DF443D">
            <w:pPr>
              <w:jc w:val="both"/>
            </w:pPr>
            <w:r>
              <w:t>Post product description onto IPPC website</w:t>
            </w:r>
          </w:p>
        </w:tc>
        <w:tc>
          <w:tcPr>
            <w:tcW w:w="1996" w:type="dxa"/>
          </w:tcPr>
          <w:p w14:paraId="24011D4D" w14:textId="0C148DC8" w:rsidR="003608F8" w:rsidRDefault="003608F8" w:rsidP="00DF443D">
            <w:pPr>
              <w:jc w:val="both"/>
            </w:pPr>
            <w:r>
              <w:t>IPPC Secretariat</w:t>
            </w:r>
          </w:p>
        </w:tc>
        <w:tc>
          <w:tcPr>
            <w:tcW w:w="1996" w:type="dxa"/>
          </w:tcPr>
          <w:p w14:paraId="59CDCFBD" w14:textId="4CFEF8F3" w:rsidR="003608F8" w:rsidRDefault="003608F8" w:rsidP="00C86AF5">
            <w:pPr>
              <w:jc w:val="both"/>
            </w:pPr>
            <w:r>
              <w:t xml:space="preserve">15 May </w:t>
            </w:r>
          </w:p>
        </w:tc>
      </w:tr>
      <w:tr w:rsidR="003608F8" w14:paraId="1D52FE92" w14:textId="77777777" w:rsidTr="00BB649D">
        <w:trPr>
          <w:jc w:val="center"/>
        </w:trPr>
        <w:tc>
          <w:tcPr>
            <w:tcW w:w="6318" w:type="dxa"/>
          </w:tcPr>
          <w:p w14:paraId="2752E3E6" w14:textId="21E5BD38" w:rsidR="003608F8" w:rsidRDefault="003608F8" w:rsidP="003608F8">
            <w:r>
              <w:t>Seek input on type of reports from GeNS pilot countries (for imports and exports)</w:t>
            </w:r>
          </w:p>
        </w:tc>
        <w:tc>
          <w:tcPr>
            <w:tcW w:w="1996" w:type="dxa"/>
          </w:tcPr>
          <w:p w14:paraId="31FDAEC5" w14:textId="0598C791" w:rsidR="003608F8" w:rsidRDefault="003608F8" w:rsidP="003608F8">
            <w:r>
              <w:t>Neimanis</w:t>
            </w:r>
          </w:p>
        </w:tc>
        <w:tc>
          <w:tcPr>
            <w:tcW w:w="1996" w:type="dxa"/>
          </w:tcPr>
          <w:p w14:paraId="6C268897" w14:textId="512CBE52" w:rsidR="003608F8" w:rsidRDefault="003608F8" w:rsidP="003608F8">
            <w:r>
              <w:t xml:space="preserve">End of May </w:t>
            </w:r>
          </w:p>
        </w:tc>
      </w:tr>
      <w:tr w:rsidR="003608F8" w14:paraId="6E7A457C" w14:textId="77777777" w:rsidTr="00BB649D">
        <w:trPr>
          <w:jc w:val="center"/>
        </w:trPr>
        <w:tc>
          <w:tcPr>
            <w:tcW w:w="6318" w:type="dxa"/>
          </w:tcPr>
          <w:p w14:paraId="13FCE84E" w14:textId="645ECEF2" w:rsidR="003608F8" w:rsidRDefault="003608F8" w:rsidP="003608F8">
            <w:pPr>
              <w:jc w:val="both"/>
            </w:pPr>
            <w:r>
              <w:t xml:space="preserve">Finalise assessment criteria for evaluation of ASYCER </w:t>
            </w:r>
          </w:p>
        </w:tc>
        <w:tc>
          <w:tcPr>
            <w:tcW w:w="1996" w:type="dxa"/>
          </w:tcPr>
          <w:p w14:paraId="6868B3D4" w14:textId="77777777" w:rsidR="003608F8" w:rsidRDefault="003608F8" w:rsidP="00DF443D">
            <w:pPr>
              <w:jc w:val="both"/>
            </w:pPr>
            <w:r>
              <w:t>IPPC Secretariat</w:t>
            </w:r>
          </w:p>
        </w:tc>
        <w:tc>
          <w:tcPr>
            <w:tcW w:w="1996" w:type="dxa"/>
          </w:tcPr>
          <w:p w14:paraId="13C7AE66" w14:textId="17CFADB4" w:rsidR="003608F8" w:rsidRDefault="003608F8" w:rsidP="00C86AF5">
            <w:pPr>
              <w:jc w:val="both"/>
            </w:pPr>
            <w:r>
              <w:t xml:space="preserve">End of May </w:t>
            </w:r>
          </w:p>
        </w:tc>
      </w:tr>
      <w:tr w:rsidR="003608F8" w14:paraId="4CA789FA" w14:textId="77777777" w:rsidTr="00BB649D">
        <w:trPr>
          <w:jc w:val="center"/>
        </w:trPr>
        <w:tc>
          <w:tcPr>
            <w:tcW w:w="6318" w:type="dxa"/>
          </w:tcPr>
          <w:p w14:paraId="63C89C5B" w14:textId="54FBB262" w:rsidR="003608F8" w:rsidRDefault="003608F8" w:rsidP="00DF443D">
            <w:pPr>
              <w:jc w:val="both"/>
            </w:pPr>
            <w:r>
              <w:t>Develop and circulate invitation to pilot countries to participate in the hub development pre-pilot testing</w:t>
            </w:r>
          </w:p>
        </w:tc>
        <w:tc>
          <w:tcPr>
            <w:tcW w:w="1996" w:type="dxa"/>
          </w:tcPr>
          <w:p w14:paraId="22234812" w14:textId="56F72C3F" w:rsidR="003608F8" w:rsidRDefault="003608F8" w:rsidP="00DF443D">
            <w:pPr>
              <w:jc w:val="both"/>
            </w:pPr>
            <w:r>
              <w:t>IPPC Secretariat</w:t>
            </w:r>
          </w:p>
        </w:tc>
        <w:tc>
          <w:tcPr>
            <w:tcW w:w="1996" w:type="dxa"/>
          </w:tcPr>
          <w:p w14:paraId="3E909B6D" w14:textId="63695423" w:rsidR="003608F8" w:rsidRDefault="003608F8" w:rsidP="00DF443D">
            <w:pPr>
              <w:jc w:val="both"/>
            </w:pPr>
            <w:r>
              <w:t xml:space="preserve">May </w:t>
            </w:r>
          </w:p>
        </w:tc>
      </w:tr>
      <w:tr w:rsidR="003608F8" w14:paraId="1BB326F7" w14:textId="77777777" w:rsidTr="00BB649D">
        <w:trPr>
          <w:jc w:val="center"/>
        </w:trPr>
        <w:tc>
          <w:tcPr>
            <w:tcW w:w="6318" w:type="dxa"/>
          </w:tcPr>
          <w:p w14:paraId="52650C71" w14:textId="033D94CE" w:rsidR="003608F8" w:rsidRDefault="003608F8" w:rsidP="00DF443D">
            <w:pPr>
              <w:jc w:val="both"/>
            </w:pPr>
            <w:r>
              <w:t>Finalise GeNS requirements</w:t>
            </w:r>
          </w:p>
        </w:tc>
        <w:tc>
          <w:tcPr>
            <w:tcW w:w="1996" w:type="dxa"/>
          </w:tcPr>
          <w:p w14:paraId="099B35FA" w14:textId="6C8255B6" w:rsidR="003608F8" w:rsidRDefault="003608F8" w:rsidP="00DF443D">
            <w:pPr>
              <w:jc w:val="both"/>
            </w:pPr>
            <w:r>
              <w:t>UNICC</w:t>
            </w:r>
          </w:p>
        </w:tc>
        <w:tc>
          <w:tcPr>
            <w:tcW w:w="1996" w:type="dxa"/>
          </w:tcPr>
          <w:p w14:paraId="22727304" w14:textId="5F1F0DC5" w:rsidR="003608F8" w:rsidRDefault="003608F8" w:rsidP="00DF443D">
            <w:pPr>
              <w:jc w:val="both"/>
            </w:pPr>
            <w:r>
              <w:t xml:space="preserve">May </w:t>
            </w:r>
          </w:p>
        </w:tc>
      </w:tr>
      <w:tr w:rsidR="003608F8" w14:paraId="76817A09" w14:textId="77777777" w:rsidTr="00BB649D">
        <w:trPr>
          <w:jc w:val="center"/>
        </w:trPr>
        <w:tc>
          <w:tcPr>
            <w:tcW w:w="6318" w:type="dxa"/>
          </w:tcPr>
          <w:p w14:paraId="00C1048F" w14:textId="1DA8A915" w:rsidR="003608F8" w:rsidRDefault="003608F8" w:rsidP="00C86AF5">
            <w:r>
              <w:t>Finalise the ‘how to connect’ to the HUB document</w:t>
            </w:r>
          </w:p>
        </w:tc>
        <w:tc>
          <w:tcPr>
            <w:tcW w:w="1996" w:type="dxa"/>
          </w:tcPr>
          <w:p w14:paraId="07D89D99" w14:textId="6A6B39D5" w:rsidR="003608F8" w:rsidRDefault="003608F8" w:rsidP="00C86AF5">
            <w:r>
              <w:t>UNICC</w:t>
            </w:r>
          </w:p>
        </w:tc>
        <w:tc>
          <w:tcPr>
            <w:tcW w:w="1996" w:type="dxa"/>
          </w:tcPr>
          <w:p w14:paraId="1C229A2D" w14:textId="2E968ADA" w:rsidR="003608F8" w:rsidRDefault="003608F8" w:rsidP="00C86AF5">
            <w:r>
              <w:t xml:space="preserve">June </w:t>
            </w:r>
          </w:p>
        </w:tc>
      </w:tr>
      <w:tr w:rsidR="003608F8" w14:paraId="1E8E3491" w14:textId="77777777" w:rsidTr="00BB649D">
        <w:trPr>
          <w:jc w:val="center"/>
        </w:trPr>
        <w:tc>
          <w:tcPr>
            <w:tcW w:w="6318" w:type="dxa"/>
          </w:tcPr>
          <w:p w14:paraId="60FC6DBC" w14:textId="5B804B5B" w:rsidR="003608F8" w:rsidRDefault="003608F8" w:rsidP="00DF443D">
            <w:pPr>
              <w:jc w:val="both"/>
            </w:pPr>
            <w:r>
              <w:t>HUB test plan</w:t>
            </w:r>
          </w:p>
        </w:tc>
        <w:tc>
          <w:tcPr>
            <w:tcW w:w="1996" w:type="dxa"/>
          </w:tcPr>
          <w:p w14:paraId="4F0AACB3" w14:textId="63D7DAD7" w:rsidR="003608F8" w:rsidRDefault="003608F8" w:rsidP="00DF443D">
            <w:pPr>
              <w:jc w:val="both"/>
            </w:pPr>
            <w:r>
              <w:t xml:space="preserve">UNICC </w:t>
            </w:r>
          </w:p>
        </w:tc>
        <w:tc>
          <w:tcPr>
            <w:tcW w:w="1996" w:type="dxa"/>
          </w:tcPr>
          <w:p w14:paraId="67901BFA" w14:textId="6AF362D0" w:rsidR="003608F8" w:rsidRDefault="003608F8" w:rsidP="00C86AF5">
            <w:pPr>
              <w:jc w:val="both"/>
            </w:pPr>
            <w:r>
              <w:t xml:space="preserve">June </w:t>
            </w:r>
          </w:p>
        </w:tc>
      </w:tr>
      <w:tr w:rsidR="003608F8" w14:paraId="3429B145" w14:textId="77777777" w:rsidTr="00BB649D">
        <w:trPr>
          <w:jc w:val="center"/>
        </w:trPr>
        <w:tc>
          <w:tcPr>
            <w:tcW w:w="6318" w:type="dxa"/>
          </w:tcPr>
          <w:p w14:paraId="1D5E631F" w14:textId="2278A5C7" w:rsidR="003608F8" w:rsidRDefault="003608F8" w:rsidP="00DF443D">
            <w:pPr>
              <w:jc w:val="both"/>
            </w:pPr>
            <w:r w:rsidRPr="003608F8">
              <w:t>Final</w:t>
            </w:r>
            <w:r>
              <w:t xml:space="preserve">ize </w:t>
            </w:r>
            <w:r w:rsidRPr="003608F8">
              <w:t xml:space="preserve">paper on procedure </w:t>
            </w:r>
            <w:r>
              <w:t>for updating product descriptions</w:t>
            </w:r>
            <w:r w:rsidRPr="003608F8">
              <w:tab/>
            </w:r>
            <w:r w:rsidRPr="003608F8">
              <w:tab/>
            </w:r>
            <w:r w:rsidRPr="003608F8">
              <w:tab/>
            </w:r>
          </w:p>
        </w:tc>
        <w:tc>
          <w:tcPr>
            <w:tcW w:w="1996" w:type="dxa"/>
          </w:tcPr>
          <w:p w14:paraId="490D4FBD" w14:textId="097C87C8" w:rsidR="003608F8" w:rsidRDefault="003608F8" w:rsidP="00DF443D">
            <w:pPr>
              <w:jc w:val="both"/>
            </w:pPr>
            <w:r w:rsidRPr="003608F8">
              <w:t>Horn</w:t>
            </w:r>
          </w:p>
        </w:tc>
        <w:tc>
          <w:tcPr>
            <w:tcW w:w="1996" w:type="dxa"/>
          </w:tcPr>
          <w:p w14:paraId="1EB8D756" w14:textId="6CA15C30" w:rsidR="003608F8" w:rsidRDefault="003608F8" w:rsidP="003608F8">
            <w:pPr>
              <w:jc w:val="both"/>
            </w:pPr>
            <w:r w:rsidRPr="003608F8">
              <w:t xml:space="preserve">30 June </w:t>
            </w:r>
          </w:p>
        </w:tc>
      </w:tr>
      <w:tr w:rsidR="003608F8" w14:paraId="376793D0" w14:textId="77777777" w:rsidTr="00BB649D">
        <w:trPr>
          <w:jc w:val="center"/>
        </w:trPr>
        <w:tc>
          <w:tcPr>
            <w:tcW w:w="6318" w:type="dxa"/>
          </w:tcPr>
          <w:p w14:paraId="1479ED7E" w14:textId="4A8F8EE2" w:rsidR="003608F8" w:rsidRPr="003608F8" w:rsidRDefault="003608F8" w:rsidP="00DF443D">
            <w:pPr>
              <w:jc w:val="both"/>
            </w:pPr>
            <w:r w:rsidRPr="003608F8">
              <w:t>Paper on schema issues</w:t>
            </w:r>
            <w:r>
              <w:t xml:space="preserve"> to UNCEFACT</w:t>
            </w:r>
            <w:r w:rsidRPr="003608F8">
              <w:t xml:space="preserve"> </w:t>
            </w:r>
          </w:p>
        </w:tc>
        <w:tc>
          <w:tcPr>
            <w:tcW w:w="1996" w:type="dxa"/>
          </w:tcPr>
          <w:p w14:paraId="2498AF26" w14:textId="00696014" w:rsidR="003608F8" w:rsidRPr="003608F8" w:rsidRDefault="003608F8" w:rsidP="00DF443D">
            <w:pPr>
              <w:jc w:val="both"/>
            </w:pPr>
            <w:r>
              <w:t>IPPC Secretariat</w:t>
            </w:r>
          </w:p>
        </w:tc>
        <w:tc>
          <w:tcPr>
            <w:tcW w:w="1996" w:type="dxa"/>
          </w:tcPr>
          <w:p w14:paraId="10841D60" w14:textId="659788EC" w:rsidR="003608F8" w:rsidRPr="003608F8" w:rsidRDefault="003608F8" w:rsidP="003608F8">
            <w:pPr>
              <w:jc w:val="both"/>
            </w:pPr>
            <w:r>
              <w:t>Post pilot</w:t>
            </w:r>
          </w:p>
        </w:tc>
      </w:tr>
    </w:tbl>
    <w:p w14:paraId="0B070C41" w14:textId="77777777" w:rsidR="006523B3" w:rsidRPr="0002241E" w:rsidRDefault="006523B3" w:rsidP="00BB649D">
      <w:pPr>
        <w:jc w:val="both"/>
      </w:pPr>
    </w:p>
    <w:sectPr w:rsidR="006523B3" w:rsidRPr="0002241E" w:rsidSect="00320873">
      <w:type w:val="continuous"/>
      <w:pgSz w:w="11907" w:h="16840" w:code="9"/>
      <w:pgMar w:top="722" w:right="1134" w:bottom="96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FF814" w14:textId="77777777" w:rsidR="00E86517" w:rsidRDefault="00E86517">
      <w:r>
        <w:separator/>
      </w:r>
    </w:p>
  </w:endnote>
  <w:endnote w:type="continuationSeparator" w:id="0">
    <w:p w14:paraId="059ABB5A" w14:textId="77777777" w:rsidR="00E86517" w:rsidRDefault="00E86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9DC364" w14:textId="77777777" w:rsidR="00496722" w:rsidRDefault="00496722" w:rsidP="00C66E2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DDA46" w14:textId="77777777" w:rsidR="00496722" w:rsidRDefault="004967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724AF" w14:textId="77777777" w:rsidR="00496722" w:rsidRPr="00ED53CB" w:rsidRDefault="00496722" w:rsidP="00ED53CB">
    <w:pPr>
      <w:pStyle w:val="Footer"/>
      <w:tabs>
        <w:tab w:val="clear" w:pos="8640"/>
        <w:tab w:val="right" w:pos="9639"/>
      </w:tabs>
      <w:rPr>
        <w:b/>
        <w:sz w:val="22"/>
        <w:szCs w:val="22"/>
      </w:rPr>
    </w:pPr>
    <w:r w:rsidRPr="00ED53CB">
      <w:rPr>
        <w:rStyle w:val="PageNumber"/>
        <w:b/>
        <w:sz w:val="22"/>
        <w:szCs w:val="22"/>
      </w:rPr>
      <w:t>International Plant Protection Convention</w:t>
    </w:r>
    <w:r w:rsidRPr="00ED53CB">
      <w:rPr>
        <w:rStyle w:val="PageNumber"/>
        <w:b/>
        <w:sz w:val="22"/>
        <w:szCs w:val="22"/>
      </w:rPr>
      <w:tab/>
    </w:r>
    <w:r w:rsidRPr="00ED53CB">
      <w:rPr>
        <w:rStyle w:val="PageNumber"/>
        <w:b/>
        <w:sz w:val="22"/>
        <w:szCs w:val="22"/>
      </w:rPr>
      <w:tab/>
      <w:t xml:space="preserve">Page </w:t>
    </w:r>
    <w:r w:rsidRPr="00ED53CB">
      <w:rPr>
        <w:rStyle w:val="PageNumber"/>
        <w:b/>
        <w:sz w:val="22"/>
        <w:szCs w:val="22"/>
      </w:rPr>
      <w:fldChar w:fldCharType="begin"/>
    </w:r>
    <w:r w:rsidRPr="00ED53CB">
      <w:rPr>
        <w:rStyle w:val="PageNumber"/>
        <w:b/>
        <w:sz w:val="22"/>
        <w:szCs w:val="22"/>
      </w:rPr>
      <w:instrText xml:space="preserve"> PAGE </w:instrText>
    </w:r>
    <w:r w:rsidRPr="00ED53CB">
      <w:rPr>
        <w:rStyle w:val="PageNumber"/>
        <w:b/>
        <w:sz w:val="22"/>
        <w:szCs w:val="22"/>
      </w:rPr>
      <w:fldChar w:fldCharType="separate"/>
    </w:r>
    <w:r w:rsidR="00E91D96">
      <w:rPr>
        <w:rStyle w:val="PageNumber"/>
        <w:b/>
        <w:noProof/>
        <w:sz w:val="22"/>
        <w:szCs w:val="22"/>
      </w:rPr>
      <w:t>17</w:t>
    </w:r>
    <w:r w:rsidRPr="00ED53CB">
      <w:rPr>
        <w:rStyle w:val="PageNumber"/>
        <w:b/>
        <w:sz w:val="22"/>
        <w:szCs w:val="22"/>
      </w:rPr>
      <w:fldChar w:fldCharType="end"/>
    </w:r>
    <w:r w:rsidRPr="00ED53CB">
      <w:rPr>
        <w:rStyle w:val="PageNumber"/>
        <w:b/>
        <w:sz w:val="22"/>
        <w:szCs w:val="22"/>
      </w:rPr>
      <w:t xml:space="preserve"> of </w:t>
    </w:r>
    <w:r w:rsidRPr="00ED53CB">
      <w:rPr>
        <w:rStyle w:val="PageNumber"/>
        <w:b/>
        <w:sz w:val="22"/>
        <w:szCs w:val="22"/>
      </w:rPr>
      <w:fldChar w:fldCharType="begin"/>
    </w:r>
    <w:r w:rsidRPr="00ED53CB">
      <w:rPr>
        <w:rStyle w:val="PageNumber"/>
        <w:b/>
        <w:sz w:val="22"/>
        <w:szCs w:val="22"/>
      </w:rPr>
      <w:instrText xml:space="preserve"> NUMPAGES </w:instrText>
    </w:r>
    <w:r w:rsidRPr="00ED53CB">
      <w:rPr>
        <w:rStyle w:val="PageNumber"/>
        <w:b/>
        <w:sz w:val="22"/>
        <w:szCs w:val="22"/>
      </w:rPr>
      <w:fldChar w:fldCharType="separate"/>
    </w:r>
    <w:r w:rsidR="00E91D96">
      <w:rPr>
        <w:rStyle w:val="PageNumber"/>
        <w:b/>
        <w:noProof/>
        <w:sz w:val="22"/>
        <w:szCs w:val="22"/>
      </w:rPr>
      <w:t>21</w:t>
    </w:r>
    <w:r w:rsidRPr="00ED53CB">
      <w:rPr>
        <w:rStyle w:val="PageNumber"/>
        <w:b/>
        <w:sz w:val="22"/>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B2F96" w14:textId="77777777" w:rsidR="00E86517" w:rsidRDefault="00E86517">
      <w:r>
        <w:separator/>
      </w:r>
    </w:p>
  </w:footnote>
  <w:footnote w:type="continuationSeparator" w:id="0">
    <w:p w14:paraId="1F97E935" w14:textId="77777777" w:rsidR="00E86517" w:rsidRDefault="00E86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A4B64" w14:textId="479341F4" w:rsidR="00496722" w:rsidRDefault="004967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4D104" w14:textId="158CB4D2" w:rsidR="00496722" w:rsidRDefault="00496722">
    <w:pPr>
      <w:pStyle w:val="Header"/>
    </w:pPr>
    <w:r>
      <w:rPr>
        <w:noProof/>
        <w:lang w:val="en-US" w:eastAsia="en-US"/>
      </w:rPr>
      <w:drawing>
        <wp:anchor distT="0" distB="0" distL="114300" distR="114300" simplePos="0" relativeHeight="251666432" behindDoc="1" locked="0" layoutInCell="1" allowOverlap="1" wp14:anchorId="7D294380" wp14:editId="6D37A9E3">
          <wp:simplePos x="0" y="0"/>
          <wp:positionH relativeFrom="column">
            <wp:posOffset>-720090</wp:posOffset>
          </wp:positionH>
          <wp:positionV relativeFrom="paragraph">
            <wp:posOffset>-458682</wp:posOffset>
          </wp:positionV>
          <wp:extent cx="8211756" cy="69426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12650" cy="694343"/>
                  </a:xfrm>
                  <a:prstGeom prst="rect">
                    <a:avLst/>
                  </a:prstGeom>
                  <a:noFill/>
                </pic:spPr>
              </pic:pic>
            </a:graphicData>
          </a:graphic>
          <wp14:sizeRelH relativeFrom="margin">
            <wp14:pctWidth>0</wp14:pctWidth>
          </wp14:sizeRelH>
          <wp14:sizeRelV relativeFrom="margin">
            <wp14:pctHeight>0</wp14:pctHeight>
          </wp14:sizeRelV>
        </wp:anchor>
      </w:drawing>
    </w:r>
  </w:p>
  <w:p w14:paraId="08E34ED6" w14:textId="77777777" w:rsidR="00496722" w:rsidRDefault="00496722">
    <w:pPr>
      <w:pStyle w:val="Header"/>
    </w:pPr>
  </w:p>
  <w:p w14:paraId="3325C305" w14:textId="77561AE2" w:rsidR="00496722" w:rsidRPr="00496722" w:rsidRDefault="00496722" w:rsidP="00496722">
    <w:pPr>
      <w:pStyle w:val="Header"/>
      <w:tabs>
        <w:tab w:val="clear" w:pos="8640"/>
        <w:tab w:val="right" w:pos="9630"/>
      </w:tabs>
      <w:rPr>
        <w:i/>
      </w:rPr>
    </w:pPr>
    <w:r w:rsidRPr="00496722">
      <w:rPr>
        <w:i/>
      </w:rPr>
      <w:t>Meeting Report</w:t>
    </w:r>
    <w:r>
      <w:rPr>
        <w:i/>
      </w:rPr>
      <w:tab/>
    </w:r>
    <w:r>
      <w:rPr>
        <w:i/>
      </w:rPr>
      <w:tab/>
      <w:t>10 May 2017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1C038" w14:textId="194A044A" w:rsidR="00496722" w:rsidRDefault="004967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EA15EB"/>
    <w:multiLevelType w:val="hybridMultilevel"/>
    <w:tmpl w:val="1ED2B9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BA97C38"/>
    <w:multiLevelType w:val="hybridMultilevel"/>
    <w:tmpl w:val="AA26E9DA"/>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31370B5"/>
    <w:multiLevelType w:val="hybridMultilevel"/>
    <w:tmpl w:val="4A2A8D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9F7CED"/>
    <w:multiLevelType w:val="hybridMultilevel"/>
    <w:tmpl w:val="4030E65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5771859"/>
    <w:multiLevelType w:val="hybridMultilevel"/>
    <w:tmpl w:val="6DE46090"/>
    <w:lvl w:ilvl="0" w:tplc="1F544116">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BE72E46"/>
    <w:multiLevelType w:val="hybridMultilevel"/>
    <w:tmpl w:val="E8803EA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1C523936"/>
    <w:multiLevelType w:val="hybridMultilevel"/>
    <w:tmpl w:val="2E8C383C"/>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4784914"/>
    <w:multiLevelType w:val="hybridMultilevel"/>
    <w:tmpl w:val="A06E40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4DC3C7A"/>
    <w:multiLevelType w:val="hybridMultilevel"/>
    <w:tmpl w:val="CB82DBD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6D43F30"/>
    <w:multiLevelType w:val="hybridMultilevel"/>
    <w:tmpl w:val="BA4EED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92A6925"/>
    <w:multiLevelType w:val="hybridMultilevel"/>
    <w:tmpl w:val="29C49E26"/>
    <w:lvl w:ilvl="0" w:tplc="9DE272A8">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A763D0A"/>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15:restartNumberingAfterBreak="0">
    <w:nsid w:val="2DFC53D7"/>
    <w:multiLevelType w:val="hybridMultilevel"/>
    <w:tmpl w:val="3410D4E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F614D18"/>
    <w:multiLevelType w:val="hybridMultilevel"/>
    <w:tmpl w:val="AF48F738"/>
    <w:lvl w:ilvl="0" w:tplc="86F4BC3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8927D5"/>
    <w:multiLevelType w:val="hybridMultilevel"/>
    <w:tmpl w:val="B456B8E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2FD4A13"/>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6" w15:restartNumberingAfterBreak="0">
    <w:nsid w:val="33870AAB"/>
    <w:multiLevelType w:val="hybridMultilevel"/>
    <w:tmpl w:val="EBFE26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33BD1349"/>
    <w:multiLevelType w:val="hybridMultilevel"/>
    <w:tmpl w:val="E9C24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382110"/>
    <w:multiLevelType w:val="hybridMultilevel"/>
    <w:tmpl w:val="FAD42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E2D10FD"/>
    <w:multiLevelType w:val="hybridMultilevel"/>
    <w:tmpl w:val="DAC2011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0" w15:restartNumberingAfterBreak="0">
    <w:nsid w:val="42254612"/>
    <w:multiLevelType w:val="hybridMultilevel"/>
    <w:tmpl w:val="B6B0FF8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48C44A1F"/>
    <w:multiLevelType w:val="hybridMultilevel"/>
    <w:tmpl w:val="A80C4D0E"/>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49DA03D8"/>
    <w:multiLevelType w:val="hybridMultilevel"/>
    <w:tmpl w:val="0DFCD6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4A8D4622"/>
    <w:multiLevelType w:val="hybridMultilevel"/>
    <w:tmpl w:val="B72A3AD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BAC5A94"/>
    <w:multiLevelType w:val="hybridMultilevel"/>
    <w:tmpl w:val="CD0A891E"/>
    <w:lvl w:ilvl="0" w:tplc="5224C0AC">
      <w:start w:val="1"/>
      <w:numFmt w:val="bullet"/>
      <w:lvlText w:val=""/>
      <w:lvlJc w:val="left"/>
      <w:pPr>
        <w:ind w:left="720" w:hanging="360"/>
      </w:pPr>
      <w:rPr>
        <w:rFonts w:ascii="Symbol" w:hAnsi="Symbol" w:hint="default"/>
      </w:rPr>
    </w:lvl>
    <w:lvl w:ilvl="1" w:tplc="86F4BC34">
      <w:start w:val="1"/>
      <w:numFmt w:val="bullet"/>
      <w:lvlText w:val="̵"/>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5" w15:restartNumberingAfterBreak="0">
    <w:nsid w:val="4C5D61D2"/>
    <w:multiLevelType w:val="hybridMultilevel"/>
    <w:tmpl w:val="8C16C39A"/>
    <w:lvl w:ilvl="0" w:tplc="0C090001">
      <w:start w:val="1"/>
      <w:numFmt w:val="bullet"/>
      <w:lvlText w:val=""/>
      <w:lvlJc w:val="left"/>
      <w:pPr>
        <w:ind w:left="736" w:hanging="360"/>
      </w:pPr>
      <w:rPr>
        <w:rFonts w:ascii="Symbol" w:hAnsi="Symbol" w:hint="default"/>
      </w:rPr>
    </w:lvl>
    <w:lvl w:ilvl="1" w:tplc="0C090003" w:tentative="1">
      <w:start w:val="1"/>
      <w:numFmt w:val="bullet"/>
      <w:lvlText w:val="o"/>
      <w:lvlJc w:val="left"/>
      <w:pPr>
        <w:ind w:left="1456" w:hanging="360"/>
      </w:pPr>
      <w:rPr>
        <w:rFonts w:ascii="Courier New" w:hAnsi="Courier New" w:cs="Courier New" w:hint="default"/>
      </w:rPr>
    </w:lvl>
    <w:lvl w:ilvl="2" w:tplc="0C090005" w:tentative="1">
      <w:start w:val="1"/>
      <w:numFmt w:val="bullet"/>
      <w:lvlText w:val=""/>
      <w:lvlJc w:val="left"/>
      <w:pPr>
        <w:ind w:left="2176" w:hanging="360"/>
      </w:pPr>
      <w:rPr>
        <w:rFonts w:ascii="Wingdings" w:hAnsi="Wingdings" w:hint="default"/>
      </w:rPr>
    </w:lvl>
    <w:lvl w:ilvl="3" w:tplc="0C090001" w:tentative="1">
      <w:start w:val="1"/>
      <w:numFmt w:val="bullet"/>
      <w:lvlText w:val=""/>
      <w:lvlJc w:val="left"/>
      <w:pPr>
        <w:ind w:left="2896" w:hanging="360"/>
      </w:pPr>
      <w:rPr>
        <w:rFonts w:ascii="Symbol" w:hAnsi="Symbol" w:hint="default"/>
      </w:rPr>
    </w:lvl>
    <w:lvl w:ilvl="4" w:tplc="0C090003" w:tentative="1">
      <w:start w:val="1"/>
      <w:numFmt w:val="bullet"/>
      <w:lvlText w:val="o"/>
      <w:lvlJc w:val="left"/>
      <w:pPr>
        <w:ind w:left="3616" w:hanging="360"/>
      </w:pPr>
      <w:rPr>
        <w:rFonts w:ascii="Courier New" w:hAnsi="Courier New" w:cs="Courier New" w:hint="default"/>
      </w:rPr>
    </w:lvl>
    <w:lvl w:ilvl="5" w:tplc="0C090005" w:tentative="1">
      <w:start w:val="1"/>
      <w:numFmt w:val="bullet"/>
      <w:lvlText w:val=""/>
      <w:lvlJc w:val="left"/>
      <w:pPr>
        <w:ind w:left="4336" w:hanging="360"/>
      </w:pPr>
      <w:rPr>
        <w:rFonts w:ascii="Wingdings" w:hAnsi="Wingdings" w:hint="default"/>
      </w:rPr>
    </w:lvl>
    <w:lvl w:ilvl="6" w:tplc="0C090001" w:tentative="1">
      <w:start w:val="1"/>
      <w:numFmt w:val="bullet"/>
      <w:lvlText w:val=""/>
      <w:lvlJc w:val="left"/>
      <w:pPr>
        <w:ind w:left="5056" w:hanging="360"/>
      </w:pPr>
      <w:rPr>
        <w:rFonts w:ascii="Symbol" w:hAnsi="Symbol" w:hint="default"/>
      </w:rPr>
    </w:lvl>
    <w:lvl w:ilvl="7" w:tplc="0C090003" w:tentative="1">
      <w:start w:val="1"/>
      <w:numFmt w:val="bullet"/>
      <w:lvlText w:val="o"/>
      <w:lvlJc w:val="left"/>
      <w:pPr>
        <w:ind w:left="5776" w:hanging="360"/>
      </w:pPr>
      <w:rPr>
        <w:rFonts w:ascii="Courier New" w:hAnsi="Courier New" w:cs="Courier New" w:hint="default"/>
      </w:rPr>
    </w:lvl>
    <w:lvl w:ilvl="8" w:tplc="0C090005" w:tentative="1">
      <w:start w:val="1"/>
      <w:numFmt w:val="bullet"/>
      <w:lvlText w:val=""/>
      <w:lvlJc w:val="left"/>
      <w:pPr>
        <w:ind w:left="6496" w:hanging="360"/>
      </w:pPr>
      <w:rPr>
        <w:rFonts w:ascii="Wingdings" w:hAnsi="Wingdings" w:hint="default"/>
      </w:rPr>
    </w:lvl>
  </w:abstractNum>
  <w:abstractNum w:abstractNumId="26" w15:restartNumberingAfterBreak="0">
    <w:nsid w:val="4E137F12"/>
    <w:multiLevelType w:val="hybridMultilevel"/>
    <w:tmpl w:val="E6889790"/>
    <w:lvl w:ilvl="0" w:tplc="86F4BC34">
      <w:start w:val="1"/>
      <w:numFmt w:val="bullet"/>
      <w:lvlText w:val="̵"/>
      <w:lvlJc w:val="left"/>
      <w:pPr>
        <w:ind w:left="777" w:hanging="360"/>
      </w:pPr>
      <w:rPr>
        <w:rFonts w:ascii="Courier New" w:hAnsi="Courier New" w:hint="default"/>
      </w:rPr>
    </w:lvl>
    <w:lvl w:ilvl="1" w:tplc="10090003" w:tentative="1">
      <w:start w:val="1"/>
      <w:numFmt w:val="bullet"/>
      <w:lvlText w:val="o"/>
      <w:lvlJc w:val="left"/>
      <w:pPr>
        <w:ind w:left="1497" w:hanging="360"/>
      </w:pPr>
      <w:rPr>
        <w:rFonts w:ascii="Courier New" w:hAnsi="Courier New" w:cs="Courier New" w:hint="default"/>
      </w:rPr>
    </w:lvl>
    <w:lvl w:ilvl="2" w:tplc="10090005" w:tentative="1">
      <w:start w:val="1"/>
      <w:numFmt w:val="bullet"/>
      <w:lvlText w:val=""/>
      <w:lvlJc w:val="left"/>
      <w:pPr>
        <w:ind w:left="2217" w:hanging="360"/>
      </w:pPr>
      <w:rPr>
        <w:rFonts w:ascii="Wingdings" w:hAnsi="Wingdings" w:hint="default"/>
      </w:rPr>
    </w:lvl>
    <w:lvl w:ilvl="3" w:tplc="10090001" w:tentative="1">
      <w:start w:val="1"/>
      <w:numFmt w:val="bullet"/>
      <w:lvlText w:val=""/>
      <w:lvlJc w:val="left"/>
      <w:pPr>
        <w:ind w:left="2937" w:hanging="360"/>
      </w:pPr>
      <w:rPr>
        <w:rFonts w:ascii="Symbol" w:hAnsi="Symbol" w:hint="default"/>
      </w:rPr>
    </w:lvl>
    <w:lvl w:ilvl="4" w:tplc="10090003" w:tentative="1">
      <w:start w:val="1"/>
      <w:numFmt w:val="bullet"/>
      <w:lvlText w:val="o"/>
      <w:lvlJc w:val="left"/>
      <w:pPr>
        <w:ind w:left="3657" w:hanging="360"/>
      </w:pPr>
      <w:rPr>
        <w:rFonts w:ascii="Courier New" w:hAnsi="Courier New" w:cs="Courier New" w:hint="default"/>
      </w:rPr>
    </w:lvl>
    <w:lvl w:ilvl="5" w:tplc="10090005" w:tentative="1">
      <w:start w:val="1"/>
      <w:numFmt w:val="bullet"/>
      <w:lvlText w:val=""/>
      <w:lvlJc w:val="left"/>
      <w:pPr>
        <w:ind w:left="4377" w:hanging="360"/>
      </w:pPr>
      <w:rPr>
        <w:rFonts w:ascii="Wingdings" w:hAnsi="Wingdings" w:hint="default"/>
      </w:rPr>
    </w:lvl>
    <w:lvl w:ilvl="6" w:tplc="10090001" w:tentative="1">
      <w:start w:val="1"/>
      <w:numFmt w:val="bullet"/>
      <w:lvlText w:val=""/>
      <w:lvlJc w:val="left"/>
      <w:pPr>
        <w:ind w:left="5097" w:hanging="360"/>
      </w:pPr>
      <w:rPr>
        <w:rFonts w:ascii="Symbol" w:hAnsi="Symbol" w:hint="default"/>
      </w:rPr>
    </w:lvl>
    <w:lvl w:ilvl="7" w:tplc="10090003" w:tentative="1">
      <w:start w:val="1"/>
      <w:numFmt w:val="bullet"/>
      <w:lvlText w:val="o"/>
      <w:lvlJc w:val="left"/>
      <w:pPr>
        <w:ind w:left="5817" w:hanging="360"/>
      </w:pPr>
      <w:rPr>
        <w:rFonts w:ascii="Courier New" w:hAnsi="Courier New" w:cs="Courier New" w:hint="default"/>
      </w:rPr>
    </w:lvl>
    <w:lvl w:ilvl="8" w:tplc="10090005" w:tentative="1">
      <w:start w:val="1"/>
      <w:numFmt w:val="bullet"/>
      <w:lvlText w:val=""/>
      <w:lvlJc w:val="left"/>
      <w:pPr>
        <w:ind w:left="6537" w:hanging="360"/>
      </w:pPr>
      <w:rPr>
        <w:rFonts w:ascii="Wingdings" w:hAnsi="Wingdings" w:hint="default"/>
      </w:rPr>
    </w:lvl>
  </w:abstractNum>
  <w:abstractNum w:abstractNumId="27" w15:restartNumberingAfterBreak="0">
    <w:nsid w:val="5568428E"/>
    <w:multiLevelType w:val="hybridMultilevel"/>
    <w:tmpl w:val="25BAA12A"/>
    <w:lvl w:ilvl="0" w:tplc="151AF2BE">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587739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672"/>
        </w:tabs>
        <w:ind w:left="67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2808"/>
        </w:tabs>
        <w:ind w:left="280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9" w15:restartNumberingAfterBreak="0">
    <w:nsid w:val="559B587C"/>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0" w15:restartNumberingAfterBreak="0">
    <w:nsid w:val="59A55076"/>
    <w:multiLevelType w:val="hybridMultilevel"/>
    <w:tmpl w:val="17022C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5AFA6DBF"/>
    <w:multiLevelType w:val="hybridMultilevel"/>
    <w:tmpl w:val="0520D8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5B186AA2"/>
    <w:multiLevelType w:val="hybridMultilevel"/>
    <w:tmpl w:val="1A7A1C20"/>
    <w:lvl w:ilvl="0" w:tplc="37D677B6">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EB17618"/>
    <w:multiLevelType w:val="hybridMultilevel"/>
    <w:tmpl w:val="1EF4C8F4"/>
    <w:lvl w:ilvl="0" w:tplc="EA52EE32">
      <w:start w:val="1"/>
      <w:numFmt w:val="decimal"/>
      <w:pStyle w:val="ListNumber"/>
      <w:lvlText w:val="%1."/>
      <w:lvlJc w:val="left"/>
      <w:pPr>
        <w:tabs>
          <w:tab w:val="num" w:pos="1320"/>
        </w:tabs>
        <w:ind w:left="1320" w:hanging="720"/>
      </w:pPr>
      <w:rPr>
        <w:rFonts w:ascii="Times New Roman" w:hAnsi="Times New Roman" w:hint="default"/>
        <w:color w:val="auto"/>
        <w:sz w:val="22"/>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EBE750D"/>
    <w:multiLevelType w:val="hybridMultilevel"/>
    <w:tmpl w:val="ADEEFF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ED672A2"/>
    <w:multiLevelType w:val="hybridMultilevel"/>
    <w:tmpl w:val="0F30FE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658313D9"/>
    <w:multiLevelType w:val="hybridMultilevel"/>
    <w:tmpl w:val="AEC65554"/>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8682A7D"/>
    <w:multiLevelType w:val="hybridMultilevel"/>
    <w:tmpl w:val="B4D6F87E"/>
    <w:lvl w:ilvl="0" w:tplc="479E043C">
      <w:start w:val="1"/>
      <w:numFmt w:val="lowerLetter"/>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ABF0211"/>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39" w15:restartNumberingAfterBreak="0">
    <w:nsid w:val="6CEE2DBA"/>
    <w:multiLevelType w:val="hybridMultilevel"/>
    <w:tmpl w:val="0EBA5B26"/>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0" w15:restartNumberingAfterBreak="0">
    <w:nsid w:val="6D3314D5"/>
    <w:multiLevelType w:val="hybridMultilevel"/>
    <w:tmpl w:val="E1867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1" w15:restartNumberingAfterBreak="0">
    <w:nsid w:val="773D3DBA"/>
    <w:multiLevelType w:val="hybridMultilevel"/>
    <w:tmpl w:val="8B3E37A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2" w15:restartNumberingAfterBreak="0">
    <w:nsid w:val="7ACC4752"/>
    <w:multiLevelType w:val="hybridMultilevel"/>
    <w:tmpl w:val="CC14C3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15:restartNumberingAfterBreak="0">
    <w:nsid w:val="7B180E74"/>
    <w:multiLevelType w:val="hybridMultilevel"/>
    <w:tmpl w:val="E1A4EF30"/>
    <w:lvl w:ilvl="0" w:tplc="92986BE6">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4" w15:restartNumberingAfterBreak="0">
    <w:nsid w:val="7BA53775"/>
    <w:multiLevelType w:val="hybridMultilevel"/>
    <w:tmpl w:val="6B24C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7C60488B"/>
    <w:multiLevelType w:val="hybridMultilevel"/>
    <w:tmpl w:val="8CF04670"/>
    <w:lvl w:ilvl="0" w:tplc="86F4BC34">
      <w:start w:val="1"/>
      <w:numFmt w:val="bullet"/>
      <w:lvlText w:val="̵"/>
      <w:lvlJc w:val="left"/>
      <w:pPr>
        <w:ind w:left="720" w:hanging="360"/>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6" w15:restartNumberingAfterBreak="0">
    <w:nsid w:val="7E155277"/>
    <w:multiLevelType w:val="hybridMultilevel"/>
    <w:tmpl w:val="012C3E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7E9278D3"/>
    <w:multiLevelType w:val="multilevel"/>
    <w:tmpl w:val="096CE922"/>
    <w:lvl w:ilvl="0">
      <w:start w:val="1"/>
      <w:numFmt w:val="decimal"/>
      <w:lvlText w:val="%1."/>
      <w:lvlJc w:val="left"/>
      <w:pPr>
        <w:ind w:left="567" w:hanging="567"/>
      </w:pPr>
      <w:rPr>
        <w:rFonts w:hint="default"/>
        <w:b/>
      </w:rPr>
    </w:lvl>
    <w:lvl w:ilvl="1">
      <w:start w:val="1"/>
      <w:numFmt w:val="decimal"/>
      <w:lvlText w:val="%1.%2."/>
      <w:lvlJc w:val="left"/>
      <w:pPr>
        <w:ind w:left="1134" w:hanging="567"/>
      </w:pPr>
      <w:rPr>
        <w:rFonts w:hint="default"/>
        <w:b w:val="0"/>
      </w:rPr>
    </w:lvl>
    <w:lvl w:ilvl="2">
      <w:start w:val="1"/>
      <w:numFmt w:val="decimal"/>
      <w:lvlText w:val="%1.%2.%3."/>
      <w:lvlJc w:val="left"/>
      <w:pPr>
        <w:ind w:left="1701" w:hanging="567"/>
      </w:pPr>
      <w:rPr>
        <w:rFonts w:hint="default"/>
        <w:b w:val="0"/>
        <w:i w:val="0"/>
        <w:sz w:val="22"/>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48" w15:restartNumberingAfterBreak="0">
    <w:nsid w:val="7F5D6F1E"/>
    <w:multiLevelType w:val="hybridMultilevel"/>
    <w:tmpl w:val="48F4510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33"/>
  </w:num>
  <w:num w:numId="3">
    <w:abstractNumId w:val="11"/>
  </w:num>
  <w:num w:numId="4">
    <w:abstractNumId w:val="47"/>
  </w:num>
  <w:num w:numId="5">
    <w:abstractNumId w:val="15"/>
  </w:num>
  <w:num w:numId="6">
    <w:abstractNumId w:val="29"/>
  </w:num>
  <w:num w:numId="7">
    <w:abstractNumId w:val="38"/>
  </w:num>
  <w:num w:numId="8">
    <w:abstractNumId w:val="22"/>
  </w:num>
  <w:num w:numId="9">
    <w:abstractNumId w:val="3"/>
  </w:num>
  <w:num w:numId="10">
    <w:abstractNumId w:val="7"/>
  </w:num>
  <w:num w:numId="11">
    <w:abstractNumId w:val="18"/>
  </w:num>
  <w:num w:numId="12">
    <w:abstractNumId w:val="30"/>
  </w:num>
  <w:num w:numId="13">
    <w:abstractNumId w:val="25"/>
  </w:num>
  <w:num w:numId="14">
    <w:abstractNumId w:val="9"/>
  </w:num>
  <w:num w:numId="15">
    <w:abstractNumId w:val="46"/>
  </w:num>
  <w:num w:numId="16">
    <w:abstractNumId w:val="2"/>
  </w:num>
  <w:num w:numId="17">
    <w:abstractNumId w:val="42"/>
  </w:num>
  <w:num w:numId="18">
    <w:abstractNumId w:val="44"/>
  </w:num>
  <w:num w:numId="19">
    <w:abstractNumId w:val="12"/>
  </w:num>
  <w:num w:numId="20">
    <w:abstractNumId w:val="27"/>
  </w:num>
  <w:num w:numId="21">
    <w:abstractNumId w:val="35"/>
  </w:num>
  <w:num w:numId="22">
    <w:abstractNumId w:val="19"/>
  </w:num>
  <w:num w:numId="23">
    <w:abstractNumId w:val="17"/>
  </w:num>
  <w:num w:numId="24">
    <w:abstractNumId w:val="8"/>
  </w:num>
  <w:num w:numId="25">
    <w:abstractNumId w:val="5"/>
  </w:num>
  <w:num w:numId="26">
    <w:abstractNumId w:val="14"/>
  </w:num>
  <w:num w:numId="27">
    <w:abstractNumId w:val="39"/>
  </w:num>
  <w:num w:numId="28">
    <w:abstractNumId w:val="41"/>
  </w:num>
  <w:num w:numId="29">
    <w:abstractNumId w:val="20"/>
  </w:num>
  <w:num w:numId="30">
    <w:abstractNumId w:val="24"/>
  </w:num>
  <w:num w:numId="31">
    <w:abstractNumId w:val="45"/>
  </w:num>
  <w:num w:numId="32">
    <w:abstractNumId w:val="13"/>
  </w:num>
  <w:num w:numId="33">
    <w:abstractNumId w:val="23"/>
  </w:num>
  <w:num w:numId="34">
    <w:abstractNumId w:val="48"/>
  </w:num>
  <w:num w:numId="35">
    <w:abstractNumId w:val="31"/>
  </w:num>
  <w:num w:numId="36">
    <w:abstractNumId w:val="26"/>
  </w:num>
  <w:num w:numId="37">
    <w:abstractNumId w:val="34"/>
  </w:num>
  <w:num w:numId="38">
    <w:abstractNumId w:val="32"/>
  </w:num>
  <w:num w:numId="39">
    <w:abstractNumId w:val="16"/>
  </w:num>
  <w:num w:numId="40">
    <w:abstractNumId w:val="4"/>
  </w:num>
  <w:num w:numId="41">
    <w:abstractNumId w:val="40"/>
  </w:num>
  <w:num w:numId="42">
    <w:abstractNumId w:val="10"/>
  </w:num>
  <w:num w:numId="43">
    <w:abstractNumId w:val="0"/>
  </w:num>
  <w:num w:numId="44">
    <w:abstractNumId w:val="37"/>
  </w:num>
  <w:num w:numId="45">
    <w:abstractNumId w:val="1"/>
  </w:num>
  <w:num w:numId="46">
    <w:abstractNumId w:val="43"/>
  </w:num>
  <w:num w:numId="47">
    <w:abstractNumId w:val="36"/>
  </w:num>
  <w:num w:numId="48">
    <w:abstractNumId w:val="6"/>
  </w:num>
  <w:num w:numId="49">
    <w:abstractNumId w:val="2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5FB9"/>
    <w:rsid w:val="00002A5E"/>
    <w:rsid w:val="00002D35"/>
    <w:rsid w:val="000072AB"/>
    <w:rsid w:val="00007A59"/>
    <w:rsid w:val="00010295"/>
    <w:rsid w:val="00011848"/>
    <w:rsid w:val="00012F6E"/>
    <w:rsid w:val="0002074B"/>
    <w:rsid w:val="00021A84"/>
    <w:rsid w:val="0002241E"/>
    <w:rsid w:val="00025079"/>
    <w:rsid w:val="00025A44"/>
    <w:rsid w:val="00030A18"/>
    <w:rsid w:val="000378DF"/>
    <w:rsid w:val="00040822"/>
    <w:rsid w:val="000438C2"/>
    <w:rsid w:val="0004415D"/>
    <w:rsid w:val="00045DBB"/>
    <w:rsid w:val="00046857"/>
    <w:rsid w:val="00051E8C"/>
    <w:rsid w:val="000523B4"/>
    <w:rsid w:val="00052CB9"/>
    <w:rsid w:val="00052E6E"/>
    <w:rsid w:val="00055934"/>
    <w:rsid w:val="00057B59"/>
    <w:rsid w:val="00061A48"/>
    <w:rsid w:val="0006664E"/>
    <w:rsid w:val="000670E2"/>
    <w:rsid w:val="00072AFA"/>
    <w:rsid w:val="000768CC"/>
    <w:rsid w:val="000771C6"/>
    <w:rsid w:val="00077292"/>
    <w:rsid w:val="0007781E"/>
    <w:rsid w:val="0008108A"/>
    <w:rsid w:val="00082353"/>
    <w:rsid w:val="00084913"/>
    <w:rsid w:val="000853EA"/>
    <w:rsid w:val="00085C0E"/>
    <w:rsid w:val="00091F61"/>
    <w:rsid w:val="00093D3B"/>
    <w:rsid w:val="000A1A3F"/>
    <w:rsid w:val="000A28CB"/>
    <w:rsid w:val="000A3A32"/>
    <w:rsid w:val="000A3E4D"/>
    <w:rsid w:val="000A4623"/>
    <w:rsid w:val="000A551E"/>
    <w:rsid w:val="000A5F41"/>
    <w:rsid w:val="000A5F95"/>
    <w:rsid w:val="000A6113"/>
    <w:rsid w:val="000A74EF"/>
    <w:rsid w:val="000B0DF3"/>
    <w:rsid w:val="000B2F6E"/>
    <w:rsid w:val="000B3896"/>
    <w:rsid w:val="000B39D5"/>
    <w:rsid w:val="000B74EB"/>
    <w:rsid w:val="000C2191"/>
    <w:rsid w:val="000C6F27"/>
    <w:rsid w:val="000D2072"/>
    <w:rsid w:val="000D484C"/>
    <w:rsid w:val="000E27E7"/>
    <w:rsid w:val="000E42E0"/>
    <w:rsid w:val="000E691D"/>
    <w:rsid w:val="000F0BD2"/>
    <w:rsid w:val="000F163D"/>
    <w:rsid w:val="000F3C8C"/>
    <w:rsid w:val="0010057B"/>
    <w:rsid w:val="00100603"/>
    <w:rsid w:val="00103009"/>
    <w:rsid w:val="00104601"/>
    <w:rsid w:val="00104B83"/>
    <w:rsid w:val="00105822"/>
    <w:rsid w:val="00107351"/>
    <w:rsid w:val="00112849"/>
    <w:rsid w:val="0011381E"/>
    <w:rsid w:val="00117ECC"/>
    <w:rsid w:val="0012200E"/>
    <w:rsid w:val="00122B47"/>
    <w:rsid w:val="001239C5"/>
    <w:rsid w:val="00123A22"/>
    <w:rsid w:val="00124CE7"/>
    <w:rsid w:val="00125C0F"/>
    <w:rsid w:val="00125E43"/>
    <w:rsid w:val="00130500"/>
    <w:rsid w:val="00137B24"/>
    <w:rsid w:val="00141D47"/>
    <w:rsid w:val="00141EB2"/>
    <w:rsid w:val="00142FC0"/>
    <w:rsid w:val="00147C6C"/>
    <w:rsid w:val="001506E1"/>
    <w:rsid w:val="001540BC"/>
    <w:rsid w:val="00154BA6"/>
    <w:rsid w:val="00155490"/>
    <w:rsid w:val="00156C0D"/>
    <w:rsid w:val="00162C0F"/>
    <w:rsid w:val="001636E3"/>
    <w:rsid w:val="00163804"/>
    <w:rsid w:val="00165953"/>
    <w:rsid w:val="0016738A"/>
    <w:rsid w:val="0017167E"/>
    <w:rsid w:val="001720DB"/>
    <w:rsid w:val="001813BD"/>
    <w:rsid w:val="00182A77"/>
    <w:rsid w:val="00183189"/>
    <w:rsid w:val="00183259"/>
    <w:rsid w:val="00184389"/>
    <w:rsid w:val="0018442E"/>
    <w:rsid w:val="00190436"/>
    <w:rsid w:val="001960F8"/>
    <w:rsid w:val="001A175E"/>
    <w:rsid w:val="001A2AC4"/>
    <w:rsid w:val="001A5A2B"/>
    <w:rsid w:val="001A6AEB"/>
    <w:rsid w:val="001A73A7"/>
    <w:rsid w:val="001B02B9"/>
    <w:rsid w:val="001B21AC"/>
    <w:rsid w:val="001B69A4"/>
    <w:rsid w:val="001C0541"/>
    <w:rsid w:val="001C22DE"/>
    <w:rsid w:val="001C3435"/>
    <w:rsid w:val="001C35DA"/>
    <w:rsid w:val="001C46F9"/>
    <w:rsid w:val="001C666B"/>
    <w:rsid w:val="001D016F"/>
    <w:rsid w:val="001D1C6A"/>
    <w:rsid w:val="001E10EA"/>
    <w:rsid w:val="001E1D1A"/>
    <w:rsid w:val="001E5A27"/>
    <w:rsid w:val="001E75B6"/>
    <w:rsid w:val="001F1708"/>
    <w:rsid w:val="001F7A60"/>
    <w:rsid w:val="00201075"/>
    <w:rsid w:val="0020129E"/>
    <w:rsid w:val="00202269"/>
    <w:rsid w:val="00210045"/>
    <w:rsid w:val="00210CEC"/>
    <w:rsid w:val="00212E3A"/>
    <w:rsid w:val="002139CE"/>
    <w:rsid w:val="00213F4C"/>
    <w:rsid w:val="00215DC3"/>
    <w:rsid w:val="00216701"/>
    <w:rsid w:val="00216E45"/>
    <w:rsid w:val="00217AD0"/>
    <w:rsid w:val="00221213"/>
    <w:rsid w:val="00221FB3"/>
    <w:rsid w:val="002235EB"/>
    <w:rsid w:val="0022561F"/>
    <w:rsid w:val="00231F64"/>
    <w:rsid w:val="002405BA"/>
    <w:rsid w:val="002423A0"/>
    <w:rsid w:val="002469DA"/>
    <w:rsid w:val="00246E90"/>
    <w:rsid w:val="00247177"/>
    <w:rsid w:val="0025032E"/>
    <w:rsid w:val="002507E7"/>
    <w:rsid w:val="002570CD"/>
    <w:rsid w:val="0026299A"/>
    <w:rsid w:val="002659F4"/>
    <w:rsid w:val="00270AD3"/>
    <w:rsid w:val="0027251C"/>
    <w:rsid w:val="0027361F"/>
    <w:rsid w:val="00275BC5"/>
    <w:rsid w:val="002804DA"/>
    <w:rsid w:val="00280CC0"/>
    <w:rsid w:val="00282AC5"/>
    <w:rsid w:val="00285774"/>
    <w:rsid w:val="00291C30"/>
    <w:rsid w:val="002A4B99"/>
    <w:rsid w:val="002B225A"/>
    <w:rsid w:val="002B2913"/>
    <w:rsid w:val="002B46F6"/>
    <w:rsid w:val="002B4934"/>
    <w:rsid w:val="002C0F90"/>
    <w:rsid w:val="002C1931"/>
    <w:rsid w:val="002C6C35"/>
    <w:rsid w:val="002C6D46"/>
    <w:rsid w:val="002D0BEB"/>
    <w:rsid w:val="002D2CEE"/>
    <w:rsid w:val="002D32A8"/>
    <w:rsid w:val="002D484B"/>
    <w:rsid w:val="002D5DD3"/>
    <w:rsid w:val="002D738F"/>
    <w:rsid w:val="002E276F"/>
    <w:rsid w:val="002E477D"/>
    <w:rsid w:val="002E4CDB"/>
    <w:rsid w:val="002E507B"/>
    <w:rsid w:val="002E5171"/>
    <w:rsid w:val="002F1053"/>
    <w:rsid w:val="002F4C1A"/>
    <w:rsid w:val="002F776E"/>
    <w:rsid w:val="002F7DFA"/>
    <w:rsid w:val="003009BF"/>
    <w:rsid w:val="00302DAB"/>
    <w:rsid w:val="003039E3"/>
    <w:rsid w:val="00307365"/>
    <w:rsid w:val="00307E50"/>
    <w:rsid w:val="0031024F"/>
    <w:rsid w:val="00311953"/>
    <w:rsid w:val="003119B7"/>
    <w:rsid w:val="00313AC3"/>
    <w:rsid w:val="00314113"/>
    <w:rsid w:val="00315397"/>
    <w:rsid w:val="00320783"/>
    <w:rsid w:val="00320873"/>
    <w:rsid w:val="00321895"/>
    <w:rsid w:val="00327E9D"/>
    <w:rsid w:val="003309A1"/>
    <w:rsid w:val="00331816"/>
    <w:rsid w:val="00331D51"/>
    <w:rsid w:val="00332FCA"/>
    <w:rsid w:val="003403DF"/>
    <w:rsid w:val="003406C7"/>
    <w:rsid w:val="0034284E"/>
    <w:rsid w:val="00342AFC"/>
    <w:rsid w:val="00343B3C"/>
    <w:rsid w:val="00346A61"/>
    <w:rsid w:val="003507AF"/>
    <w:rsid w:val="00356EB3"/>
    <w:rsid w:val="00356F4F"/>
    <w:rsid w:val="003608F8"/>
    <w:rsid w:val="003641C1"/>
    <w:rsid w:val="003658F2"/>
    <w:rsid w:val="00370E87"/>
    <w:rsid w:val="00372F76"/>
    <w:rsid w:val="00377E4C"/>
    <w:rsid w:val="0039416E"/>
    <w:rsid w:val="003941F0"/>
    <w:rsid w:val="003950C1"/>
    <w:rsid w:val="00395161"/>
    <w:rsid w:val="003A42C4"/>
    <w:rsid w:val="003A550D"/>
    <w:rsid w:val="003A591F"/>
    <w:rsid w:val="003A7B6E"/>
    <w:rsid w:val="003B066F"/>
    <w:rsid w:val="003B282A"/>
    <w:rsid w:val="003B4176"/>
    <w:rsid w:val="003B4DF3"/>
    <w:rsid w:val="003B6AAA"/>
    <w:rsid w:val="003C4CC7"/>
    <w:rsid w:val="003C6B75"/>
    <w:rsid w:val="003C781B"/>
    <w:rsid w:val="003D3C69"/>
    <w:rsid w:val="003D5486"/>
    <w:rsid w:val="003D5CAB"/>
    <w:rsid w:val="003D6C15"/>
    <w:rsid w:val="003D7AEE"/>
    <w:rsid w:val="003E14FB"/>
    <w:rsid w:val="003E2FA5"/>
    <w:rsid w:val="003E3207"/>
    <w:rsid w:val="003E7492"/>
    <w:rsid w:val="003F7CCC"/>
    <w:rsid w:val="0040693B"/>
    <w:rsid w:val="00406D55"/>
    <w:rsid w:val="00411728"/>
    <w:rsid w:val="00412A26"/>
    <w:rsid w:val="00412F32"/>
    <w:rsid w:val="00412F56"/>
    <w:rsid w:val="0041426E"/>
    <w:rsid w:val="0042181B"/>
    <w:rsid w:val="004267F7"/>
    <w:rsid w:val="00426A8D"/>
    <w:rsid w:val="00434865"/>
    <w:rsid w:val="00435D33"/>
    <w:rsid w:val="004361FB"/>
    <w:rsid w:val="00436973"/>
    <w:rsid w:val="004405A1"/>
    <w:rsid w:val="00440672"/>
    <w:rsid w:val="00440C86"/>
    <w:rsid w:val="0044493B"/>
    <w:rsid w:val="004473F4"/>
    <w:rsid w:val="00452056"/>
    <w:rsid w:val="0045586E"/>
    <w:rsid w:val="00456F9B"/>
    <w:rsid w:val="0046082F"/>
    <w:rsid w:val="00460C5D"/>
    <w:rsid w:val="00462FB1"/>
    <w:rsid w:val="00463372"/>
    <w:rsid w:val="00464965"/>
    <w:rsid w:val="004663DA"/>
    <w:rsid w:val="004670B5"/>
    <w:rsid w:val="00470E9B"/>
    <w:rsid w:val="00474D26"/>
    <w:rsid w:val="004755B1"/>
    <w:rsid w:val="00476F0A"/>
    <w:rsid w:val="00484A81"/>
    <w:rsid w:val="004901E9"/>
    <w:rsid w:val="004903C4"/>
    <w:rsid w:val="0049091B"/>
    <w:rsid w:val="004918EE"/>
    <w:rsid w:val="00491F4A"/>
    <w:rsid w:val="0049348E"/>
    <w:rsid w:val="004946C9"/>
    <w:rsid w:val="00496722"/>
    <w:rsid w:val="004A26EA"/>
    <w:rsid w:val="004A35E0"/>
    <w:rsid w:val="004A363A"/>
    <w:rsid w:val="004B1E3C"/>
    <w:rsid w:val="004B4C50"/>
    <w:rsid w:val="004C0539"/>
    <w:rsid w:val="004C6917"/>
    <w:rsid w:val="004D0968"/>
    <w:rsid w:val="004D19F0"/>
    <w:rsid w:val="004D2AF6"/>
    <w:rsid w:val="004D3255"/>
    <w:rsid w:val="004D5DDB"/>
    <w:rsid w:val="004D7E23"/>
    <w:rsid w:val="004E0BC2"/>
    <w:rsid w:val="004E7451"/>
    <w:rsid w:val="004E7A97"/>
    <w:rsid w:val="004F44B8"/>
    <w:rsid w:val="004F5850"/>
    <w:rsid w:val="004F5A85"/>
    <w:rsid w:val="004F5B4E"/>
    <w:rsid w:val="005001A5"/>
    <w:rsid w:val="00500B69"/>
    <w:rsid w:val="00502C67"/>
    <w:rsid w:val="00505022"/>
    <w:rsid w:val="0050536D"/>
    <w:rsid w:val="0052495F"/>
    <w:rsid w:val="0052620D"/>
    <w:rsid w:val="00527B78"/>
    <w:rsid w:val="00531EA6"/>
    <w:rsid w:val="00532EAB"/>
    <w:rsid w:val="005342BF"/>
    <w:rsid w:val="00534857"/>
    <w:rsid w:val="00535D0D"/>
    <w:rsid w:val="00536A93"/>
    <w:rsid w:val="00540B90"/>
    <w:rsid w:val="005442D6"/>
    <w:rsid w:val="00544329"/>
    <w:rsid w:val="00544ACD"/>
    <w:rsid w:val="00550893"/>
    <w:rsid w:val="00552730"/>
    <w:rsid w:val="005553CD"/>
    <w:rsid w:val="005569D0"/>
    <w:rsid w:val="00561DB6"/>
    <w:rsid w:val="00564D66"/>
    <w:rsid w:val="00566A03"/>
    <w:rsid w:val="0056776B"/>
    <w:rsid w:val="005733A0"/>
    <w:rsid w:val="00573DE5"/>
    <w:rsid w:val="00574654"/>
    <w:rsid w:val="00581D03"/>
    <w:rsid w:val="00582474"/>
    <w:rsid w:val="00583FEE"/>
    <w:rsid w:val="00584C99"/>
    <w:rsid w:val="005852EE"/>
    <w:rsid w:val="00587550"/>
    <w:rsid w:val="00590417"/>
    <w:rsid w:val="00591933"/>
    <w:rsid w:val="00593EDF"/>
    <w:rsid w:val="005944E0"/>
    <w:rsid w:val="00597DA4"/>
    <w:rsid w:val="005A0714"/>
    <w:rsid w:val="005A317C"/>
    <w:rsid w:val="005A3340"/>
    <w:rsid w:val="005A3E5D"/>
    <w:rsid w:val="005A4D20"/>
    <w:rsid w:val="005A5B36"/>
    <w:rsid w:val="005A67E3"/>
    <w:rsid w:val="005B0E65"/>
    <w:rsid w:val="005B73F7"/>
    <w:rsid w:val="005C2D1E"/>
    <w:rsid w:val="005C34FF"/>
    <w:rsid w:val="005C4BEB"/>
    <w:rsid w:val="005C6296"/>
    <w:rsid w:val="005C6F00"/>
    <w:rsid w:val="005D1B70"/>
    <w:rsid w:val="005D32A4"/>
    <w:rsid w:val="005D48E6"/>
    <w:rsid w:val="005E4417"/>
    <w:rsid w:val="005E50B0"/>
    <w:rsid w:val="005E642A"/>
    <w:rsid w:val="005E7440"/>
    <w:rsid w:val="005F1481"/>
    <w:rsid w:val="005F37A8"/>
    <w:rsid w:val="005F4BCD"/>
    <w:rsid w:val="005F64BA"/>
    <w:rsid w:val="005F78D9"/>
    <w:rsid w:val="005F7B06"/>
    <w:rsid w:val="00602BF6"/>
    <w:rsid w:val="00604D7F"/>
    <w:rsid w:val="00607C52"/>
    <w:rsid w:val="00611020"/>
    <w:rsid w:val="00613780"/>
    <w:rsid w:val="00615576"/>
    <w:rsid w:val="00617750"/>
    <w:rsid w:val="00623135"/>
    <w:rsid w:val="0062518B"/>
    <w:rsid w:val="00626246"/>
    <w:rsid w:val="00627B76"/>
    <w:rsid w:val="00632F0F"/>
    <w:rsid w:val="00633C20"/>
    <w:rsid w:val="00634F49"/>
    <w:rsid w:val="00641CC5"/>
    <w:rsid w:val="00647083"/>
    <w:rsid w:val="00647333"/>
    <w:rsid w:val="00651467"/>
    <w:rsid w:val="006523B3"/>
    <w:rsid w:val="00656DA8"/>
    <w:rsid w:val="00661D50"/>
    <w:rsid w:val="0066474F"/>
    <w:rsid w:val="006737E7"/>
    <w:rsid w:val="00675192"/>
    <w:rsid w:val="006761C1"/>
    <w:rsid w:val="00681065"/>
    <w:rsid w:val="00681BB8"/>
    <w:rsid w:val="0068352C"/>
    <w:rsid w:val="0068436E"/>
    <w:rsid w:val="006868BA"/>
    <w:rsid w:val="00691E20"/>
    <w:rsid w:val="00694A4F"/>
    <w:rsid w:val="006954BD"/>
    <w:rsid w:val="006A10CE"/>
    <w:rsid w:val="006B352C"/>
    <w:rsid w:val="006B5C57"/>
    <w:rsid w:val="006B5E78"/>
    <w:rsid w:val="006C2515"/>
    <w:rsid w:val="006C2C81"/>
    <w:rsid w:val="006C300F"/>
    <w:rsid w:val="006C4E5A"/>
    <w:rsid w:val="006C6BB7"/>
    <w:rsid w:val="006D1659"/>
    <w:rsid w:val="006D2C9D"/>
    <w:rsid w:val="006D73E0"/>
    <w:rsid w:val="006E1B09"/>
    <w:rsid w:val="006E758C"/>
    <w:rsid w:val="006F1E40"/>
    <w:rsid w:val="006F6E5D"/>
    <w:rsid w:val="00700071"/>
    <w:rsid w:val="00702077"/>
    <w:rsid w:val="00702091"/>
    <w:rsid w:val="007040A2"/>
    <w:rsid w:val="007056AA"/>
    <w:rsid w:val="00705CF8"/>
    <w:rsid w:val="0070738C"/>
    <w:rsid w:val="00707A8A"/>
    <w:rsid w:val="0071162B"/>
    <w:rsid w:val="00714E6E"/>
    <w:rsid w:val="007170C0"/>
    <w:rsid w:val="007173FA"/>
    <w:rsid w:val="00722D8B"/>
    <w:rsid w:val="00725F43"/>
    <w:rsid w:val="00726C0B"/>
    <w:rsid w:val="00727F50"/>
    <w:rsid w:val="00730F7D"/>
    <w:rsid w:val="0074335D"/>
    <w:rsid w:val="007437BF"/>
    <w:rsid w:val="00744379"/>
    <w:rsid w:val="0075277C"/>
    <w:rsid w:val="00753155"/>
    <w:rsid w:val="00753FF7"/>
    <w:rsid w:val="007548E3"/>
    <w:rsid w:val="0075598D"/>
    <w:rsid w:val="007578AA"/>
    <w:rsid w:val="00762C38"/>
    <w:rsid w:val="0076428E"/>
    <w:rsid w:val="00764B7E"/>
    <w:rsid w:val="00764C71"/>
    <w:rsid w:val="00765B17"/>
    <w:rsid w:val="0077179B"/>
    <w:rsid w:val="007819EE"/>
    <w:rsid w:val="00782C10"/>
    <w:rsid w:val="007838D5"/>
    <w:rsid w:val="00783C8B"/>
    <w:rsid w:val="00784CD6"/>
    <w:rsid w:val="00785850"/>
    <w:rsid w:val="007861C0"/>
    <w:rsid w:val="00786E68"/>
    <w:rsid w:val="00787D0F"/>
    <w:rsid w:val="007904BA"/>
    <w:rsid w:val="0079395B"/>
    <w:rsid w:val="00796B32"/>
    <w:rsid w:val="007A3247"/>
    <w:rsid w:val="007A3287"/>
    <w:rsid w:val="007A4204"/>
    <w:rsid w:val="007A4581"/>
    <w:rsid w:val="007A56B3"/>
    <w:rsid w:val="007B1163"/>
    <w:rsid w:val="007B157E"/>
    <w:rsid w:val="007B1EB5"/>
    <w:rsid w:val="007B26FF"/>
    <w:rsid w:val="007B2883"/>
    <w:rsid w:val="007B2BAF"/>
    <w:rsid w:val="007B506F"/>
    <w:rsid w:val="007C2740"/>
    <w:rsid w:val="007C2A5C"/>
    <w:rsid w:val="007C386E"/>
    <w:rsid w:val="007C72F4"/>
    <w:rsid w:val="007D1634"/>
    <w:rsid w:val="007D61F3"/>
    <w:rsid w:val="007D6307"/>
    <w:rsid w:val="007D7EF9"/>
    <w:rsid w:val="007E1218"/>
    <w:rsid w:val="007E18D6"/>
    <w:rsid w:val="007E518E"/>
    <w:rsid w:val="007F10E2"/>
    <w:rsid w:val="007F1579"/>
    <w:rsid w:val="007F531F"/>
    <w:rsid w:val="007F7C24"/>
    <w:rsid w:val="0080230E"/>
    <w:rsid w:val="00811901"/>
    <w:rsid w:val="0081373A"/>
    <w:rsid w:val="00820BD2"/>
    <w:rsid w:val="00820FEB"/>
    <w:rsid w:val="008238BF"/>
    <w:rsid w:val="00825E8D"/>
    <w:rsid w:val="00827634"/>
    <w:rsid w:val="008369D3"/>
    <w:rsid w:val="00842A99"/>
    <w:rsid w:val="00844164"/>
    <w:rsid w:val="00844990"/>
    <w:rsid w:val="00845098"/>
    <w:rsid w:val="008509F4"/>
    <w:rsid w:val="00850F6E"/>
    <w:rsid w:val="00851794"/>
    <w:rsid w:val="00852DD5"/>
    <w:rsid w:val="0085339B"/>
    <w:rsid w:val="00855CD2"/>
    <w:rsid w:val="00856F51"/>
    <w:rsid w:val="00857748"/>
    <w:rsid w:val="00857BB8"/>
    <w:rsid w:val="008625E4"/>
    <w:rsid w:val="0086604E"/>
    <w:rsid w:val="00870914"/>
    <w:rsid w:val="00871468"/>
    <w:rsid w:val="00873981"/>
    <w:rsid w:val="00874980"/>
    <w:rsid w:val="00876CE2"/>
    <w:rsid w:val="008777AD"/>
    <w:rsid w:val="00880815"/>
    <w:rsid w:val="00882866"/>
    <w:rsid w:val="00882FA1"/>
    <w:rsid w:val="00883774"/>
    <w:rsid w:val="008859D6"/>
    <w:rsid w:val="008861F3"/>
    <w:rsid w:val="00896D1D"/>
    <w:rsid w:val="00897C8C"/>
    <w:rsid w:val="00897CF9"/>
    <w:rsid w:val="008A6CD6"/>
    <w:rsid w:val="008B1AE3"/>
    <w:rsid w:val="008B29CF"/>
    <w:rsid w:val="008B349C"/>
    <w:rsid w:val="008B50DE"/>
    <w:rsid w:val="008B783F"/>
    <w:rsid w:val="008B7C68"/>
    <w:rsid w:val="008B7DCF"/>
    <w:rsid w:val="008C08B2"/>
    <w:rsid w:val="008C25FB"/>
    <w:rsid w:val="008C5250"/>
    <w:rsid w:val="008C5DDB"/>
    <w:rsid w:val="008D3129"/>
    <w:rsid w:val="008D4A00"/>
    <w:rsid w:val="008D64A4"/>
    <w:rsid w:val="008D7142"/>
    <w:rsid w:val="008E77AE"/>
    <w:rsid w:val="008F2337"/>
    <w:rsid w:val="008F26E0"/>
    <w:rsid w:val="008F6DA0"/>
    <w:rsid w:val="008F7F22"/>
    <w:rsid w:val="00900CC8"/>
    <w:rsid w:val="0090200F"/>
    <w:rsid w:val="00902A28"/>
    <w:rsid w:val="00904753"/>
    <w:rsid w:val="0090581F"/>
    <w:rsid w:val="00907A33"/>
    <w:rsid w:val="00907D29"/>
    <w:rsid w:val="00910E6F"/>
    <w:rsid w:val="00912896"/>
    <w:rsid w:val="009209A9"/>
    <w:rsid w:val="00920DF3"/>
    <w:rsid w:val="00920F64"/>
    <w:rsid w:val="00922DA3"/>
    <w:rsid w:val="009248A9"/>
    <w:rsid w:val="009265EE"/>
    <w:rsid w:val="009301D6"/>
    <w:rsid w:val="00931E0E"/>
    <w:rsid w:val="009322D7"/>
    <w:rsid w:val="00933173"/>
    <w:rsid w:val="0093771B"/>
    <w:rsid w:val="00943BE3"/>
    <w:rsid w:val="009528F2"/>
    <w:rsid w:val="00952AFA"/>
    <w:rsid w:val="00953067"/>
    <w:rsid w:val="0095381B"/>
    <w:rsid w:val="00957848"/>
    <w:rsid w:val="009603BB"/>
    <w:rsid w:val="00960464"/>
    <w:rsid w:val="0096127F"/>
    <w:rsid w:val="009617A1"/>
    <w:rsid w:val="00967CDA"/>
    <w:rsid w:val="00976CD1"/>
    <w:rsid w:val="0098290D"/>
    <w:rsid w:val="00984047"/>
    <w:rsid w:val="0099030B"/>
    <w:rsid w:val="00997A93"/>
    <w:rsid w:val="009A181E"/>
    <w:rsid w:val="009A2870"/>
    <w:rsid w:val="009A4416"/>
    <w:rsid w:val="009B0FDF"/>
    <w:rsid w:val="009B743D"/>
    <w:rsid w:val="009B78FB"/>
    <w:rsid w:val="009B7B23"/>
    <w:rsid w:val="009D00E0"/>
    <w:rsid w:val="009D46F5"/>
    <w:rsid w:val="009E4175"/>
    <w:rsid w:val="009F1A0E"/>
    <w:rsid w:val="009F20C7"/>
    <w:rsid w:val="009F2118"/>
    <w:rsid w:val="009F5378"/>
    <w:rsid w:val="009F5444"/>
    <w:rsid w:val="009F6453"/>
    <w:rsid w:val="00A0022F"/>
    <w:rsid w:val="00A00DFE"/>
    <w:rsid w:val="00A024F3"/>
    <w:rsid w:val="00A028AD"/>
    <w:rsid w:val="00A12A34"/>
    <w:rsid w:val="00A13D90"/>
    <w:rsid w:val="00A17596"/>
    <w:rsid w:val="00A17931"/>
    <w:rsid w:val="00A17987"/>
    <w:rsid w:val="00A17B1F"/>
    <w:rsid w:val="00A22F1F"/>
    <w:rsid w:val="00A23386"/>
    <w:rsid w:val="00A25FBF"/>
    <w:rsid w:val="00A26E28"/>
    <w:rsid w:val="00A2762E"/>
    <w:rsid w:val="00A330F5"/>
    <w:rsid w:val="00A36F51"/>
    <w:rsid w:val="00A410DF"/>
    <w:rsid w:val="00A41856"/>
    <w:rsid w:val="00A44F8A"/>
    <w:rsid w:val="00A45C13"/>
    <w:rsid w:val="00A46FA5"/>
    <w:rsid w:val="00A47224"/>
    <w:rsid w:val="00A476E8"/>
    <w:rsid w:val="00A51F92"/>
    <w:rsid w:val="00A552D4"/>
    <w:rsid w:val="00A5704F"/>
    <w:rsid w:val="00A57052"/>
    <w:rsid w:val="00A603AB"/>
    <w:rsid w:val="00A65E08"/>
    <w:rsid w:val="00A67F35"/>
    <w:rsid w:val="00A72001"/>
    <w:rsid w:val="00A73358"/>
    <w:rsid w:val="00A7376B"/>
    <w:rsid w:val="00A76368"/>
    <w:rsid w:val="00A804EA"/>
    <w:rsid w:val="00A829E2"/>
    <w:rsid w:val="00A8603D"/>
    <w:rsid w:val="00A90602"/>
    <w:rsid w:val="00A91E28"/>
    <w:rsid w:val="00A97C69"/>
    <w:rsid w:val="00AA30AD"/>
    <w:rsid w:val="00AA57AA"/>
    <w:rsid w:val="00AA5D0D"/>
    <w:rsid w:val="00AB019D"/>
    <w:rsid w:val="00AB20D7"/>
    <w:rsid w:val="00AB3694"/>
    <w:rsid w:val="00AB437C"/>
    <w:rsid w:val="00AB5D8D"/>
    <w:rsid w:val="00AB6748"/>
    <w:rsid w:val="00AC342B"/>
    <w:rsid w:val="00AC5CC9"/>
    <w:rsid w:val="00AC69D9"/>
    <w:rsid w:val="00AD13E1"/>
    <w:rsid w:val="00AD591B"/>
    <w:rsid w:val="00AE091B"/>
    <w:rsid w:val="00AE3F81"/>
    <w:rsid w:val="00AE4748"/>
    <w:rsid w:val="00AE7E93"/>
    <w:rsid w:val="00AF7247"/>
    <w:rsid w:val="00AF76E0"/>
    <w:rsid w:val="00B061D3"/>
    <w:rsid w:val="00B1223E"/>
    <w:rsid w:val="00B23776"/>
    <w:rsid w:val="00B23CBE"/>
    <w:rsid w:val="00B27F09"/>
    <w:rsid w:val="00B3091C"/>
    <w:rsid w:val="00B31E4A"/>
    <w:rsid w:val="00B331DD"/>
    <w:rsid w:val="00B34006"/>
    <w:rsid w:val="00B34259"/>
    <w:rsid w:val="00B370CF"/>
    <w:rsid w:val="00B44124"/>
    <w:rsid w:val="00B461C7"/>
    <w:rsid w:val="00B465A5"/>
    <w:rsid w:val="00B46A15"/>
    <w:rsid w:val="00B55533"/>
    <w:rsid w:val="00B55663"/>
    <w:rsid w:val="00B55FB9"/>
    <w:rsid w:val="00B604E0"/>
    <w:rsid w:val="00B61790"/>
    <w:rsid w:val="00B645CD"/>
    <w:rsid w:val="00B66D67"/>
    <w:rsid w:val="00B70754"/>
    <w:rsid w:val="00B73CF1"/>
    <w:rsid w:val="00B740AE"/>
    <w:rsid w:val="00B74822"/>
    <w:rsid w:val="00B74DE1"/>
    <w:rsid w:val="00B804B7"/>
    <w:rsid w:val="00B81C43"/>
    <w:rsid w:val="00B8523D"/>
    <w:rsid w:val="00B85412"/>
    <w:rsid w:val="00B85976"/>
    <w:rsid w:val="00B91ADB"/>
    <w:rsid w:val="00B9313D"/>
    <w:rsid w:val="00B94AA1"/>
    <w:rsid w:val="00BA7817"/>
    <w:rsid w:val="00BB0244"/>
    <w:rsid w:val="00BB649D"/>
    <w:rsid w:val="00BB707B"/>
    <w:rsid w:val="00BC211F"/>
    <w:rsid w:val="00BC4C27"/>
    <w:rsid w:val="00BC712D"/>
    <w:rsid w:val="00BC721C"/>
    <w:rsid w:val="00BD7898"/>
    <w:rsid w:val="00BD7A6F"/>
    <w:rsid w:val="00BE43AC"/>
    <w:rsid w:val="00BE485A"/>
    <w:rsid w:val="00BE4BCD"/>
    <w:rsid w:val="00BE6543"/>
    <w:rsid w:val="00BF0A6C"/>
    <w:rsid w:val="00BF3354"/>
    <w:rsid w:val="00BF3D3F"/>
    <w:rsid w:val="00BF7721"/>
    <w:rsid w:val="00C00A41"/>
    <w:rsid w:val="00C01445"/>
    <w:rsid w:val="00C02087"/>
    <w:rsid w:val="00C0294F"/>
    <w:rsid w:val="00C06C46"/>
    <w:rsid w:val="00C10AA0"/>
    <w:rsid w:val="00C14871"/>
    <w:rsid w:val="00C14A6D"/>
    <w:rsid w:val="00C14C69"/>
    <w:rsid w:val="00C16B6E"/>
    <w:rsid w:val="00C23130"/>
    <w:rsid w:val="00C23270"/>
    <w:rsid w:val="00C237FE"/>
    <w:rsid w:val="00C2707A"/>
    <w:rsid w:val="00C27EF7"/>
    <w:rsid w:val="00C31546"/>
    <w:rsid w:val="00C32125"/>
    <w:rsid w:val="00C35919"/>
    <w:rsid w:val="00C37254"/>
    <w:rsid w:val="00C37581"/>
    <w:rsid w:val="00C411CC"/>
    <w:rsid w:val="00C46E44"/>
    <w:rsid w:val="00C527FD"/>
    <w:rsid w:val="00C53920"/>
    <w:rsid w:val="00C54842"/>
    <w:rsid w:val="00C55679"/>
    <w:rsid w:val="00C55BA7"/>
    <w:rsid w:val="00C60935"/>
    <w:rsid w:val="00C61BEA"/>
    <w:rsid w:val="00C620D8"/>
    <w:rsid w:val="00C633D8"/>
    <w:rsid w:val="00C66E21"/>
    <w:rsid w:val="00C67D4B"/>
    <w:rsid w:val="00C67FE2"/>
    <w:rsid w:val="00C74CB3"/>
    <w:rsid w:val="00C7681F"/>
    <w:rsid w:val="00C76954"/>
    <w:rsid w:val="00C77042"/>
    <w:rsid w:val="00C7778F"/>
    <w:rsid w:val="00C815C4"/>
    <w:rsid w:val="00C8237F"/>
    <w:rsid w:val="00C83E1D"/>
    <w:rsid w:val="00C86AF5"/>
    <w:rsid w:val="00C903C3"/>
    <w:rsid w:val="00C91CDC"/>
    <w:rsid w:val="00C9291C"/>
    <w:rsid w:val="00C95D42"/>
    <w:rsid w:val="00C96DF2"/>
    <w:rsid w:val="00C97ADC"/>
    <w:rsid w:val="00C97C06"/>
    <w:rsid w:val="00CA1FEC"/>
    <w:rsid w:val="00CA38C6"/>
    <w:rsid w:val="00CA451A"/>
    <w:rsid w:val="00CA7377"/>
    <w:rsid w:val="00CB0693"/>
    <w:rsid w:val="00CC1A6D"/>
    <w:rsid w:val="00CC3AA8"/>
    <w:rsid w:val="00CC4EC3"/>
    <w:rsid w:val="00CD1D35"/>
    <w:rsid w:val="00CD20DF"/>
    <w:rsid w:val="00CD49B4"/>
    <w:rsid w:val="00CF3B02"/>
    <w:rsid w:val="00CF4148"/>
    <w:rsid w:val="00CF5CBA"/>
    <w:rsid w:val="00CF674C"/>
    <w:rsid w:val="00CF67F9"/>
    <w:rsid w:val="00D01C7B"/>
    <w:rsid w:val="00D023CA"/>
    <w:rsid w:val="00D0518C"/>
    <w:rsid w:val="00D068A7"/>
    <w:rsid w:val="00D07CE0"/>
    <w:rsid w:val="00D15490"/>
    <w:rsid w:val="00D20C37"/>
    <w:rsid w:val="00D20DD7"/>
    <w:rsid w:val="00D230B4"/>
    <w:rsid w:val="00D24C21"/>
    <w:rsid w:val="00D2658E"/>
    <w:rsid w:val="00D27C37"/>
    <w:rsid w:val="00D31EE2"/>
    <w:rsid w:val="00D3317C"/>
    <w:rsid w:val="00D365D1"/>
    <w:rsid w:val="00D40D2F"/>
    <w:rsid w:val="00D45D5C"/>
    <w:rsid w:val="00D509FB"/>
    <w:rsid w:val="00D528FB"/>
    <w:rsid w:val="00D5361A"/>
    <w:rsid w:val="00D53A60"/>
    <w:rsid w:val="00D54FB6"/>
    <w:rsid w:val="00D55A23"/>
    <w:rsid w:val="00D66DF3"/>
    <w:rsid w:val="00D66FA8"/>
    <w:rsid w:val="00D67133"/>
    <w:rsid w:val="00D67523"/>
    <w:rsid w:val="00D70331"/>
    <w:rsid w:val="00D72289"/>
    <w:rsid w:val="00D739F7"/>
    <w:rsid w:val="00D73D66"/>
    <w:rsid w:val="00D74FD1"/>
    <w:rsid w:val="00D761A8"/>
    <w:rsid w:val="00D807EC"/>
    <w:rsid w:val="00D838E9"/>
    <w:rsid w:val="00D843B6"/>
    <w:rsid w:val="00D848C1"/>
    <w:rsid w:val="00D85AC9"/>
    <w:rsid w:val="00D9174D"/>
    <w:rsid w:val="00D931E8"/>
    <w:rsid w:val="00D940D7"/>
    <w:rsid w:val="00D96B8E"/>
    <w:rsid w:val="00D96DB4"/>
    <w:rsid w:val="00D9762E"/>
    <w:rsid w:val="00DA2BD6"/>
    <w:rsid w:val="00DA2C56"/>
    <w:rsid w:val="00DA301A"/>
    <w:rsid w:val="00DA3A1E"/>
    <w:rsid w:val="00DA5433"/>
    <w:rsid w:val="00DA563A"/>
    <w:rsid w:val="00DA7303"/>
    <w:rsid w:val="00DB75F7"/>
    <w:rsid w:val="00DC0545"/>
    <w:rsid w:val="00DC0797"/>
    <w:rsid w:val="00DC1574"/>
    <w:rsid w:val="00DC20C4"/>
    <w:rsid w:val="00DC25DE"/>
    <w:rsid w:val="00DC34FB"/>
    <w:rsid w:val="00DD0C9A"/>
    <w:rsid w:val="00DD1052"/>
    <w:rsid w:val="00DD2C3A"/>
    <w:rsid w:val="00DD6F7A"/>
    <w:rsid w:val="00DE7EFD"/>
    <w:rsid w:val="00DF0634"/>
    <w:rsid w:val="00DF36FC"/>
    <w:rsid w:val="00DF443D"/>
    <w:rsid w:val="00E0377B"/>
    <w:rsid w:val="00E079AA"/>
    <w:rsid w:val="00E15E2A"/>
    <w:rsid w:val="00E17159"/>
    <w:rsid w:val="00E22240"/>
    <w:rsid w:val="00E24652"/>
    <w:rsid w:val="00E25344"/>
    <w:rsid w:val="00E25963"/>
    <w:rsid w:val="00E26475"/>
    <w:rsid w:val="00E2668C"/>
    <w:rsid w:val="00E4085E"/>
    <w:rsid w:val="00E42AA8"/>
    <w:rsid w:val="00E45684"/>
    <w:rsid w:val="00E5101D"/>
    <w:rsid w:val="00E516E2"/>
    <w:rsid w:val="00E52442"/>
    <w:rsid w:val="00E53BDC"/>
    <w:rsid w:val="00E56292"/>
    <w:rsid w:val="00E63C70"/>
    <w:rsid w:val="00E64DA7"/>
    <w:rsid w:val="00E67354"/>
    <w:rsid w:val="00E70806"/>
    <w:rsid w:val="00E71ADE"/>
    <w:rsid w:val="00E74B93"/>
    <w:rsid w:val="00E751DF"/>
    <w:rsid w:val="00E7548B"/>
    <w:rsid w:val="00E754B3"/>
    <w:rsid w:val="00E75742"/>
    <w:rsid w:val="00E76D2B"/>
    <w:rsid w:val="00E77BC5"/>
    <w:rsid w:val="00E77FDE"/>
    <w:rsid w:val="00E80C4A"/>
    <w:rsid w:val="00E838FB"/>
    <w:rsid w:val="00E83D34"/>
    <w:rsid w:val="00E83D54"/>
    <w:rsid w:val="00E8469D"/>
    <w:rsid w:val="00E84FE5"/>
    <w:rsid w:val="00E85C0C"/>
    <w:rsid w:val="00E85E53"/>
    <w:rsid w:val="00E86517"/>
    <w:rsid w:val="00E90271"/>
    <w:rsid w:val="00E91D96"/>
    <w:rsid w:val="00E9282F"/>
    <w:rsid w:val="00E9309C"/>
    <w:rsid w:val="00E955A6"/>
    <w:rsid w:val="00E96DFC"/>
    <w:rsid w:val="00EA22BC"/>
    <w:rsid w:val="00EA6D4B"/>
    <w:rsid w:val="00EB050A"/>
    <w:rsid w:val="00EB1EA2"/>
    <w:rsid w:val="00EB3780"/>
    <w:rsid w:val="00EB6AB5"/>
    <w:rsid w:val="00EC20AD"/>
    <w:rsid w:val="00EC3E61"/>
    <w:rsid w:val="00EC4007"/>
    <w:rsid w:val="00EC501A"/>
    <w:rsid w:val="00EC64B2"/>
    <w:rsid w:val="00ED0B32"/>
    <w:rsid w:val="00ED1C38"/>
    <w:rsid w:val="00ED271E"/>
    <w:rsid w:val="00ED3B01"/>
    <w:rsid w:val="00ED4A69"/>
    <w:rsid w:val="00ED53CB"/>
    <w:rsid w:val="00ED72DA"/>
    <w:rsid w:val="00EE35C9"/>
    <w:rsid w:val="00EE3964"/>
    <w:rsid w:val="00EE3C9C"/>
    <w:rsid w:val="00EE5F21"/>
    <w:rsid w:val="00EE727A"/>
    <w:rsid w:val="00EF078F"/>
    <w:rsid w:val="00EF2ED3"/>
    <w:rsid w:val="00EF6208"/>
    <w:rsid w:val="00EF6DF9"/>
    <w:rsid w:val="00EF7E22"/>
    <w:rsid w:val="00F01D6A"/>
    <w:rsid w:val="00F04187"/>
    <w:rsid w:val="00F04DC0"/>
    <w:rsid w:val="00F05553"/>
    <w:rsid w:val="00F161FB"/>
    <w:rsid w:val="00F20A49"/>
    <w:rsid w:val="00F23998"/>
    <w:rsid w:val="00F30496"/>
    <w:rsid w:val="00F30DE7"/>
    <w:rsid w:val="00F3158B"/>
    <w:rsid w:val="00F32F1B"/>
    <w:rsid w:val="00F3362D"/>
    <w:rsid w:val="00F340CD"/>
    <w:rsid w:val="00F34488"/>
    <w:rsid w:val="00F35AF6"/>
    <w:rsid w:val="00F36563"/>
    <w:rsid w:val="00F36C02"/>
    <w:rsid w:val="00F437C5"/>
    <w:rsid w:val="00F472BB"/>
    <w:rsid w:val="00F51650"/>
    <w:rsid w:val="00F5285E"/>
    <w:rsid w:val="00F5305D"/>
    <w:rsid w:val="00F53149"/>
    <w:rsid w:val="00F54D41"/>
    <w:rsid w:val="00F5677B"/>
    <w:rsid w:val="00F64217"/>
    <w:rsid w:val="00F64462"/>
    <w:rsid w:val="00F647B0"/>
    <w:rsid w:val="00F677FC"/>
    <w:rsid w:val="00F7229C"/>
    <w:rsid w:val="00F742CD"/>
    <w:rsid w:val="00F7550B"/>
    <w:rsid w:val="00F80B34"/>
    <w:rsid w:val="00F80D20"/>
    <w:rsid w:val="00F871BB"/>
    <w:rsid w:val="00F90118"/>
    <w:rsid w:val="00F91723"/>
    <w:rsid w:val="00F91C8A"/>
    <w:rsid w:val="00F936FA"/>
    <w:rsid w:val="00FA0217"/>
    <w:rsid w:val="00FA022F"/>
    <w:rsid w:val="00FA51EF"/>
    <w:rsid w:val="00FA7ABD"/>
    <w:rsid w:val="00FB0B36"/>
    <w:rsid w:val="00FB1458"/>
    <w:rsid w:val="00FB2462"/>
    <w:rsid w:val="00FB39F1"/>
    <w:rsid w:val="00FB3A3D"/>
    <w:rsid w:val="00FB3AC5"/>
    <w:rsid w:val="00FB64B4"/>
    <w:rsid w:val="00FB6D56"/>
    <w:rsid w:val="00FC0115"/>
    <w:rsid w:val="00FC5B12"/>
    <w:rsid w:val="00FC6DC2"/>
    <w:rsid w:val="00FC76B2"/>
    <w:rsid w:val="00FD291A"/>
    <w:rsid w:val="00FD3681"/>
    <w:rsid w:val="00FD3FF4"/>
    <w:rsid w:val="00FD7666"/>
    <w:rsid w:val="00FE1F4D"/>
    <w:rsid w:val="00FE2950"/>
    <w:rsid w:val="00FE2A10"/>
    <w:rsid w:val="00FE4C25"/>
    <w:rsid w:val="00FF198E"/>
    <w:rsid w:val="00FF6D70"/>
    <w:rsid w:val="00FF7C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9A2608F"/>
  <w15:docId w15:val="{EF4F5114-1A71-40B2-9D26-4ED99882A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3998"/>
    <w:pPr>
      <w:spacing w:after="120"/>
    </w:pPr>
    <w:rPr>
      <w:rFonts w:asciiTheme="majorHAnsi" w:hAnsiTheme="majorHAnsi"/>
      <w:sz w:val="24"/>
      <w:szCs w:val="24"/>
      <w:lang w:val="en-GB" w:eastAsia="en-GB"/>
    </w:rPr>
  </w:style>
  <w:style w:type="paragraph" w:styleId="Heading1">
    <w:name w:val="heading 1"/>
    <w:basedOn w:val="Normal"/>
    <w:next w:val="Normal"/>
    <w:link w:val="Heading1Char"/>
    <w:uiPriority w:val="9"/>
    <w:qFormat/>
    <w:rsid w:val="00F23998"/>
    <w:pPr>
      <w:keepNext/>
      <w:spacing w:before="240"/>
      <w:outlineLvl w:val="0"/>
    </w:pPr>
    <w:rPr>
      <w:rFonts w:eastAsiaTheme="majorEastAsia" w:cstheme="majorBidi"/>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62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B8523D"/>
    <w:pPr>
      <w:tabs>
        <w:tab w:val="center" w:pos="4320"/>
        <w:tab w:val="right" w:pos="8640"/>
      </w:tabs>
    </w:pPr>
  </w:style>
  <w:style w:type="paragraph" w:styleId="Footer">
    <w:name w:val="footer"/>
    <w:basedOn w:val="Normal"/>
    <w:rsid w:val="00B8523D"/>
    <w:pPr>
      <w:tabs>
        <w:tab w:val="center" w:pos="4320"/>
        <w:tab w:val="right" w:pos="8640"/>
      </w:tabs>
    </w:pPr>
  </w:style>
  <w:style w:type="character" w:styleId="PageNumber">
    <w:name w:val="page number"/>
    <w:basedOn w:val="DefaultParagraphFont"/>
    <w:rsid w:val="00B8523D"/>
  </w:style>
  <w:style w:type="character" w:styleId="Hyperlink">
    <w:name w:val="Hyperlink"/>
    <w:basedOn w:val="DefaultParagraphFont"/>
    <w:uiPriority w:val="99"/>
    <w:rsid w:val="00AF7247"/>
    <w:rPr>
      <w:color w:val="0000FF"/>
      <w:u w:val="single"/>
    </w:rPr>
  </w:style>
  <w:style w:type="paragraph" w:styleId="BalloonText">
    <w:name w:val="Balloon Text"/>
    <w:basedOn w:val="Normal"/>
    <w:semiHidden/>
    <w:rsid w:val="001C35DA"/>
    <w:rPr>
      <w:rFonts w:ascii="Tahoma" w:hAnsi="Tahoma" w:cs="Tahoma"/>
      <w:sz w:val="16"/>
      <w:szCs w:val="16"/>
    </w:rPr>
  </w:style>
  <w:style w:type="numbering" w:styleId="111111">
    <w:name w:val="Outline List 2"/>
    <w:basedOn w:val="NoList"/>
    <w:rsid w:val="00F36C02"/>
    <w:pPr>
      <w:numPr>
        <w:numId w:val="1"/>
      </w:numPr>
    </w:pPr>
  </w:style>
  <w:style w:type="character" w:customStyle="1" w:styleId="Bold">
    <w:name w:val="Bold"/>
    <w:basedOn w:val="DefaultParagraphFont"/>
    <w:rsid w:val="002D2CEE"/>
    <w:rPr>
      <w:b/>
      <w:bCs/>
    </w:rPr>
  </w:style>
  <w:style w:type="paragraph" w:styleId="ListNumber">
    <w:name w:val="List Number"/>
    <w:basedOn w:val="Normal"/>
    <w:rsid w:val="009F5444"/>
    <w:pPr>
      <w:numPr>
        <w:numId w:val="2"/>
      </w:numPr>
    </w:pPr>
  </w:style>
  <w:style w:type="character" w:customStyle="1" w:styleId="Larson">
    <w:name w:val="Larson"/>
    <w:aliases w:val="Brent (AGPP)"/>
    <w:basedOn w:val="DefaultParagraphFont"/>
    <w:semiHidden/>
    <w:rsid w:val="008F26E0"/>
    <w:rPr>
      <w:rFonts w:ascii="Times New Roman" w:hAnsi="Times New Roman" w:cs="Times New Roman"/>
      <w:b w:val="0"/>
      <w:bCs w:val="0"/>
      <w:i w:val="0"/>
      <w:iCs w:val="0"/>
      <w:strike w:val="0"/>
      <w:color w:val="auto"/>
      <w:sz w:val="20"/>
      <w:szCs w:val="20"/>
      <w:u w:val="none"/>
    </w:rPr>
  </w:style>
  <w:style w:type="paragraph" w:styleId="NormalWeb">
    <w:name w:val="Normal (Web)"/>
    <w:basedOn w:val="Normal"/>
    <w:rsid w:val="003D5CAB"/>
    <w:pPr>
      <w:spacing w:before="100" w:beforeAutospacing="1" w:after="100" w:afterAutospacing="1"/>
    </w:pPr>
  </w:style>
  <w:style w:type="paragraph" w:customStyle="1" w:styleId="CarCar">
    <w:name w:val="Car Car"/>
    <w:basedOn w:val="Normal"/>
    <w:rsid w:val="00820FEB"/>
    <w:pPr>
      <w:spacing w:after="160" w:line="240" w:lineRule="exact"/>
    </w:pPr>
    <w:rPr>
      <w:rFonts w:ascii="Tahoma" w:eastAsia="MS Mincho" w:hAnsi="Tahoma"/>
      <w:sz w:val="20"/>
      <w:szCs w:val="20"/>
      <w:lang w:val="en-US" w:eastAsia="en-US"/>
    </w:rPr>
  </w:style>
  <w:style w:type="paragraph" w:customStyle="1" w:styleId="1CharCharCharCharCharCharCharCharCharCharCharCharCharChar">
    <w:name w:val="(文字) (文字)1 Char (文字) (文字) Char (文字) (文字) Char Char Char Char Char Char Char Char Char Char Char Char"/>
    <w:basedOn w:val="Normal"/>
    <w:rsid w:val="00DF36FC"/>
    <w:pPr>
      <w:spacing w:after="160" w:line="240" w:lineRule="exact"/>
    </w:pPr>
    <w:rPr>
      <w:rFonts w:ascii="Tahoma" w:eastAsia="MS Mincho" w:hAnsi="Tahoma"/>
      <w:sz w:val="20"/>
      <w:szCs w:val="20"/>
      <w:lang w:val="en-US" w:eastAsia="en-US"/>
    </w:rPr>
  </w:style>
  <w:style w:type="paragraph" w:customStyle="1" w:styleId="CharChar">
    <w:name w:val="(文字) (文字) Char (文字) (文字) Char"/>
    <w:basedOn w:val="Normal"/>
    <w:rsid w:val="00E85C0C"/>
    <w:pPr>
      <w:spacing w:after="160" w:line="240" w:lineRule="exact"/>
    </w:pPr>
    <w:rPr>
      <w:rFonts w:ascii="Tahoma" w:eastAsia="MS Mincho" w:hAnsi="Tahoma"/>
      <w:sz w:val="20"/>
      <w:szCs w:val="20"/>
      <w:lang w:val="en-US" w:eastAsia="en-US"/>
    </w:rPr>
  </w:style>
  <w:style w:type="paragraph" w:styleId="Title">
    <w:name w:val="Title"/>
    <w:basedOn w:val="Normal"/>
    <w:next w:val="Normal"/>
    <w:link w:val="TitleChar"/>
    <w:uiPriority w:val="10"/>
    <w:qFormat/>
    <w:rsid w:val="00496722"/>
    <w:pPr>
      <w:pBdr>
        <w:top w:val="double" w:sz="4" w:space="1" w:color="auto"/>
        <w:bottom w:val="single" w:sz="4" w:space="1" w:color="auto"/>
      </w:pBdr>
      <w:spacing w:before="240" w:after="240"/>
      <w:contextualSpacing/>
      <w:jc w:val="center"/>
      <w:outlineLvl w:val="0"/>
    </w:pPr>
    <w:rPr>
      <w:rFonts w:eastAsiaTheme="majorEastAsia" w:cstheme="majorBidi"/>
      <w:b/>
      <w:bCs/>
      <w:caps/>
      <w:color w:val="17365D" w:themeColor="text2" w:themeShade="BF"/>
      <w:kern w:val="28"/>
      <w:sz w:val="28"/>
      <w:szCs w:val="32"/>
    </w:rPr>
  </w:style>
  <w:style w:type="character" w:customStyle="1" w:styleId="TitleChar">
    <w:name w:val="Title Char"/>
    <w:basedOn w:val="DefaultParagraphFont"/>
    <w:link w:val="Title"/>
    <w:uiPriority w:val="10"/>
    <w:rsid w:val="00496722"/>
    <w:rPr>
      <w:rFonts w:asciiTheme="majorHAnsi" w:eastAsiaTheme="majorEastAsia" w:hAnsiTheme="majorHAnsi" w:cstheme="majorBidi"/>
      <w:b/>
      <w:bCs/>
      <w:caps/>
      <w:color w:val="17365D" w:themeColor="text2" w:themeShade="BF"/>
      <w:kern w:val="28"/>
      <w:sz w:val="28"/>
      <w:szCs w:val="32"/>
      <w:lang w:val="en-GB" w:eastAsia="en-GB"/>
    </w:rPr>
  </w:style>
  <w:style w:type="character" w:customStyle="1" w:styleId="Heading1Char">
    <w:name w:val="Heading 1 Char"/>
    <w:basedOn w:val="DefaultParagraphFont"/>
    <w:link w:val="Heading1"/>
    <w:uiPriority w:val="9"/>
    <w:rsid w:val="00F23998"/>
    <w:rPr>
      <w:rFonts w:asciiTheme="majorHAnsi" w:eastAsiaTheme="majorEastAsia" w:hAnsiTheme="majorHAnsi" w:cstheme="majorBidi"/>
      <w:b/>
      <w:bCs/>
      <w:kern w:val="32"/>
      <w:sz w:val="24"/>
      <w:szCs w:val="32"/>
      <w:lang w:val="en-GB" w:eastAsia="en-GB"/>
    </w:rPr>
  </w:style>
  <w:style w:type="paragraph" w:styleId="Subtitle">
    <w:name w:val="Subtitle"/>
    <w:basedOn w:val="Normal"/>
    <w:next w:val="Normal"/>
    <w:link w:val="SubtitleChar"/>
    <w:uiPriority w:val="11"/>
    <w:qFormat/>
    <w:rsid w:val="00A00DFE"/>
    <w:pPr>
      <w:spacing w:after="60"/>
      <w:jc w:val="center"/>
      <w:outlineLvl w:val="1"/>
    </w:pPr>
    <w:rPr>
      <w:rFonts w:eastAsiaTheme="majorEastAsia" w:cstheme="majorBidi"/>
      <w:b/>
      <w:sz w:val="28"/>
    </w:rPr>
  </w:style>
  <w:style w:type="character" w:customStyle="1" w:styleId="SubtitleChar">
    <w:name w:val="Subtitle Char"/>
    <w:basedOn w:val="DefaultParagraphFont"/>
    <w:link w:val="Subtitle"/>
    <w:uiPriority w:val="11"/>
    <w:rsid w:val="00A00DFE"/>
    <w:rPr>
      <w:rFonts w:asciiTheme="majorHAnsi" w:eastAsiaTheme="majorEastAsia" w:hAnsiTheme="majorHAnsi" w:cstheme="majorBidi"/>
      <w:b/>
      <w:sz w:val="28"/>
      <w:szCs w:val="24"/>
      <w:lang w:val="en-GB" w:eastAsia="en-GB"/>
    </w:rPr>
  </w:style>
  <w:style w:type="paragraph" w:styleId="ListParagraph">
    <w:name w:val="List Paragraph"/>
    <w:basedOn w:val="Normal"/>
    <w:uiPriority w:val="34"/>
    <w:qFormat/>
    <w:rsid w:val="003B4176"/>
    <w:pPr>
      <w:ind w:left="720"/>
      <w:contextualSpacing/>
    </w:pPr>
  </w:style>
  <w:style w:type="character" w:customStyle="1" w:styleId="HeaderChar">
    <w:name w:val="Header Char"/>
    <w:basedOn w:val="DefaultParagraphFont"/>
    <w:link w:val="Header"/>
    <w:uiPriority w:val="99"/>
    <w:rsid w:val="0076428E"/>
    <w:rPr>
      <w:sz w:val="24"/>
      <w:szCs w:val="24"/>
      <w:lang w:val="en-GB" w:eastAsia="en-GB"/>
    </w:rPr>
  </w:style>
  <w:style w:type="character" w:styleId="CommentReference">
    <w:name w:val="annotation reference"/>
    <w:basedOn w:val="DefaultParagraphFont"/>
    <w:uiPriority w:val="99"/>
    <w:semiHidden/>
    <w:unhideWhenUsed/>
    <w:rsid w:val="00A67F35"/>
    <w:rPr>
      <w:sz w:val="16"/>
      <w:szCs w:val="16"/>
    </w:rPr>
  </w:style>
  <w:style w:type="paragraph" w:styleId="CommentText">
    <w:name w:val="annotation text"/>
    <w:basedOn w:val="Normal"/>
    <w:link w:val="CommentTextChar"/>
    <w:uiPriority w:val="99"/>
    <w:semiHidden/>
    <w:unhideWhenUsed/>
    <w:rsid w:val="00A67F35"/>
    <w:rPr>
      <w:sz w:val="20"/>
      <w:szCs w:val="20"/>
    </w:rPr>
  </w:style>
  <w:style w:type="character" w:customStyle="1" w:styleId="CommentTextChar">
    <w:name w:val="Comment Text Char"/>
    <w:basedOn w:val="DefaultParagraphFont"/>
    <w:link w:val="CommentText"/>
    <w:uiPriority w:val="99"/>
    <w:semiHidden/>
    <w:rsid w:val="00A67F35"/>
    <w:rPr>
      <w:rFonts w:asciiTheme="majorHAnsi" w:hAnsiTheme="majorHAnsi"/>
      <w:lang w:val="en-GB" w:eastAsia="en-GB"/>
    </w:rPr>
  </w:style>
  <w:style w:type="paragraph" w:styleId="CommentSubject">
    <w:name w:val="annotation subject"/>
    <w:basedOn w:val="CommentText"/>
    <w:next w:val="CommentText"/>
    <w:link w:val="CommentSubjectChar"/>
    <w:uiPriority w:val="99"/>
    <w:semiHidden/>
    <w:unhideWhenUsed/>
    <w:rsid w:val="00A67F35"/>
    <w:rPr>
      <w:b/>
      <w:bCs/>
    </w:rPr>
  </w:style>
  <w:style w:type="character" w:customStyle="1" w:styleId="CommentSubjectChar">
    <w:name w:val="Comment Subject Char"/>
    <w:basedOn w:val="CommentTextChar"/>
    <w:link w:val="CommentSubject"/>
    <w:uiPriority w:val="99"/>
    <w:semiHidden/>
    <w:rsid w:val="00A67F35"/>
    <w:rPr>
      <w:rFonts w:asciiTheme="majorHAnsi" w:hAnsiTheme="majorHAnsi"/>
      <w:b/>
      <w:bCs/>
      <w:lang w:val="en-GB" w:eastAsia="en-GB"/>
    </w:rPr>
  </w:style>
  <w:style w:type="character" w:customStyle="1" w:styleId="apple-converted-space">
    <w:name w:val="apple-converted-space"/>
    <w:basedOn w:val="DefaultParagraphFont"/>
    <w:rsid w:val="00342AFC"/>
  </w:style>
  <w:style w:type="paragraph" w:styleId="IntenseQuote">
    <w:name w:val="Intense Quote"/>
    <w:basedOn w:val="Normal"/>
    <w:next w:val="Normal"/>
    <w:link w:val="IntenseQuoteChar"/>
    <w:uiPriority w:val="30"/>
    <w:qFormat/>
    <w:rsid w:val="00A12A34"/>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A12A34"/>
    <w:rPr>
      <w:rFonts w:asciiTheme="majorHAnsi" w:hAnsiTheme="majorHAnsi"/>
      <w:b/>
      <w:bCs/>
      <w:i/>
      <w:iCs/>
      <w:color w:val="4F81BD" w:themeColor="accent1"/>
      <w:sz w:val="24"/>
      <w:szCs w:val="24"/>
      <w:lang w:val="en-GB" w:eastAsia="en-GB"/>
    </w:rPr>
  </w:style>
  <w:style w:type="character" w:styleId="IntenseEmphasis">
    <w:name w:val="Intense Emphasis"/>
    <w:basedOn w:val="DefaultParagraphFont"/>
    <w:uiPriority w:val="21"/>
    <w:qFormat/>
    <w:rsid w:val="00A12A34"/>
    <w:rPr>
      <w:b/>
      <w:bCs/>
      <w:i/>
      <w:iCs/>
      <w:color w:val="4F81BD" w:themeColor="accent1"/>
    </w:rPr>
  </w:style>
  <w:style w:type="paragraph" w:styleId="TOCHeading">
    <w:name w:val="TOC Heading"/>
    <w:basedOn w:val="Heading1"/>
    <w:next w:val="Normal"/>
    <w:uiPriority w:val="39"/>
    <w:semiHidden/>
    <w:unhideWhenUsed/>
    <w:qFormat/>
    <w:rsid w:val="001A6AEB"/>
    <w:pPr>
      <w:keepLines/>
      <w:spacing w:before="480" w:after="0" w:line="276" w:lineRule="auto"/>
      <w:outlineLvl w:val="9"/>
    </w:pPr>
    <w:rPr>
      <w:color w:val="365F91" w:themeColor="accent1" w:themeShade="BF"/>
      <w:kern w:val="0"/>
      <w:sz w:val="28"/>
      <w:szCs w:val="28"/>
      <w:lang w:val="en-US" w:eastAsia="ja-JP"/>
    </w:rPr>
  </w:style>
  <w:style w:type="paragraph" w:styleId="TOC1">
    <w:name w:val="toc 1"/>
    <w:basedOn w:val="Normal"/>
    <w:next w:val="Normal"/>
    <w:autoRedefine/>
    <w:uiPriority w:val="39"/>
    <w:unhideWhenUsed/>
    <w:rsid w:val="00496722"/>
    <w:pPr>
      <w:tabs>
        <w:tab w:val="right" w:leader="dot" w:pos="9629"/>
      </w:tabs>
      <w:spacing w:after="10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7491059">
      <w:bodyDiv w:val="1"/>
      <w:marLeft w:val="0"/>
      <w:marRight w:val="0"/>
      <w:marTop w:val="0"/>
      <w:marBottom w:val="0"/>
      <w:divBdr>
        <w:top w:val="none" w:sz="0" w:space="0" w:color="auto"/>
        <w:left w:val="none" w:sz="0" w:space="0" w:color="auto"/>
        <w:bottom w:val="none" w:sz="0" w:space="0" w:color="auto"/>
        <w:right w:val="none" w:sz="0" w:space="0" w:color="auto"/>
      </w:divBdr>
      <w:divsChild>
        <w:div w:id="1278564057">
          <w:marLeft w:val="0"/>
          <w:marRight w:val="0"/>
          <w:marTop w:val="0"/>
          <w:marBottom w:val="0"/>
          <w:divBdr>
            <w:top w:val="none" w:sz="0" w:space="0" w:color="auto"/>
            <w:left w:val="none" w:sz="0" w:space="0" w:color="auto"/>
            <w:bottom w:val="none" w:sz="0" w:space="0" w:color="auto"/>
            <w:right w:val="none" w:sz="0" w:space="0" w:color="auto"/>
          </w:divBdr>
        </w:div>
        <w:div w:id="1572884615">
          <w:marLeft w:val="0"/>
          <w:marRight w:val="0"/>
          <w:marTop w:val="0"/>
          <w:marBottom w:val="0"/>
          <w:divBdr>
            <w:top w:val="none" w:sz="0" w:space="0" w:color="auto"/>
            <w:left w:val="none" w:sz="0" w:space="0" w:color="auto"/>
            <w:bottom w:val="none" w:sz="0" w:space="0" w:color="auto"/>
            <w:right w:val="none" w:sz="0" w:space="0" w:color="auto"/>
          </w:divBdr>
        </w:div>
        <w:div w:id="1908681602">
          <w:marLeft w:val="0"/>
          <w:marRight w:val="0"/>
          <w:marTop w:val="0"/>
          <w:marBottom w:val="0"/>
          <w:divBdr>
            <w:top w:val="none" w:sz="0" w:space="0" w:color="auto"/>
            <w:left w:val="none" w:sz="0" w:space="0" w:color="auto"/>
            <w:bottom w:val="none" w:sz="0" w:space="0" w:color="auto"/>
            <w:right w:val="none" w:sz="0" w:space="0" w:color="auto"/>
          </w:divBdr>
        </w:div>
      </w:divsChild>
    </w:div>
    <w:div w:id="1100293214">
      <w:bodyDiv w:val="1"/>
      <w:marLeft w:val="0"/>
      <w:marRight w:val="0"/>
      <w:marTop w:val="0"/>
      <w:marBottom w:val="0"/>
      <w:divBdr>
        <w:top w:val="none" w:sz="0" w:space="0" w:color="auto"/>
        <w:left w:val="none" w:sz="0" w:space="0" w:color="auto"/>
        <w:bottom w:val="none" w:sz="0" w:space="0" w:color="auto"/>
        <w:right w:val="none" w:sz="0" w:space="0" w:color="auto"/>
      </w:divBdr>
      <w:divsChild>
        <w:div w:id="1048913631">
          <w:marLeft w:val="0"/>
          <w:marRight w:val="0"/>
          <w:marTop w:val="0"/>
          <w:marBottom w:val="0"/>
          <w:divBdr>
            <w:top w:val="none" w:sz="0" w:space="0" w:color="auto"/>
            <w:left w:val="none" w:sz="0" w:space="0" w:color="auto"/>
            <w:bottom w:val="none" w:sz="0" w:space="0" w:color="auto"/>
            <w:right w:val="none" w:sz="0" w:space="0" w:color="auto"/>
          </w:divBdr>
        </w:div>
        <w:div w:id="1928493680">
          <w:marLeft w:val="0"/>
          <w:marRight w:val="0"/>
          <w:marTop w:val="0"/>
          <w:marBottom w:val="0"/>
          <w:divBdr>
            <w:top w:val="none" w:sz="0" w:space="0" w:color="auto"/>
            <w:left w:val="none" w:sz="0" w:space="0" w:color="auto"/>
            <w:bottom w:val="none" w:sz="0" w:space="0" w:color="auto"/>
            <w:right w:val="none" w:sz="0" w:space="0" w:color="auto"/>
          </w:divBdr>
        </w:div>
        <w:div w:id="2103988022">
          <w:marLeft w:val="0"/>
          <w:marRight w:val="0"/>
          <w:marTop w:val="0"/>
          <w:marBottom w:val="0"/>
          <w:divBdr>
            <w:top w:val="none" w:sz="0" w:space="0" w:color="auto"/>
            <w:left w:val="none" w:sz="0" w:space="0" w:color="auto"/>
            <w:bottom w:val="none" w:sz="0" w:space="0" w:color="auto"/>
            <w:right w:val="none" w:sz="0" w:space="0" w:color="auto"/>
          </w:divBdr>
        </w:div>
      </w:divsChild>
    </w:div>
    <w:div w:id="209578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7E6FD-F341-4AB1-8D75-7EFC43B07F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21</Pages>
  <Words>7151</Words>
  <Characters>40765</Characters>
  <Application>Microsoft Office Word</Application>
  <DocSecurity>0</DocSecurity>
  <Lines>339</Lines>
  <Paragraphs>95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2005</vt:lpstr>
      <vt:lpstr>2005</vt:lpstr>
    </vt:vector>
  </TitlesOfParts>
  <Company>FAO of the UN</Company>
  <LinksUpToDate>false</LinksUpToDate>
  <CharactersWithSpaces>47821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dc:title>
  <dc:creator>Larson, Brent (AGPP)</dc:creator>
  <cp:lastModifiedBy>VicariaLopez, Laura (AGDI)</cp:lastModifiedBy>
  <cp:revision>3</cp:revision>
  <cp:lastPrinted>2017-02-15T01:47:00Z</cp:lastPrinted>
  <dcterms:created xsi:type="dcterms:W3CDTF">2017-05-12T12:34:00Z</dcterms:created>
  <dcterms:modified xsi:type="dcterms:W3CDTF">2017-05-12T12:37:00Z</dcterms:modified>
</cp:coreProperties>
</file>