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1E02" w:rsidRDefault="00007E14" w:rsidP="00195207">
      <w:pPr>
        <w:pStyle w:val="Title"/>
        <w:spacing w:before="120" w:after="120"/>
      </w:pPr>
      <w:r>
        <w:rPr>
          <w:noProof/>
        </w:rPr>
        <w:drawing>
          <wp:anchor distT="0" distB="0" distL="114300" distR="114300" simplePos="0" relativeHeight="251658240" behindDoc="1" locked="0" layoutInCell="1" allowOverlap="1" wp14:anchorId="39A4B493" wp14:editId="7EB04503">
            <wp:simplePos x="0" y="0"/>
            <wp:positionH relativeFrom="column">
              <wp:posOffset>-517525</wp:posOffset>
            </wp:positionH>
            <wp:positionV relativeFrom="paragraph">
              <wp:posOffset>-432689</wp:posOffset>
            </wp:positionV>
            <wp:extent cx="3212465" cy="427355"/>
            <wp:effectExtent l="0" t="0" r="6985" b="0"/>
            <wp:wrapNone/>
            <wp:docPr id="1" name="Picture 1" descr="C:\Users\selas\Pictures\IPPC Logos\ippc-logo-tit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elas\Pictures\IPPC Logos\ippc-logo-titl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12465" cy="42735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1" locked="0" layoutInCell="1" allowOverlap="1" wp14:anchorId="4B548D95" wp14:editId="05C872F6">
            <wp:simplePos x="0" y="0"/>
            <wp:positionH relativeFrom="column">
              <wp:posOffset>-920497</wp:posOffset>
            </wp:positionH>
            <wp:positionV relativeFrom="paragraph">
              <wp:posOffset>-914400</wp:posOffset>
            </wp:positionV>
            <wp:extent cx="7961411" cy="469392"/>
            <wp:effectExtent l="0" t="0" r="1905"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998965" cy="471606"/>
                    </a:xfrm>
                    <a:prstGeom prst="rect">
                      <a:avLst/>
                    </a:prstGeom>
                    <a:noFill/>
                  </pic:spPr>
                </pic:pic>
              </a:graphicData>
            </a:graphic>
            <wp14:sizeRelH relativeFrom="margin">
              <wp14:pctWidth>0</wp14:pctWidth>
            </wp14:sizeRelH>
            <wp14:sizeRelV relativeFrom="margin">
              <wp14:pctHeight>0</wp14:pctHeight>
            </wp14:sizeRelV>
          </wp:anchor>
        </w:drawing>
      </w:r>
      <w:proofErr w:type="spellStart"/>
      <w:proofErr w:type="gramStart"/>
      <w:r w:rsidR="00E168A9" w:rsidRPr="00871E02">
        <w:t>ePhyto</w:t>
      </w:r>
      <w:proofErr w:type="spellEnd"/>
      <w:proofErr w:type="gramEnd"/>
      <w:r w:rsidR="00E168A9" w:rsidRPr="00871E02">
        <w:t xml:space="preserve"> Progress</w:t>
      </w:r>
      <w:r w:rsidR="000F4025">
        <w:t xml:space="preserve"> </w:t>
      </w:r>
      <w:r w:rsidR="000F4025" w:rsidRPr="005B7217">
        <w:t>Report</w:t>
      </w:r>
    </w:p>
    <w:p w:rsidR="00195207" w:rsidRPr="00195207" w:rsidRDefault="00195207" w:rsidP="00195207">
      <w:pPr>
        <w:pStyle w:val="Title"/>
        <w:spacing w:before="120" w:after="120"/>
        <w:rPr>
          <w:sz w:val="24"/>
        </w:rPr>
      </w:pPr>
      <w:r w:rsidRPr="00195207">
        <w:rPr>
          <w:sz w:val="24"/>
        </w:rPr>
        <w:t>10 April 2017</w:t>
      </w:r>
      <w:bookmarkStart w:id="0" w:name="_GoBack"/>
      <w:bookmarkEnd w:id="0"/>
    </w:p>
    <w:p w:rsidR="000F4025" w:rsidRDefault="000F4025" w:rsidP="000F4025">
      <w:pPr>
        <w:pStyle w:val="Heading1"/>
      </w:pPr>
      <w:r>
        <w:t>Project Plan</w:t>
      </w:r>
    </w:p>
    <w:p w:rsidR="00E168A9" w:rsidRPr="006724C9" w:rsidRDefault="002A7DB0" w:rsidP="000F4025">
      <w:pPr>
        <w:spacing w:before="240" w:after="0"/>
      </w:pPr>
      <w:r w:rsidRPr="006724C9">
        <w:t>The IPPC Secretariat had anticipated that much of the development and p</w:t>
      </w:r>
      <w:r w:rsidR="00C9595D">
        <w:t xml:space="preserve">iloting of the </w:t>
      </w:r>
      <w:proofErr w:type="spellStart"/>
      <w:r w:rsidR="00C9595D">
        <w:t>ePhyto</w:t>
      </w:r>
      <w:proofErr w:type="spellEnd"/>
      <w:r w:rsidR="00C9595D">
        <w:t xml:space="preserve"> Solution w</w:t>
      </w:r>
      <w:r w:rsidRPr="006724C9">
        <w:t xml:space="preserve">ould be completed by </w:t>
      </w:r>
      <w:r w:rsidR="00C9595D">
        <w:t>end of</w:t>
      </w:r>
      <w:r w:rsidRPr="006724C9">
        <w:t xml:space="preserve"> 2016. However, a </w:t>
      </w:r>
      <w:r w:rsidR="00E168A9" w:rsidRPr="006724C9">
        <w:t>number of project aspects took longer than anticipated</w:t>
      </w:r>
      <w:r w:rsidRPr="006724C9">
        <w:t xml:space="preserve"> including:</w:t>
      </w:r>
    </w:p>
    <w:p w:rsidR="00E168A9" w:rsidRPr="006724C9" w:rsidRDefault="00E168A9" w:rsidP="006724C9">
      <w:pPr>
        <w:numPr>
          <w:ilvl w:val="0"/>
          <w:numId w:val="8"/>
        </w:numPr>
        <w:spacing w:after="0"/>
      </w:pPr>
      <w:r w:rsidRPr="006724C9">
        <w:t>T</w:t>
      </w:r>
      <w:r w:rsidR="002A7DB0" w:rsidRPr="006724C9">
        <w:t>he development of the t</w:t>
      </w:r>
      <w:r w:rsidRPr="006724C9">
        <w:t>echnical specifications and detailed system requirements</w:t>
      </w:r>
      <w:r w:rsidR="00C9595D">
        <w:t>;</w:t>
      </w:r>
    </w:p>
    <w:p w:rsidR="002A7DB0" w:rsidRPr="006724C9" w:rsidRDefault="002A7DB0" w:rsidP="006724C9">
      <w:pPr>
        <w:numPr>
          <w:ilvl w:val="0"/>
          <w:numId w:val="8"/>
        </w:numPr>
        <w:spacing w:after="0"/>
      </w:pPr>
      <w:r w:rsidRPr="006724C9">
        <w:t>The p</w:t>
      </w:r>
      <w:r w:rsidR="00E168A9" w:rsidRPr="006724C9">
        <w:t xml:space="preserve">roject </w:t>
      </w:r>
      <w:r w:rsidR="00BC6A64">
        <w:t xml:space="preserve">plan </w:t>
      </w:r>
      <w:r w:rsidRPr="006724C9">
        <w:t xml:space="preserve">approval required significant negotiation and </w:t>
      </w:r>
      <w:r w:rsidR="00BC6A64">
        <w:t xml:space="preserve">ongoing </w:t>
      </w:r>
      <w:r w:rsidRPr="006724C9">
        <w:t xml:space="preserve">refinement </w:t>
      </w:r>
      <w:r w:rsidR="00C9595D">
        <w:t xml:space="preserve">including adding more information on the </w:t>
      </w:r>
      <w:r w:rsidR="00AF0D1C" w:rsidRPr="006724C9">
        <w:t>administrative st</w:t>
      </w:r>
      <w:r w:rsidR="00AF0D1C">
        <w:t xml:space="preserve">ructure </w:t>
      </w:r>
      <w:r w:rsidR="00C9595D">
        <w:t>of the</w:t>
      </w:r>
      <w:r w:rsidR="00AF0D1C">
        <w:t xml:space="preserve"> project</w:t>
      </w:r>
      <w:r w:rsidR="00C9595D">
        <w:t>;</w:t>
      </w:r>
      <w:r w:rsidR="00AF0D1C">
        <w:t xml:space="preserve"> </w:t>
      </w:r>
      <w:r w:rsidR="00AF0D1C" w:rsidRPr="006724C9">
        <w:t xml:space="preserve">countries </w:t>
      </w:r>
      <w:r w:rsidR="00AF0D1C">
        <w:t>implementation</w:t>
      </w:r>
      <w:r w:rsidR="00C9595D">
        <w:t xml:space="preserve"> support processes and details on the process for developing a </w:t>
      </w:r>
      <w:r w:rsidR="00AF0D1C" w:rsidRPr="006724C9">
        <w:t xml:space="preserve">sustainable </w:t>
      </w:r>
      <w:r w:rsidR="00C9595D">
        <w:t>funding structure;</w:t>
      </w:r>
    </w:p>
    <w:p w:rsidR="00E168A9" w:rsidRPr="006724C9" w:rsidRDefault="006724C9" w:rsidP="00AF0D1C">
      <w:pPr>
        <w:numPr>
          <w:ilvl w:val="0"/>
          <w:numId w:val="8"/>
        </w:numPr>
      </w:pPr>
      <w:r w:rsidRPr="006724C9">
        <w:t>The bureaucracy associated with establishin</w:t>
      </w:r>
      <w:r w:rsidR="00BC6A64">
        <w:t>g agreements and securing funds</w:t>
      </w:r>
    </w:p>
    <w:p w:rsidR="00E168A9" w:rsidRDefault="006724C9" w:rsidP="000F4025">
      <w:r>
        <w:t xml:space="preserve">The delays associated with the process reinforces the fact that </w:t>
      </w:r>
      <w:proofErr w:type="spellStart"/>
      <w:r w:rsidR="00E168A9" w:rsidRPr="006724C9">
        <w:t>ePhyto</w:t>
      </w:r>
      <w:proofErr w:type="spellEnd"/>
      <w:r w:rsidR="00AF0D1C">
        <w:t xml:space="preserve"> is a complex project; </w:t>
      </w:r>
      <w:r w:rsidR="00E168A9" w:rsidRPr="006724C9">
        <w:t>involving a number of stakeholders</w:t>
      </w:r>
      <w:r w:rsidR="00BC6A64">
        <w:t xml:space="preserve"> with differing points of view. It is also</w:t>
      </w:r>
      <w:r>
        <w:t xml:space="preserve"> </w:t>
      </w:r>
      <w:r w:rsidR="00E168A9" w:rsidRPr="006724C9">
        <w:t xml:space="preserve">carving </w:t>
      </w:r>
      <w:r w:rsidR="00C9595D">
        <w:t xml:space="preserve">out </w:t>
      </w:r>
      <w:r w:rsidR="00E168A9" w:rsidRPr="006724C9">
        <w:t>new ground in the international arena</w:t>
      </w:r>
      <w:r>
        <w:t xml:space="preserve"> and u</w:t>
      </w:r>
      <w:r w:rsidR="00E168A9" w:rsidRPr="006724C9">
        <w:t xml:space="preserve">nanticipated delays are a natural consequence of </w:t>
      </w:r>
      <w:r>
        <w:t>its</w:t>
      </w:r>
      <w:r w:rsidR="00E168A9" w:rsidRPr="006724C9">
        <w:t xml:space="preserve"> complexity</w:t>
      </w:r>
      <w:r w:rsidR="00AF0D1C">
        <w:t xml:space="preserve">. More realistic time </w:t>
      </w:r>
      <w:r w:rsidR="008E53C2">
        <w:t>frames</w:t>
      </w:r>
      <w:r w:rsidR="00AF0D1C">
        <w:t xml:space="preserve"> have now been established.</w:t>
      </w:r>
    </w:p>
    <w:p w:rsidR="000F4025" w:rsidRDefault="000F4025" w:rsidP="000F4025">
      <w:r>
        <w:t>The plan was approved by the Standards and Trade Development Facility in December 2016 and funds transferred. The project was fully implemented following establishment of service agreements with the United Nations International Computing Centre in March 2017.</w:t>
      </w:r>
    </w:p>
    <w:p w:rsidR="000F4025" w:rsidRDefault="000F4025" w:rsidP="000F4025">
      <w:pPr>
        <w:pStyle w:val="Heading1"/>
      </w:pPr>
      <w:r>
        <w:t>Project Progress</w:t>
      </w:r>
    </w:p>
    <w:p w:rsidR="00AF0D1C" w:rsidRDefault="00AF0D1C" w:rsidP="000F4025">
      <w:r>
        <w:t>However</w:t>
      </w:r>
      <w:r w:rsidR="00C9595D">
        <w:t>,</w:t>
      </w:r>
      <w:r>
        <w:t xml:space="preserve"> significant progress </w:t>
      </w:r>
      <w:r w:rsidR="00B96F4F">
        <w:t xml:space="preserve">has been </w:t>
      </w:r>
      <w:r>
        <w:t xml:space="preserve">made during 2016/2017. These include: </w:t>
      </w:r>
    </w:p>
    <w:p w:rsidR="00AF0D1C" w:rsidRDefault="00AF0D1C" w:rsidP="00AF0D1C">
      <w:pPr>
        <w:numPr>
          <w:ilvl w:val="1"/>
          <w:numId w:val="9"/>
        </w:numPr>
        <w:spacing w:after="0"/>
      </w:pPr>
      <w:r>
        <w:t>Developing the</w:t>
      </w:r>
      <w:r w:rsidR="00E168A9" w:rsidRPr="006724C9">
        <w:t xml:space="preserve"> technical specifications and requirements for the design of the hub and </w:t>
      </w:r>
      <w:r w:rsidR="00C22B4C">
        <w:t xml:space="preserve">generic </w:t>
      </w:r>
      <w:proofErr w:type="spellStart"/>
      <w:r w:rsidR="00C22B4C">
        <w:t>ePhyto</w:t>
      </w:r>
      <w:proofErr w:type="spellEnd"/>
      <w:r w:rsidR="00C22B4C">
        <w:t xml:space="preserve"> national system (</w:t>
      </w:r>
      <w:proofErr w:type="spellStart"/>
      <w:r w:rsidR="00E168A9" w:rsidRPr="006724C9">
        <w:t>GeNS</w:t>
      </w:r>
      <w:proofErr w:type="spellEnd"/>
      <w:r w:rsidR="00C22B4C">
        <w:t>)</w:t>
      </w:r>
      <w:r>
        <w:t xml:space="preserve">; </w:t>
      </w:r>
    </w:p>
    <w:p w:rsidR="00AF0D1C" w:rsidRDefault="00E168A9" w:rsidP="00AF0D1C">
      <w:pPr>
        <w:numPr>
          <w:ilvl w:val="1"/>
          <w:numId w:val="9"/>
        </w:numPr>
        <w:spacing w:after="0"/>
      </w:pPr>
      <w:r w:rsidRPr="006724C9">
        <w:t>Finaliz</w:t>
      </w:r>
      <w:r w:rsidR="00AF0D1C">
        <w:t>ing</w:t>
      </w:r>
      <w:r w:rsidRPr="006724C9">
        <w:t xml:space="preserve"> the mapping of harmonized codes </w:t>
      </w:r>
      <w:r w:rsidR="00AF0D1C">
        <w:t>and data</w:t>
      </w:r>
      <w:r w:rsidRPr="006724C9">
        <w:t xml:space="preserve"> elements for </w:t>
      </w:r>
      <w:r w:rsidR="00AF0D1C">
        <w:t>use in the</w:t>
      </w:r>
      <w:r w:rsidRPr="006724C9">
        <w:t xml:space="preserve"> </w:t>
      </w:r>
      <w:proofErr w:type="spellStart"/>
      <w:r w:rsidRPr="006724C9">
        <w:t>ePhyto</w:t>
      </w:r>
      <w:proofErr w:type="spellEnd"/>
      <w:r w:rsidR="00AF0D1C">
        <w:t xml:space="preserve"> mapped to the data elements in the paper </w:t>
      </w:r>
      <w:r w:rsidR="00B96F4F">
        <w:t xml:space="preserve">phytosanitary </w:t>
      </w:r>
      <w:r w:rsidR="00AF0D1C">
        <w:t>certificate</w:t>
      </w:r>
      <w:r w:rsidR="00BC6A64">
        <w:t>;</w:t>
      </w:r>
    </w:p>
    <w:p w:rsidR="00BC6A64" w:rsidRDefault="00BC6A64" w:rsidP="00AF0D1C">
      <w:pPr>
        <w:numPr>
          <w:ilvl w:val="1"/>
          <w:numId w:val="9"/>
        </w:numPr>
        <w:spacing w:after="0"/>
      </w:pPr>
      <w:r>
        <w:t>Development of the Web Services Description Language that allows national systems to communicate with the hub in a harmonized manner;</w:t>
      </w:r>
    </w:p>
    <w:p w:rsidR="00AF0D1C" w:rsidRDefault="00E168A9" w:rsidP="006724C9">
      <w:pPr>
        <w:numPr>
          <w:ilvl w:val="1"/>
          <w:numId w:val="9"/>
        </w:numPr>
        <w:spacing w:after="0"/>
      </w:pPr>
      <w:r w:rsidRPr="006724C9">
        <w:t xml:space="preserve">Commenced working with the </w:t>
      </w:r>
      <w:proofErr w:type="spellStart"/>
      <w:r w:rsidRPr="006724C9">
        <w:t>GeNS</w:t>
      </w:r>
      <w:proofErr w:type="spellEnd"/>
      <w:r w:rsidRPr="006724C9">
        <w:t xml:space="preserve"> pilot countries </w:t>
      </w:r>
      <w:r w:rsidR="00C9595D">
        <w:t xml:space="preserve">(Ghana, Samoa and Sri Lanka) </w:t>
      </w:r>
      <w:r w:rsidRPr="006724C9">
        <w:t xml:space="preserve">to assist with business </w:t>
      </w:r>
      <w:r w:rsidR="00BC6A64">
        <w:t xml:space="preserve">process </w:t>
      </w:r>
      <w:r w:rsidRPr="006724C9">
        <w:t xml:space="preserve">changes required to implement </w:t>
      </w:r>
      <w:proofErr w:type="spellStart"/>
      <w:r w:rsidRPr="006724C9">
        <w:t>ePhyto</w:t>
      </w:r>
      <w:proofErr w:type="spellEnd"/>
      <w:r w:rsidRPr="006724C9">
        <w:t xml:space="preserve"> </w:t>
      </w:r>
    </w:p>
    <w:p w:rsidR="00AF0D1C" w:rsidRDefault="00E168A9" w:rsidP="006724C9">
      <w:pPr>
        <w:numPr>
          <w:ilvl w:val="1"/>
          <w:numId w:val="9"/>
        </w:numPr>
        <w:spacing w:after="0"/>
      </w:pPr>
      <w:r w:rsidRPr="006724C9">
        <w:t xml:space="preserve">Began developing </w:t>
      </w:r>
      <w:r w:rsidR="00AF0D1C">
        <w:t xml:space="preserve">the evaluation criteria for the </w:t>
      </w:r>
      <w:r w:rsidRPr="006724C9">
        <w:t>pilot</w:t>
      </w:r>
    </w:p>
    <w:p w:rsidR="00AF0D1C" w:rsidRDefault="00E168A9" w:rsidP="006724C9">
      <w:pPr>
        <w:numPr>
          <w:ilvl w:val="1"/>
          <w:numId w:val="9"/>
        </w:numPr>
        <w:spacing w:after="0"/>
      </w:pPr>
      <w:r w:rsidRPr="006724C9">
        <w:t>Established criteria for conducting business modelling evaluation (costing and funding)</w:t>
      </w:r>
    </w:p>
    <w:p w:rsidR="00AF0D1C" w:rsidRDefault="00E168A9" w:rsidP="006724C9">
      <w:pPr>
        <w:numPr>
          <w:ilvl w:val="1"/>
          <w:numId w:val="9"/>
        </w:numPr>
        <w:spacing w:after="0"/>
      </w:pPr>
      <w:r w:rsidRPr="006724C9">
        <w:t xml:space="preserve">Engaged with FAO Legal </w:t>
      </w:r>
      <w:r w:rsidR="00BC6A64">
        <w:t>Office</w:t>
      </w:r>
      <w:r w:rsidRPr="006724C9">
        <w:t xml:space="preserve"> to review </w:t>
      </w:r>
      <w:r w:rsidR="00BC6A64">
        <w:t xml:space="preserve">legal arrangements for operating </w:t>
      </w:r>
      <w:r w:rsidRPr="006724C9">
        <w:t>hub/</w:t>
      </w:r>
      <w:proofErr w:type="spellStart"/>
      <w:r w:rsidRPr="006724C9">
        <w:t>GeNS</w:t>
      </w:r>
      <w:proofErr w:type="spellEnd"/>
    </w:p>
    <w:p w:rsidR="00E168A9" w:rsidRDefault="00E168A9" w:rsidP="00EE71DB">
      <w:pPr>
        <w:numPr>
          <w:ilvl w:val="1"/>
          <w:numId w:val="9"/>
        </w:numPr>
      </w:pPr>
      <w:r w:rsidRPr="006724C9">
        <w:t>Engaged with World Customs Organization</w:t>
      </w:r>
      <w:r w:rsidR="00EE71DB">
        <w:t xml:space="preserve">, </w:t>
      </w:r>
      <w:r w:rsidR="00EE71DB" w:rsidRPr="006724C9">
        <w:t>CITES, CODEX, UNCTAD, UNESCAP</w:t>
      </w:r>
      <w:r w:rsidR="00EE71DB">
        <w:t xml:space="preserve">. The idea being to align with other </w:t>
      </w:r>
      <w:r w:rsidR="00B96F4F">
        <w:t>initiatives</w:t>
      </w:r>
      <w:r w:rsidR="00EE71DB">
        <w:t xml:space="preserve"> (single window, e-CITES, etc. ) and to leverage other opportunities such as capacity development being done by other organizations</w:t>
      </w:r>
    </w:p>
    <w:p w:rsidR="00C9595D" w:rsidRPr="000F4025" w:rsidRDefault="00007E14" w:rsidP="000F4025">
      <w:pPr>
        <w:pStyle w:val="Heading1"/>
      </w:pPr>
      <w:r w:rsidRPr="00007E14">
        <w:rPr>
          <w:noProof/>
          <w:lang w:val="en-CA"/>
        </w:rPr>
        <w:drawing>
          <wp:anchor distT="0" distB="0" distL="114300" distR="114300" simplePos="0" relativeHeight="251660288" behindDoc="1" locked="0" layoutInCell="1" allowOverlap="1" wp14:anchorId="71D51F74" wp14:editId="18249D54">
            <wp:simplePos x="0" y="0"/>
            <wp:positionH relativeFrom="column">
              <wp:posOffset>5985891</wp:posOffset>
            </wp:positionH>
            <wp:positionV relativeFrom="paragraph">
              <wp:posOffset>448818</wp:posOffset>
            </wp:positionV>
            <wp:extent cx="530225" cy="539115"/>
            <wp:effectExtent l="0" t="0" r="3175" b="0"/>
            <wp:wrapNone/>
            <wp:docPr id="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4"/>
                    <pic:cNvPicPr>
                      <a:picLocks noChangeAspect="1" noChangeArrowheads="1"/>
                    </pic:cNvPicPr>
                  </pic:nvPicPr>
                  <pic:blipFill>
                    <a:blip r:embed="rId8">
                      <a:grayscl/>
                      <a:extLst>
                        <a:ext uri="{28A0092B-C50C-407E-A947-70E740481C1C}">
                          <a14:useLocalDpi xmlns:a14="http://schemas.microsoft.com/office/drawing/2010/main" val="0"/>
                        </a:ext>
                      </a:extLst>
                    </a:blip>
                    <a:srcRect l="19923" t="14473" r="74814" b="78906"/>
                    <a:stretch>
                      <a:fillRect/>
                    </a:stretch>
                  </pic:blipFill>
                  <pic:spPr bwMode="auto">
                    <a:xfrm>
                      <a:off x="0" y="0"/>
                      <a:ext cx="530225" cy="539115"/>
                    </a:xfrm>
                    <a:prstGeom prst="rect">
                      <a:avLst/>
                    </a:prstGeom>
                    <a:noFill/>
                    <a:ln>
                      <a:noFill/>
                    </a:ln>
                    <a:extLst/>
                  </pic:spPr>
                </pic:pic>
              </a:graphicData>
            </a:graphic>
            <wp14:sizeRelH relativeFrom="margin">
              <wp14:pctWidth>0</wp14:pctWidth>
            </wp14:sizeRelH>
            <wp14:sizeRelV relativeFrom="margin">
              <wp14:pctHeight>0</wp14:pctHeight>
            </wp14:sizeRelV>
          </wp:anchor>
        </w:drawing>
      </w:r>
      <w:r w:rsidR="00326F74">
        <w:br w:type="page"/>
      </w:r>
      <w:r w:rsidR="00C9595D" w:rsidRPr="000F4025">
        <w:lastRenderedPageBreak/>
        <w:t>The pilot</w:t>
      </w:r>
      <w:r w:rsidR="00BC6A64" w:rsidRPr="000F4025">
        <w:t xml:space="preserve"> </w:t>
      </w:r>
    </w:p>
    <w:p w:rsidR="000F4025" w:rsidRDefault="000F4025" w:rsidP="000F4025">
      <w:r>
        <w:t xml:space="preserve">The pilot of the hub by countries with national systems will not be synchronised with the pilot by countries using the </w:t>
      </w:r>
      <w:proofErr w:type="spellStart"/>
      <w:r>
        <w:t>GeNS</w:t>
      </w:r>
      <w:proofErr w:type="spellEnd"/>
      <w:r>
        <w:t xml:space="preserve">. The </w:t>
      </w:r>
      <w:proofErr w:type="spellStart"/>
      <w:r>
        <w:t>GeNS</w:t>
      </w:r>
      <w:proofErr w:type="spellEnd"/>
      <w:r>
        <w:t xml:space="preserve"> is likely to be developed about 6-8 months after the development of the hub. The </w:t>
      </w:r>
      <w:proofErr w:type="spellStart"/>
      <w:r>
        <w:t>GeNS</w:t>
      </w:r>
      <w:proofErr w:type="spellEnd"/>
      <w:r>
        <w:t xml:space="preserve"> development is contingent on evaluation of existing software. The process of evaluation takes longer to finalize than the development of the hub. </w:t>
      </w:r>
    </w:p>
    <w:p w:rsidR="000F4025" w:rsidRDefault="000F4025" w:rsidP="000F4025">
      <w:r>
        <w:t xml:space="preserve">It is expected that the each pilot (hub and </w:t>
      </w:r>
      <w:proofErr w:type="spellStart"/>
      <w:r>
        <w:t>GeNS</w:t>
      </w:r>
      <w:proofErr w:type="spellEnd"/>
      <w:r>
        <w:t xml:space="preserve">) will conclude within 3 months of commencement. Conclusions will be finalized soon after the close of each pilot. Each component will then be adjusted, followed by additional countries invited to participate.  </w:t>
      </w:r>
    </w:p>
    <w:tbl>
      <w:tblPr>
        <w:tblStyle w:val="TableGrid"/>
        <w:tblW w:w="8910" w:type="dxa"/>
        <w:tblInd w:w="5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55"/>
        <w:gridCol w:w="4455"/>
      </w:tblGrid>
      <w:tr w:rsidR="00C22B4C" w:rsidTr="00BC6A64">
        <w:tc>
          <w:tcPr>
            <w:tcW w:w="4455" w:type="dxa"/>
          </w:tcPr>
          <w:p w:rsidR="00C22B4C" w:rsidRPr="00326F74" w:rsidRDefault="00C22B4C" w:rsidP="00C22B4C">
            <w:pPr>
              <w:jc w:val="center"/>
              <w:rPr>
                <w:rFonts w:eastAsia="Times New Roman" w:cs="Arial"/>
                <w:b/>
                <w:color w:val="000000"/>
                <w:kern w:val="24"/>
              </w:rPr>
            </w:pPr>
            <w:r w:rsidRPr="00326F74">
              <w:rPr>
                <w:rFonts w:eastAsia="Times New Roman" w:cs="Arial"/>
                <w:b/>
                <w:color w:val="000000"/>
                <w:kern w:val="24"/>
              </w:rPr>
              <w:t>Countries with national systems to connect to the hub</w:t>
            </w:r>
          </w:p>
          <w:p w:rsidR="00C22B4C" w:rsidRDefault="00C22B4C" w:rsidP="00C22B4C">
            <w:pPr>
              <w:rPr>
                <w:rFonts w:eastAsia="Times New Roman" w:cs="Arial"/>
                <w:color w:val="000000"/>
                <w:kern w:val="24"/>
              </w:rPr>
            </w:pPr>
          </w:p>
          <w:p w:rsidR="00C22B4C" w:rsidRPr="00326F74" w:rsidRDefault="00C22B4C" w:rsidP="00C22B4C">
            <w:pPr>
              <w:rPr>
                <w:rFonts w:eastAsia="Times New Roman" w:cs="Arial"/>
              </w:rPr>
            </w:pPr>
            <w:r w:rsidRPr="00326F74">
              <w:rPr>
                <w:rFonts w:eastAsia="Times New Roman" w:cs="Arial"/>
                <w:color w:val="000000"/>
                <w:kern w:val="24"/>
              </w:rPr>
              <w:t>Argentina</w:t>
            </w:r>
          </w:p>
          <w:p w:rsidR="00C22B4C" w:rsidRPr="00326F74" w:rsidRDefault="00C22B4C" w:rsidP="00C22B4C">
            <w:pPr>
              <w:rPr>
                <w:rFonts w:eastAsia="Times New Roman" w:cs="Arial"/>
              </w:rPr>
            </w:pPr>
            <w:r w:rsidRPr="00326F74">
              <w:rPr>
                <w:rFonts w:eastAsia="Times New Roman" w:cs="Arial"/>
                <w:color w:val="000000"/>
                <w:kern w:val="24"/>
              </w:rPr>
              <w:t>Australia</w:t>
            </w:r>
          </w:p>
          <w:p w:rsidR="00C22B4C" w:rsidRPr="00326F74" w:rsidRDefault="00C22B4C" w:rsidP="00C22B4C">
            <w:pPr>
              <w:rPr>
                <w:rFonts w:eastAsia="Times New Roman" w:cs="Arial"/>
              </w:rPr>
            </w:pPr>
            <w:r w:rsidRPr="00326F74">
              <w:rPr>
                <w:rFonts w:eastAsia="Times New Roman" w:cs="Arial"/>
                <w:color w:val="000000"/>
                <w:kern w:val="24"/>
              </w:rPr>
              <w:t>Chile</w:t>
            </w:r>
          </w:p>
          <w:p w:rsidR="00C22B4C" w:rsidRPr="00326F74" w:rsidRDefault="00C22B4C" w:rsidP="00C22B4C">
            <w:pPr>
              <w:rPr>
                <w:rFonts w:eastAsia="Times New Roman" w:cs="Arial"/>
              </w:rPr>
            </w:pPr>
            <w:r w:rsidRPr="00326F74">
              <w:rPr>
                <w:rFonts w:eastAsia="Times New Roman" w:cs="Arial"/>
                <w:color w:val="000000"/>
                <w:kern w:val="24"/>
              </w:rPr>
              <w:t>China</w:t>
            </w:r>
          </w:p>
          <w:p w:rsidR="00C22B4C" w:rsidRPr="00326F74" w:rsidRDefault="00C22B4C" w:rsidP="00C22B4C">
            <w:pPr>
              <w:rPr>
                <w:rFonts w:eastAsia="Times New Roman" w:cs="Arial"/>
              </w:rPr>
            </w:pPr>
            <w:r w:rsidRPr="00326F74">
              <w:rPr>
                <w:rFonts w:eastAsia="Times New Roman" w:cs="Arial"/>
                <w:color w:val="000000"/>
                <w:kern w:val="24"/>
              </w:rPr>
              <w:t>Ecuador</w:t>
            </w:r>
          </w:p>
          <w:p w:rsidR="00C22B4C" w:rsidRPr="00326F74" w:rsidRDefault="00C22B4C" w:rsidP="00C22B4C">
            <w:pPr>
              <w:rPr>
                <w:rFonts w:eastAsia="Times New Roman" w:cs="Arial"/>
              </w:rPr>
            </w:pPr>
            <w:r w:rsidRPr="00326F74">
              <w:rPr>
                <w:rFonts w:eastAsia="Times New Roman" w:cs="Arial"/>
                <w:color w:val="000000"/>
                <w:kern w:val="24"/>
              </w:rPr>
              <w:t>Guatemala</w:t>
            </w:r>
          </w:p>
          <w:p w:rsidR="00C22B4C" w:rsidRPr="00326F74" w:rsidRDefault="00C22B4C" w:rsidP="00C22B4C">
            <w:pPr>
              <w:rPr>
                <w:rFonts w:eastAsia="Times New Roman" w:cs="Arial"/>
              </w:rPr>
            </w:pPr>
            <w:r w:rsidRPr="00326F74">
              <w:rPr>
                <w:rFonts w:eastAsia="Times New Roman" w:cs="Arial"/>
                <w:color w:val="000000"/>
                <w:kern w:val="24"/>
              </w:rPr>
              <w:t>Kenya</w:t>
            </w:r>
          </w:p>
          <w:p w:rsidR="00C22B4C" w:rsidRPr="00326F74" w:rsidRDefault="00C22B4C" w:rsidP="00C22B4C">
            <w:pPr>
              <w:rPr>
                <w:rFonts w:eastAsia="Times New Roman" w:cs="Arial"/>
              </w:rPr>
            </w:pPr>
            <w:r w:rsidRPr="00326F74">
              <w:rPr>
                <w:rFonts w:eastAsia="Times New Roman" w:cs="Arial"/>
                <w:color w:val="000000"/>
                <w:kern w:val="24"/>
              </w:rPr>
              <w:t>Korea</w:t>
            </w:r>
          </w:p>
          <w:p w:rsidR="00C22B4C" w:rsidRPr="00326F74" w:rsidRDefault="00C22B4C" w:rsidP="00C22B4C">
            <w:pPr>
              <w:rPr>
                <w:rFonts w:eastAsia="Times New Roman" w:cs="Arial"/>
              </w:rPr>
            </w:pPr>
            <w:r w:rsidRPr="00326F74">
              <w:rPr>
                <w:rFonts w:eastAsia="Times New Roman" w:cs="Arial"/>
                <w:color w:val="000000"/>
                <w:kern w:val="24"/>
              </w:rPr>
              <w:t>New Zealand</w:t>
            </w:r>
          </w:p>
          <w:p w:rsidR="00C22B4C" w:rsidRPr="00326F74" w:rsidRDefault="00C22B4C" w:rsidP="00C22B4C">
            <w:pPr>
              <w:rPr>
                <w:rFonts w:eastAsia="Times New Roman" w:cs="Arial"/>
              </w:rPr>
            </w:pPr>
            <w:r w:rsidRPr="00326F74">
              <w:rPr>
                <w:rFonts w:eastAsia="Times New Roman" w:cs="Arial"/>
                <w:color w:val="000000"/>
                <w:kern w:val="24"/>
              </w:rPr>
              <w:t>The Netherlands</w:t>
            </w:r>
          </w:p>
          <w:p w:rsidR="00C22B4C" w:rsidRDefault="00C22B4C" w:rsidP="00C22B4C">
            <w:pPr>
              <w:rPr>
                <w:rFonts w:eastAsia="Times New Roman" w:cs="Arial"/>
                <w:color w:val="000000"/>
                <w:kern w:val="24"/>
              </w:rPr>
            </w:pPr>
            <w:r w:rsidRPr="00326F74">
              <w:rPr>
                <w:rFonts w:eastAsia="Times New Roman" w:cs="Arial"/>
                <w:color w:val="000000"/>
                <w:kern w:val="24"/>
              </w:rPr>
              <w:t>USA</w:t>
            </w:r>
          </w:p>
        </w:tc>
        <w:tc>
          <w:tcPr>
            <w:tcW w:w="4455" w:type="dxa"/>
          </w:tcPr>
          <w:p w:rsidR="00C22B4C" w:rsidRPr="00C22B4C" w:rsidRDefault="00C22B4C" w:rsidP="00C22B4C">
            <w:pPr>
              <w:jc w:val="center"/>
              <w:rPr>
                <w:rFonts w:eastAsia="Times New Roman" w:cs="Arial"/>
                <w:b/>
                <w:color w:val="000000"/>
                <w:kern w:val="24"/>
              </w:rPr>
            </w:pPr>
            <w:r w:rsidRPr="00C22B4C">
              <w:rPr>
                <w:rFonts w:eastAsia="Times New Roman" w:cs="Arial"/>
                <w:b/>
                <w:color w:val="000000"/>
                <w:kern w:val="24"/>
              </w:rPr>
              <w:t xml:space="preserve">Countries to use the </w:t>
            </w:r>
            <w:proofErr w:type="spellStart"/>
            <w:r w:rsidRPr="00C22B4C">
              <w:rPr>
                <w:rFonts w:eastAsia="Times New Roman" w:cs="Arial"/>
                <w:b/>
                <w:color w:val="000000"/>
                <w:kern w:val="24"/>
              </w:rPr>
              <w:t>GeNS</w:t>
            </w:r>
            <w:proofErr w:type="spellEnd"/>
          </w:p>
          <w:p w:rsidR="00C22B4C" w:rsidRPr="00C22B4C" w:rsidRDefault="00C22B4C" w:rsidP="00C22B4C">
            <w:pPr>
              <w:jc w:val="center"/>
              <w:rPr>
                <w:rFonts w:eastAsia="Times New Roman" w:cs="Arial"/>
                <w:color w:val="000000"/>
                <w:kern w:val="24"/>
              </w:rPr>
            </w:pPr>
          </w:p>
          <w:p w:rsidR="00C22B4C" w:rsidRDefault="00C22B4C" w:rsidP="00C22B4C">
            <w:pPr>
              <w:rPr>
                <w:rFonts w:eastAsia="Times New Roman" w:cs="Arial"/>
                <w:color w:val="000000"/>
                <w:kern w:val="24"/>
              </w:rPr>
            </w:pPr>
          </w:p>
          <w:p w:rsidR="00C22B4C" w:rsidRPr="00C22B4C" w:rsidRDefault="00C22B4C" w:rsidP="00C22B4C">
            <w:pPr>
              <w:rPr>
                <w:rFonts w:eastAsia="Times New Roman" w:cs="Arial"/>
                <w:color w:val="000000"/>
                <w:kern w:val="24"/>
              </w:rPr>
            </w:pPr>
            <w:r w:rsidRPr="00C22B4C">
              <w:rPr>
                <w:rFonts w:eastAsia="Times New Roman" w:cs="Arial"/>
                <w:color w:val="000000"/>
                <w:kern w:val="24"/>
              </w:rPr>
              <w:t>Egypt</w:t>
            </w:r>
            <w:r w:rsidRPr="00C22B4C">
              <w:rPr>
                <w:rFonts w:eastAsia="Times New Roman" w:cs="Arial"/>
                <w:color w:val="000000"/>
                <w:kern w:val="24"/>
                <w:vertAlign w:val="superscript"/>
              </w:rPr>
              <w:t>1</w:t>
            </w:r>
          </w:p>
          <w:p w:rsidR="00C22B4C" w:rsidRPr="00C22B4C" w:rsidRDefault="00C22B4C" w:rsidP="00C22B4C">
            <w:pPr>
              <w:rPr>
                <w:rFonts w:eastAsia="Times New Roman" w:cs="Arial"/>
                <w:color w:val="000000"/>
                <w:kern w:val="24"/>
              </w:rPr>
            </w:pPr>
            <w:r w:rsidRPr="00C22B4C">
              <w:rPr>
                <w:rFonts w:eastAsia="Times New Roman" w:cs="Arial"/>
                <w:color w:val="000000"/>
                <w:kern w:val="24"/>
              </w:rPr>
              <w:t>Ghana</w:t>
            </w:r>
          </w:p>
          <w:p w:rsidR="00C22B4C" w:rsidRPr="00C22B4C" w:rsidRDefault="00C22B4C" w:rsidP="00C22B4C">
            <w:pPr>
              <w:rPr>
                <w:rFonts w:eastAsia="Times New Roman" w:cs="Arial"/>
                <w:color w:val="000000"/>
                <w:kern w:val="24"/>
              </w:rPr>
            </w:pPr>
            <w:r w:rsidRPr="00C22B4C">
              <w:rPr>
                <w:rFonts w:eastAsia="Times New Roman" w:cs="Arial"/>
                <w:color w:val="000000"/>
                <w:kern w:val="24"/>
              </w:rPr>
              <w:t>Samoa</w:t>
            </w:r>
          </w:p>
          <w:p w:rsidR="00C22B4C" w:rsidRPr="00C22B4C" w:rsidRDefault="00C22B4C" w:rsidP="00C22B4C">
            <w:pPr>
              <w:rPr>
                <w:rFonts w:eastAsia="Times New Roman" w:cs="Arial"/>
                <w:color w:val="000000"/>
                <w:kern w:val="24"/>
              </w:rPr>
            </w:pPr>
            <w:r w:rsidRPr="00C22B4C">
              <w:rPr>
                <w:rFonts w:eastAsia="Times New Roman" w:cs="Arial"/>
                <w:color w:val="000000"/>
                <w:kern w:val="24"/>
              </w:rPr>
              <w:t>Senegal</w:t>
            </w:r>
            <w:r w:rsidRPr="00C22B4C">
              <w:rPr>
                <w:rFonts w:eastAsia="Times New Roman" w:cs="Arial"/>
                <w:color w:val="000000"/>
                <w:kern w:val="24"/>
                <w:vertAlign w:val="superscript"/>
              </w:rPr>
              <w:t>1</w:t>
            </w:r>
            <w:r w:rsidRPr="00C22B4C">
              <w:rPr>
                <w:rFonts w:eastAsia="Times New Roman" w:cs="Arial"/>
                <w:color w:val="000000"/>
                <w:kern w:val="24"/>
              </w:rPr>
              <w:t xml:space="preserve"> </w:t>
            </w:r>
          </w:p>
          <w:p w:rsidR="00C22B4C" w:rsidRPr="00C22B4C" w:rsidRDefault="00C22B4C" w:rsidP="00C22B4C">
            <w:pPr>
              <w:rPr>
                <w:rFonts w:eastAsia="Times New Roman" w:cs="Arial"/>
                <w:color w:val="000000"/>
                <w:kern w:val="24"/>
              </w:rPr>
            </w:pPr>
            <w:r w:rsidRPr="00C22B4C">
              <w:rPr>
                <w:rFonts w:eastAsia="Times New Roman" w:cs="Arial"/>
                <w:color w:val="000000"/>
                <w:kern w:val="24"/>
              </w:rPr>
              <w:t>Sri Lanka</w:t>
            </w:r>
          </w:p>
          <w:p w:rsidR="00C22B4C" w:rsidRDefault="00C22B4C" w:rsidP="00326F74">
            <w:pPr>
              <w:rPr>
                <w:rFonts w:eastAsia="Times New Roman" w:cs="Arial"/>
                <w:color w:val="000000"/>
                <w:kern w:val="24"/>
              </w:rPr>
            </w:pPr>
          </w:p>
        </w:tc>
      </w:tr>
      <w:tr w:rsidR="00C22B4C" w:rsidTr="00BC6A64">
        <w:tc>
          <w:tcPr>
            <w:tcW w:w="8910" w:type="dxa"/>
            <w:gridSpan w:val="2"/>
          </w:tcPr>
          <w:p w:rsidR="00C22B4C" w:rsidRPr="00C22B4C" w:rsidRDefault="00C22B4C" w:rsidP="00C22B4C">
            <w:pPr>
              <w:pStyle w:val="ListParagraph"/>
              <w:numPr>
                <w:ilvl w:val="0"/>
                <w:numId w:val="13"/>
              </w:numPr>
              <w:rPr>
                <w:rFonts w:eastAsia="Times New Roman" w:cs="Arial"/>
                <w:color w:val="000000"/>
                <w:kern w:val="24"/>
              </w:rPr>
            </w:pPr>
            <w:r w:rsidRPr="00C22B4C">
              <w:rPr>
                <w:rFonts w:eastAsia="Times New Roman" w:cs="Arial"/>
                <w:color w:val="000000"/>
                <w:kern w:val="24"/>
              </w:rPr>
              <w:t xml:space="preserve">Countries that will begin use of </w:t>
            </w:r>
            <w:proofErr w:type="spellStart"/>
            <w:r w:rsidRPr="00C22B4C">
              <w:rPr>
                <w:rFonts w:eastAsia="Times New Roman" w:cs="Arial"/>
                <w:color w:val="000000"/>
                <w:kern w:val="24"/>
              </w:rPr>
              <w:t>GeNS</w:t>
            </w:r>
            <w:proofErr w:type="spellEnd"/>
            <w:r w:rsidRPr="00C22B4C">
              <w:rPr>
                <w:rFonts w:eastAsia="Times New Roman" w:cs="Arial"/>
                <w:color w:val="000000"/>
                <w:kern w:val="24"/>
              </w:rPr>
              <w:t xml:space="preserve"> following initial implementation</w:t>
            </w:r>
          </w:p>
        </w:tc>
      </w:tr>
    </w:tbl>
    <w:p w:rsidR="00C22B4C" w:rsidRDefault="00C22B4C" w:rsidP="00326F74">
      <w:pPr>
        <w:spacing w:after="0" w:line="240" w:lineRule="auto"/>
        <w:rPr>
          <w:rFonts w:eastAsia="Times New Roman" w:cs="Arial"/>
          <w:color w:val="000000"/>
          <w:kern w:val="24"/>
        </w:rPr>
        <w:sectPr w:rsidR="00C22B4C">
          <w:pgSz w:w="12240" w:h="15840"/>
          <w:pgMar w:top="1440" w:right="1440" w:bottom="1440" w:left="1440" w:header="720" w:footer="720" w:gutter="0"/>
          <w:cols w:space="720"/>
          <w:noEndnote/>
        </w:sectPr>
      </w:pPr>
    </w:p>
    <w:p w:rsidR="000F4025" w:rsidRDefault="000F4025" w:rsidP="000F4025">
      <w:pPr>
        <w:pStyle w:val="Heading1"/>
      </w:pPr>
    </w:p>
    <w:p w:rsidR="003555C9" w:rsidRPr="00326F74" w:rsidRDefault="000F4025" w:rsidP="000F4025">
      <w:pPr>
        <w:pStyle w:val="Heading1"/>
      </w:pPr>
      <w:r>
        <w:t>Current project time line</w:t>
      </w:r>
    </w:p>
    <w:tbl>
      <w:tblPr>
        <w:tblStyle w:val="TableGrid"/>
        <w:tblW w:w="0" w:type="auto"/>
        <w:tblLook w:val="0420" w:firstRow="1" w:lastRow="0" w:firstColumn="0" w:lastColumn="0" w:noHBand="0" w:noVBand="1"/>
      </w:tblPr>
      <w:tblGrid>
        <w:gridCol w:w="5598"/>
        <w:gridCol w:w="3978"/>
      </w:tblGrid>
      <w:tr w:rsidR="003555C9" w:rsidRPr="003555C9" w:rsidTr="00DA4284">
        <w:trPr>
          <w:trHeight w:val="24"/>
          <w:tblHeader/>
        </w:trPr>
        <w:tc>
          <w:tcPr>
            <w:tcW w:w="5598" w:type="dxa"/>
            <w:shd w:val="clear" w:color="auto" w:fill="948A54" w:themeFill="background2" w:themeFillShade="80"/>
            <w:hideMark/>
          </w:tcPr>
          <w:p w:rsidR="003555C9" w:rsidRPr="004431E7" w:rsidRDefault="003555C9" w:rsidP="00BA525B">
            <w:pPr>
              <w:jc w:val="center"/>
              <w:rPr>
                <w:b/>
                <w:color w:val="FFFFFF" w:themeColor="background1"/>
              </w:rPr>
            </w:pPr>
            <w:r w:rsidRPr="004431E7">
              <w:rPr>
                <w:b/>
                <w:color w:val="FFFFFF" w:themeColor="background1"/>
              </w:rPr>
              <w:t>Key tasks</w:t>
            </w:r>
          </w:p>
        </w:tc>
        <w:tc>
          <w:tcPr>
            <w:tcW w:w="0" w:type="auto"/>
            <w:shd w:val="clear" w:color="auto" w:fill="948A54" w:themeFill="background2" w:themeFillShade="80"/>
            <w:hideMark/>
          </w:tcPr>
          <w:p w:rsidR="003555C9" w:rsidRPr="004431E7" w:rsidRDefault="003555C9" w:rsidP="00BA525B">
            <w:pPr>
              <w:jc w:val="center"/>
              <w:rPr>
                <w:b/>
                <w:color w:val="FFFFFF" w:themeColor="background1"/>
              </w:rPr>
            </w:pPr>
            <w:r w:rsidRPr="004431E7">
              <w:rPr>
                <w:b/>
                <w:color w:val="FFFFFF" w:themeColor="background1"/>
              </w:rPr>
              <w:t>Current status/projected timing</w:t>
            </w:r>
          </w:p>
        </w:tc>
      </w:tr>
      <w:tr w:rsidR="003555C9" w:rsidRPr="003555C9" w:rsidTr="00BA525B">
        <w:trPr>
          <w:trHeight w:val="22"/>
        </w:trPr>
        <w:tc>
          <w:tcPr>
            <w:tcW w:w="5598" w:type="dxa"/>
            <w:hideMark/>
          </w:tcPr>
          <w:p w:rsidR="003555C9" w:rsidRPr="003555C9" w:rsidRDefault="00BA525B" w:rsidP="003555C9">
            <w:r>
              <w:t>Establish agreements with Service Provider</w:t>
            </w:r>
          </w:p>
        </w:tc>
        <w:tc>
          <w:tcPr>
            <w:tcW w:w="0" w:type="auto"/>
            <w:shd w:val="clear" w:color="auto" w:fill="92D050"/>
            <w:vAlign w:val="center"/>
            <w:hideMark/>
          </w:tcPr>
          <w:p w:rsidR="003555C9" w:rsidRPr="003555C9" w:rsidRDefault="003555C9" w:rsidP="00BA525B">
            <w:r w:rsidRPr="003555C9">
              <w:t>Completed</w:t>
            </w:r>
          </w:p>
        </w:tc>
      </w:tr>
      <w:tr w:rsidR="003555C9" w:rsidRPr="003555C9" w:rsidTr="00BA525B">
        <w:trPr>
          <w:trHeight w:val="70"/>
        </w:trPr>
        <w:tc>
          <w:tcPr>
            <w:tcW w:w="5598" w:type="dxa"/>
            <w:hideMark/>
          </w:tcPr>
          <w:p w:rsidR="003555C9" w:rsidRPr="003555C9" w:rsidRDefault="003555C9" w:rsidP="003555C9">
            <w:r w:rsidRPr="003555C9">
              <w:t>Finalize harmonization of fields and codes for phytosanitary data elements</w:t>
            </w:r>
          </w:p>
        </w:tc>
        <w:tc>
          <w:tcPr>
            <w:tcW w:w="0" w:type="auto"/>
            <w:shd w:val="clear" w:color="auto" w:fill="FFFF00"/>
            <w:vAlign w:val="center"/>
            <w:hideMark/>
          </w:tcPr>
          <w:p w:rsidR="003555C9" w:rsidRPr="003555C9" w:rsidRDefault="003555C9" w:rsidP="00BA525B">
            <w:r w:rsidRPr="003555C9">
              <w:t>Nearing completion</w:t>
            </w:r>
          </w:p>
        </w:tc>
      </w:tr>
      <w:tr w:rsidR="003555C9" w:rsidRPr="003555C9" w:rsidTr="00BA525B">
        <w:trPr>
          <w:trHeight w:val="24"/>
        </w:trPr>
        <w:tc>
          <w:tcPr>
            <w:tcW w:w="5598" w:type="dxa"/>
            <w:hideMark/>
          </w:tcPr>
          <w:p w:rsidR="003555C9" w:rsidRPr="003555C9" w:rsidRDefault="003555C9" w:rsidP="003555C9">
            <w:r w:rsidRPr="003555C9">
              <w:t xml:space="preserve">Develop specification for </w:t>
            </w:r>
            <w:proofErr w:type="spellStart"/>
            <w:r w:rsidRPr="003555C9">
              <w:t>GeNS</w:t>
            </w:r>
            <w:proofErr w:type="spellEnd"/>
          </w:p>
        </w:tc>
        <w:tc>
          <w:tcPr>
            <w:tcW w:w="0" w:type="auto"/>
            <w:shd w:val="clear" w:color="auto" w:fill="FFFF00"/>
            <w:vAlign w:val="center"/>
            <w:hideMark/>
          </w:tcPr>
          <w:p w:rsidR="003555C9" w:rsidRPr="003555C9" w:rsidRDefault="003555C9" w:rsidP="00BA525B">
            <w:r w:rsidRPr="003555C9">
              <w:t>Nearing completion</w:t>
            </w:r>
          </w:p>
        </w:tc>
      </w:tr>
      <w:tr w:rsidR="003555C9" w:rsidRPr="003555C9" w:rsidTr="00BA525B">
        <w:trPr>
          <w:trHeight w:val="457"/>
        </w:trPr>
        <w:tc>
          <w:tcPr>
            <w:tcW w:w="5598" w:type="dxa"/>
            <w:hideMark/>
          </w:tcPr>
          <w:p w:rsidR="003555C9" w:rsidRPr="003555C9" w:rsidRDefault="003555C9" w:rsidP="003555C9">
            <w:r w:rsidRPr="003555C9">
              <w:t>Establishment of evaluation criteria for assessment of ASYCER</w:t>
            </w:r>
          </w:p>
        </w:tc>
        <w:tc>
          <w:tcPr>
            <w:tcW w:w="0" w:type="auto"/>
            <w:vAlign w:val="center"/>
            <w:hideMark/>
          </w:tcPr>
          <w:p w:rsidR="003555C9" w:rsidRPr="003555C9" w:rsidRDefault="003555C9" w:rsidP="00BA525B">
            <w:r w:rsidRPr="003555C9">
              <w:t>Draft complete/criteria to be finalized April 2017</w:t>
            </w:r>
          </w:p>
        </w:tc>
      </w:tr>
      <w:tr w:rsidR="003555C9" w:rsidRPr="003555C9" w:rsidTr="00BA525B">
        <w:trPr>
          <w:trHeight w:val="24"/>
        </w:trPr>
        <w:tc>
          <w:tcPr>
            <w:tcW w:w="5598" w:type="dxa"/>
            <w:hideMark/>
          </w:tcPr>
          <w:p w:rsidR="003555C9" w:rsidRPr="003555C9" w:rsidRDefault="003555C9" w:rsidP="003555C9">
            <w:r w:rsidRPr="003555C9">
              <w:t>Assessment of ASYCER</w:t>
            </w:r>
            <w:r w:rsidR="00971B51">
              <w:t xml:space="preserve"> (existing U.N system which may be adapted for use)</w:t>
            </w:r>
          </w:p>
        </w:tc>
        <w:tc>
          <w:tcPr>
            <w:tcW w:w="0" w:type="auto"/>
            <w:vAlign w:val="center"/>
            <w:hideMark/>
          </w:tcPr>
          <w:p w:rsidR="003555C9" w:rsidRPr="003555C9" w:rsidRDefault="003555C9" w:rsidP="00BA525B">
            <w:r w:rsidRPr="003555C9">
              <w:t>May/June 2017</w:t>
            </w:r>
          </w:p>
        </w:tc>
      </w:tr>
      <w:tr w:rsidR="003555C9" w:rsidRPr="003555C9" w:rsidTr="00BA525B">
        <w:trPr>
          <w:trHeight w:val="24"/>
        </w:trPr>
        <w:tc>
          <w:tcPr>
            <w:tcW w:w="5598" w:type="dxa"/>
            <w:hideMark/>
          </w:tcPr>
          <w:p w:rsidR="003555C9" w:rsidRPr="003555C9" w:rsidRDefault="003555C9" w:rsidP="003555C9">
            <w:r w:rsidRPr="003555C9">
              <w:t>Evaluation report</w:t>
            </w:r>
          </w:p>
        </w:tc>
        <w:tc>
          <w:tcPr>
            <w:tcW w:w="0" w:type="auto"/>
            <w:vAlign w:val="center"/>
            <w:hideMark/>
          </w:tcPr>
          <w:p w:rsidR="003555C9" w:rsidRPr="003555C9" w:rsidRDefault="003555C9" w:rsidP="00BA525B">
            <w:r w:rsidRPr="003555C9">
              <w:t>May 2017</w:t>
            </w:r>
          </w:p>
        </w:tc>
      </w:tr>
      <w:tr w:rsidR="003555C9" w:rsidRPr="003555C9" w:rsidTr="00BA525B">
        <w:trPr>
          <w:trHeight w:val="24"/>
        </w:trPr>
        <w:tc>
          <w:tcPr>
            <w:tcW w:w="5598" w:type="dxa"/>
            <w:hideMark/>
          </w:tcPr>
          <w:p w:rsidR="003555C9" w:rsidRPr="003555C9" w:rsidRDefault="003555C9" w:rsidP="003555C9">
            <w:r w:rsidRPr="003555C9">
              <w:t xml:space="preserve">Development of </w:t>
            </w:r>
            <w:proofErr w:type="spellStart"/>
            <w:r w:rsidRPr="003555C9">
              <w:t>GeNS</w:t>
            </w:r>
            <w:proofErr w:type="spellEnd"/>
          </w:p>
        </w:tc>
        <w:tc>
          <w:tcPr>
            <w:tcW w:w="0" w:type="auto"/>
            <w:vAlign w:val="center"/>
            <w:hideMark/>
          </w:tcPr>
          <w:p w:rsidR="003555C9" w:rsidRPr="003555C9" w:rsidRDefault="003555C9" w:rsidP="00BA525B">
            <w:r w:rsidRPr="003555C9">
              <w:t>4th Quarter 2017</w:t>
            </w:r>
          </w:p>
        </w:tc>
      </w:tr>
      <w:tr w:rsidR="003555C9" w:rsidRPr="003555C9" w:rsidTr="00BA525B">
        <w:trPr>
          <w:trHeight w:val="24"/>
        </w:trPr>
        <w:tc>
          <w:tcPr>
            <w:tcW w:w="5598" w:type="dxa"/>
          </w:tcPr>
          <w:p w:rsidR="003555C9" w:rsidRPr="003555C9" w:rsidRDefault="003555C9" w:rsidP="003555C9">
            <w:r w:rsidRPr="003555C9">
              <w:t>Develop specifications for hub</w:t>
            </w:r>
          </w:p>
        </w:tc>
        <w:tc>
          <w:tcPr>
            <w:tcW w:w="0" w:type="auto"/>
            <w:vAlign w:val="center"/>
          </w:tcPr>
          <w:p w:rsidR="003555C9" w:rsidRPr="003555C9" w:rsidRDefault="003555C9" w:rsidP="00BA525B">
            <w:r w:rsidRPr="003555C9">
              <w:t>Completed</w:t>
            </w:r>
          </w:p>
        </w:tc>
      </w:tr>
      <w:tr w:rsidR="003555C9" w:rsidRPr="003555C9" w:rsidTr="00BA525B">
        <w:trPr>
          <w:trHeight w:val="24"/>
        </w:trPr>
        <w:tc>
          <w:tcPr>
            <w:tcW w:w="5598" w:type="dxa"/>
          </w:tcPr>
          <w:p w:rsidR="003555C9" w:rsidRPr="003555C9" w:rsidRDefault="003555C9" w:rsidP="003555C9">
            <w:r w:rsidRPr="003555C9">
              <w:t>Build hub</w:t>
            </w:r>
          </w:p>
        </w:tc>
        <w:tc>
          <w:tcPr>
            <w:tcW w:w="0" w:type="auto"/>
            <w:vAlign w:val="center"/>
          </w:tcPr>
          <w:p w:rsidR="003555C9" w:rsidRPr="003555C9" w:rsidRDefault="003555C9" w:rsidP="00BA525B">
            <w:r w:rsidRPr="003555C9">
              <w:t>3rd Quarter 2017</w:t>
            </w:r>
          </w:p>
        </w:tc>
      </w:tr>
      <w:tr w:rsidR="003555C9" w:rsidRPr="003555C9" w:rsidTr="00BA525B">
        <w:trPr>
          <w:trHeight w:val="528"/>
        </w:trPr>
        <w:tc>
          <w:tcPr>
            <w:tcW w:w="5598" w:type="dxa"/>
          </w:tcPr>
          <w:p w:rsidR="003555C9" w:rsidRPr="003555C9" w:rsidRDefault="003555C9" w:rsidP="003555C9">
            <w:r w:rsidRPr="003555C9">
              <w:t>Develop support documentation for connecting to hub</w:t>
            </w:r>
          </w:p>
        </w:tc>
        <w:tc>
          <w:tcPr>
            <w:tcW w:w="0" w:type="auto"/>
            <w:vAlign w:val="center"/>
          </w:tcPr>
          <w:p w:rsidR="003555C9" w:rsidRPr="003555C9" w:rsidRDefault="003555C9" w:rsidP="00BA525B">
            <w:r w:rsidRPr="003555C9">
              <w:t>Late 2nd Quarter or early 3rd Quarter 2017</w:t>
            </w:r>
          </w:p>
        </w:tc>
      </w:tr>
      <w:tr w:rsidR="003555C9" w:rsidRPr="003555C9" w:rsidTr="00BA525B">
        <w:trPr>
          <w:trHeight w:val="24"/>
        </w:trPr>
        <w:tc>
          <w:tcPr>
            <w:tcW w:w="5598" w:type="dxa"/>
          </w:tcPr>
          <w:p w:rsidR="003555C9" w:rsidRPr="003555C9" w:rsidRDefault="003555C9" w:rsidP="003555C9">
            <w:r w:rsidRPr="003555C9">
              <w:t>Develop specifications for hub</w:t>
            </w:r>
          </w:p>
        </w:tc>
        <w:tc>
          <w:tcPr>
            <w:tcW w:w="0" w:type="auto"/>
            <w:shd w:val="clear" w:color="auto" w:fill="92D050"/>
            <w:vAlign w:val="center"/>
          </w:tcPr>
          <w:p w:rsidR="003555C9" w:rsidRPr="003555C9" w:rsidRDefault="003555C9" w:rsidP="00BA525B">
            <w:r w:rsidRPr="003555C9">
              <w:t>Completed</w:t>
            </w:r>
          </w:p>
        </w:tc>
      </w:tr>
      <w:tr w:rsidR="003555C9" w:rsidRPr="003555C9" w:rsidTr="00BA525B">
        <w:trPr>
          <w:trHeight w:val="528"/>
        </w:trPr>
        <w:tc>
          <w:tcPr>
            <w:tcW w:w="5598" w:type="dxa"/>
          </w:tcPr>
          <w:p w:rsidR="003555C9" w:rsidRPr="003555C9" w:rsidRDefault="003555C9" w:rsidP="003555C9">
            <w:r w:rsidRPr="003555C9">
              <w:t>Build hub</w:t>
            </w:r>
          </w:p>
        </w:tc>
        <w:tc>
          <w:tcPr>
            <w:tcW w:w="0" w:type="auto"/>
            <w:vAlign w:val="center"/>
          </w:tcPr>
          <w:p w:rsidR="003555C9" w:rsidRPr="003555C9" w:rsidRDefault="003555C9" w:rsidP="00BA525B">
            <w:r w:rsidRPr="003555C9">
              <w:t>3rd Quarter 2017</w:t>
            </w:r>
          </w:p>
        </w:tc>
      </w:tr>
      <w:tr w:rsidR="003555C9" w:rsidRPr="003555C9" w:rsidTr="00BA525B">
        <w:trPr>
          <w:trHeight w:val="528"/>
        </w:trPr>
        <w:tc>
          <w:tcPr>
            <w:tcW w:w="5598" w:type="dxa"/>
          </w:tcPr>
          <w:p w:rsidR="003555C9" w:rsidRPr="003555C9" w:rsidRDefault="003555C9" w:rsidP="003555C9">
            <w:r w:rsidRPr="003555C9">
              <w:lastRenderedPageBreak/>
              <w:t>Develop support documentation for connecting to hub</w:t>
            </w:r>
          </w:p>
        </w:tc>
        <w:tc>
          <w:tcPr>
            <w:tcW w:w="0" w:type="auto"/>
            <w:vAlign w:val="center"/>
          </w:tcPr>
          <w:p w:rsidR="003555C9" w:rsidRPr="003555C9" w:rsidRDefault="003555C9" w:rsidP="00BA525B">
            <w:r w:rsidRPr="003555C9">
              <w:t>Late 2nd Quarter or early 3rd Quarter 2017</w:t>
            </w:r>
          </w:p>
        </w:tc>
      </w:tr>
      <w:tr w:rsidR="003555C9" w:rsidRPr="003555C9" w:rsidTr="00BA525B">
        <w:trPr>
          <w:trHeight w:val="48"/>
        </w:trPr>
        <w:tc>
          <w:tcPr>
            <w:tcW w:w="5598" w:type="dxa"/>
          </w:tcPr>
          <w:p w:rsidR="003555C9" w:rsidRPr="003555C9" w:rsidRDefault="003555C9" w:rsidP="003555C9">
            <w:r w:rsidRPr="003555C9">
              <w:t>Establish pilot evaluation criteria</w:t>
            </w:r>
          </w:p>
        </w:tc>
        <w:tc>
          <w:tcPr>
            <w:tcW w:w="0" w:type="auto"/>
            <w:shd w:val="clear" w:color="auto" w:fill="FFFF00"/>
            <w:vAlign w:val="center"/>
          </w:tcPr>
          <w:p w:rsidR="003555C9" w:rsidRPr="003555C9" w:rsidRDefault="003555C9" w:rsidP="00BA525B">
            <w:r w:rsidRPr="003555C9">
              <w:t>Underway</w:t>
            </w:r>
          </w:p>
        </w:tc>
      </w:tr>
      <w:tr w:rsidR="003555C9" w:rsidRPr="003555C9" w:rsidTr="00BA525B">
        <w:trPr>
          <w:trHeight w:val="48"/>
        </w:trPr>
        <w:tc>
          <w:tcPr>
            <w:tcW w:w="5598" w:type="dxa"/>
          </w:tcPr>
          <w:p w:rsidR="003555C9" w:rsidRPr="003555C9" w:rsidRDefault="003555C9" w:rsidP="003555C9">
            <w:r w:rsidRPr="003555C9">
              <w:t>Pilot of hub</w:t>
            </w:r>
          </w:p>
        </w:tc>
        <w:tc>
          <w:tcPr>
            <w:tcW w:w="0" w:type="auto"/>
            <w:vAlign w:val="center"/>
          </w:tcPr>
          <w:p w:rsidR="003555C9" w:rsidRPr="003555C9" w:rsidRDefault="003555C9" w:rsidP="00BA525B">
            <w:r w:rsidRPr="003555C9">
              <w:t>3rd or 4th Quarter 2017</w:t>
            </w:r>
          </w:p>
        </w:tc>
      </w:tr>
      <w:tr w:rsidR="003555C9" w:rsidRPr="003555C9" w:rsidTr="00BA525B">
        <w:trPr>
          <w:trHeight w:val="98"/>
        </w:trPr>
        <w:tc>
          <w:tcPr>
            <w:tcW w:w="5598" w:type="dxa"/>
          </w:tcPr>
          <w:p w:rsidR="003555C9" w:rsidRPr="003555C9" w:rsidRDefault="003555C9" w:rsidP="003555C9">
            <w:r w:rsidRPr="003555C9">
              <w:t xml:space="preserve">Pilot of </w:t>
            </w:r>
            <w:proofErr w:type="spellStart"/>
            <w:r w:rsidRPr="003555C9">
              <w:t>GeNS</w:t>
            </w:r>
            <w:proofErr w:type="spellEnd"/>
          </w:p>
        </w:tc>
        <w:tc>
          <w:tcPr>
            <w:tcW w:w="0" w:type="auto"/>
            <w:vAlign w:val="center"/>
          </w:tcPr>
          <w:p w:rsidR="003555C9" w:rsidRPr="003555C9" w:rsidRDefault="003555C9" w:rsidP="00BA525B">
            <w:r w:rsidRPr="003555C9">
              <w:t>Early 2018</w:t>
            </w:r>
          </w:p>
        </w:tc>
      </w:tr>
      <w:tr w:rsidR="003555C9" w:rsidRPr="003555C9" w:rsidTr="00BA525B">
        <w:trPr>
          <w:trHeight w:val="98"/>
        </w:trPr>
        <w:tc>
          <w:tcPr>
            <w:tcW w:w="5598" w:type="dxa"/>
          </w:tcPr>
          <w:p w:rsidR="003555C9" w:rsidRPr="003555C9" w:rsidRDefault="003555C9" w:rsidP="003555C9">
            <w:r w:rsidRPr="003555C9">
              <w:t>Evaluation of hub pilot</w:t>
            </w:r>
          </w:p>
        </w:tc>
        <w:tc>
          <w:tcPr>
            <w:tcW w:w="0" w:type="auto"/>
            <w:vMerge w:val="restart"/>
            <w:vAlign w:val="center"/>
          </w:tcPr>
          <w:p w:rsidR="003555C9" w:rsidRPr="003555C9" w:rsidRDefault="003555C9" w:rsidP="00BA525B">
            <w:r w:rsidRPr="003555C9">
              <w:t>2018</w:t>
            </w:r>
          </w:p>
        </w:tc>
      </w:tr>
      <w:tr w:rsidR="003555C9" w:rsidRPr="003555C9" w:rsidTr="00BA525B">
        <w:trPr>
          <w:trHeight w:val="98"/>
        </w:trPr>
        <w:tc>
          <w:tcPr>
            <w:tcW w:w="5598" w:type="dxa"/>
          </w:tcPr>
          <w:p w:rsidR="003555C9" w:rsidRPr="003555C9" w:rsidRDefault="003555C9" w:rsidP="003555C9">
            <w:r w:rsidRPr="003555C9">
              <w:t xml:space="preserve">Evaluation of </w:t>
            </w:r>
            <w:proofErr w:type="spellStart"/>
            <w:r w:rsidRPr="003555C9">
              <w:t>GeNS</w:t>
            </w:r>
            <w:proofErr w:type="spellEnd"/>
            <w:r w:rsidRPr="003555C9">
              <w:t xml:space="preserve"> pilot</w:t>
            </w:r>
          </w:p>
        </w:tc>
        <w:tc>
          <w:tcPr>
            <w:tcW w:w="0" w:type="auto"/>
            <w:vMerge/>
            <w:vAlign w:val="center"/>
          </w:tcPr>
          <w:p w:rsidR="003555C9" w:rsidRPr="003555C9" w:rsidRDefault="003555C9" w:rsidP="00BA525B"/>
        </w:tc>
      </w:tr>
      <w:tr w:rsidR="003555C9" w:rsidRPr="003555C9" w:rsidTr="00BA525B">
        <w:trPr>
          <w:trHeight w:val="98"/>
        </w:trPr>
        <w:tc>
          <w:tcPr>
            <w:tcW w:w="5598" w:type="dxa"/>
          </w:tcPr>
          <w:p w:rsidR="003555C9" w:rsidRPr="003555C9" w:rsidRDefault="003555C9" w:rsidP="003555C9">
            <w:r w:rsidRPr="003555C9">
              <w:t>Inventory of available tools</w:t>
            </w:r>
          </w:p>
        </w:tc>
        <w:tc>
          <w:tcPr>
            <w:tcW w:w="0" w:type="auto"/>
            <w:shd w:val="clear" w:color="auto" w:fill="92D050"/>
            <w:vAlign w:val="center"/>
          </w:tcPr>
          <w:p w:rsidR="003555C9" w:rsidRPr="003555C9" w:rsidRDefault="003555C9" w:rsidP="00BA525B">
            <w:r w:rsidRPr="003555C9">
              <w:t>Completed</w:t>
            </w:r>
          </w:p>
        </w:tc>
      </w:tr>
      <w:tr w:rsidR="003555C9" w:rsidRPr="003555C9" w:rsidTr="00BA525B">
        <w:trPr>
          <w:trHeight w:val="98"/>
        </w:trPr>
        <w:tc>
          <w:tcPr>
            <w:tcW w:w="5598" w:type="dxa"/>
          </w:tcPr>
          <w:p w:rsidR="003555C9" w:rsidRPr="003555C9" w:rsidRDefault="00BA525B" w:rsidP="003555C9">
            <w:r>
              <w:t>Capacity building</w:t>
            </w:r>
            <w:r w:rsidRPr="00BA525B">
              <w:t>/business adaptation</w:t>
            </w:r>
            <w:r>
              <w:t xml:space="preserve"> n</w:t>
            </w:r>
            <w:r w:rsidR="003555C9" w:rsidRPr="003555C9">
              <w:t>eeds assessment</w:t>
            </w:r>
          </w:p>
        </w:tc>
        <w:tc>
          <w:tcPr>
            <w:tcW w:w="0" w:type="auto"/>
            <w:shd w:val="clear" w:color="auto" w:fill="FFFF00"/>
            <w:vAlign w:val="center"/>
          </w:tcPr>
          <w:p w:rsidR="003555C9" w:rsidRPr="003555C9" w:rsidRDefault="003555C9" w:rsidP="00BA525B">
            <w:r w:rsidRPr="003555C9">
              <w:t>Project planning underway</w:t>
            </w:r>
          </w:p>
        </w:tc>
      </w:tr>
      <w:tr w:rsidR="003555C9" w:rsidRPr="003555C9" w:rsidTr="00BA525B">
        <w:trPr>
          <w:trHeight w:val="528"/>
        </w:trPr>
        <w:tc>
          <w:tcPr>
            <w:tcW w:w="5598" w:type="dxa"/>
          </w:tcPr>
          <w:p w:rsidR="003555C9" w:rsidRPr="003555C9" w:rsidRDefault="003555C9" w:rsidP="003555C9">
            <w:r w:rsidRPr="003555C9">
              <w:t xml:space="preserve">Development of </w:t>
            </w:r>
            <w:r w:rsidR="00BA525B">
              <w:t xml:space="preserve">capacity development/business adaptation </w:t>
            </w:r>
            <w:r w:rsidRPr="003555C9">
              <w:t>tools</w:t>
            </w:r>
          </w:p>
        </w:tc>
        <w:tc>
          <w:tcPr>
            <w:tcW w:w="0" w:type="auto"/>
            <w:vAlign w:val="center"/>
          </w:tcPr>
          <w:p w:rsidR="003555C9" w:rsidRPr="003555C9" w:rsidRDefault="003555C9" w:rsidP="00BA525B">
            <w:r w:rsidRPr="003555C9">
              <w:t>Preliminary work underway with several countries (Ghana, Samoa and Sri Lanka)</w:t>
            </w:r>
          </w:p>
        </w:tc>
      </w:tr>
      <w:tr w:rsidR="003555C9" w:rsidRPr="003555C9" w:rsidTr="00BA525B">
        <w:trPr>
          <w:trHeight w:val="48"/>
        </w:trPr>
        <w:tc>
          <w:tcPr>
            <w:tcW w:w="5598" w:type="dxa"/>
          </w:tcPr>
          <w:p w:rsidR="003555C9" w:rsidRPr="003555C9" w:rsidRDefault="003555C9" w:rsidP="003555C9">
            <w:r w:rsidRPr="003555C9">
              <w:t>Field testing</w:t>
            </w:r>
            <w:r w:rsidR="00BA525B">
              <w:t xml:space="preserve"> of the tools</w:t>
            </w:r>
          </w:p>
        </w:tc>
        <w:tc>
          <w:tcPr>
            <w:tcW w:w="0" w:type="auto"/>
            <w:vAlign w:val="center"/>
          </w:tcPr>
          <w:p w:rsidR="003555C9" w:rsidRPr="003555C9" w:rsidRDefault="003555C9" w:rsidP="00BA525B">
            <w:r w:rsidRPr="003555C9">
              <w:t>Late 2017-2018</w:t>
            </w:r>
          </w:p>
        </w:tc>
      </w:tr>
      <w:tr w:rsidR="00BA525B" w:rsidRPr="003555C9" w:rsidTr="00BA525B">
        <w:trPr>
          <w:trHeight w:val="224"/>
        </w:trPr>
        <w:tc>
          <w:tcPr>
            <w:tcW w:w="5598" w:type="dxa"/>
          </w:tcPr>
          <w:p w:rsidR="003555C9" w:rsidRPr="003555C9" w:rsidRDefault="003555C9" w:rsidP="003555C9">
            <w:r w:rsidRPr="003555C9">
              <w:t>Finalization of tools development</w:t>
            </w:r>
          </w:p>
        </w:tc>
        <w:tc>
          <w:tcPr>
            <w:tcW w:w="0" w:type="auto"/>
            <w:vAlign w:val="center"/>
          </w:tcPr>
          <w:p w:rsidR="003555C9" w:rsidRPr="003555C9" w:rsidRDefault="003555C9" w:rsidP="00BA525B">
            <w:r w:rsidRPr="003555C9">
              <w:t>2018</w:t>
            </w:r>
          </w:p>
        </w:tc>
      </w:tr>
      <w:tr w:rsidR="003555C9" w:rsidRPr="003555C9" w:rsidTr="00BA525B">
        <w:trPr>
          <w:trHeight w:val="260"/>
        </w:trPr>
        <w:tc>
          <w:tcPr>
            <w:tcW w:w="5598" w:type="dxa"/>
            <w:hideMark/>
          </w:tcPr>
          <w:p w:rsidR="003555C9" w:rsidRPr="003555C9" w:rsidRDefault="003555C9" w:rsidP="003555C9">
            <w:r w:rsidRPr="003555C9">
              <w:t xml:space="preserve">Establishment of contractor to assist with assessment of </w:t>
            </w:r>
            <w:r w:rsidR="00BA525B">
              <w:t xml:space="preserve">business modelling </w:t>
            </w:r>
            <w:r w:rsidRPr="003555C9">
              <w:t>options</w:t>
            </w:r>
          </w:p>
        </w:tc>
        <w:tc>
          <w:tcPr>
            <w:tcW w:w="0" w:type="auto"/>
            <w:shd w:val="clear" w:color="auto" w:fill="FFFF00"/>
            <w:vAlign w:val="center"/>
            <w:hideMark/>
          </w:tcPr>
          <w:p w:rsidR="003555C9" w:rsidRPr="003555C9" w:rsidRDefault="003555C9" w:rsidP="00BA525B">
            <w:r w:rsidRPr="003555C9">
              <w:t>Selection process underway</w:t>
            </w:r>
          </w:p>
        </w:tc>
      </w:tr>
      <w:tr w:rsidR="003555C9" w:rsidRPr="003555C9" w:rsidTr="00BA525B">
        <w:trPr>
          <w:trHeight w:val="48"/>
        </w:trPr>
        <w:tc>
          <w:tcPr>
            <w:tcW w:w="5598" w:type="dxa"/>
            <w:hideMark/>
          </w:tcPr>
          <w:p w:rsidR="003555C9" w:rsidRPr="003555C9" w:rsidRDefault="003555C9" w:rsidP="00BA525B">
            <w:r w:rsidRPr="003555C9">
              <w:t xml:space="preserve">Scoping of </w:t>
            </w:r>
            <w:r w:rsidR="00BA525B">
              <w:t>options used by other organizations to support operation</w:t>
            </w:r>
          </w:p>
        </w:tc>
        <w:tc>
          <w:tcPr>
            <w:tcW w:w="0" w:type="auto"/>
            <w:vMerge w:val="restart"/>
            <w:vAlign w:val="center"/>
            <w:hideMark/>
          </w:tcPr>
          <w:p w:rsidR="003555C9" w:rsidRPr="003555C9" w:rsidRDefault="003555C9" w:rsidP="00BA525B">
            <w:r w:rsidRPr="003555C9">
              <w:t>2nd  Quarter 2017</w:t>
            </w:r>
          </w:p>
        </w:tc>
      </w:tr>
      <w:tr w:rsidR="003555C9" w:rsidRPr="003555C9" w:rsidTr="00BA525B">
        <w:trPr>
          <w:trHeight w:val="89"/>
        </w:trPr>
        <w:tc>
          <w:tcPr>
            <w:tcW w:w="5598" w:type="dxa"/>
            <w:hideMark/>
          </w:tcPr>
          <w:p w:rsidR="003555C9" w:rsidRPr="003555C9" w:rsidRDefault="003555C9" w:rsidP="003555C9">
            <w:r w:rsidRPr="003555C9">
              <w:t>Develop criteria for evaluation of costs of operation</w:t>
            </w:r>
          </w:p>
        </w:tc>
        <w:tc>
          <w:tcPr>
            <w:tcW w:w="0" w:type="auto"/>
            <w:vMerge/>
            <w:vAlign w:val="center"/>
            <w:hideMark/>
          </w:tcPr>
          <w:p w:rsidR="003555C9" w:rsidRPr="003555C9" w:rsidRDefault="003555C9" w:rsidP="00BA525B"/>
        </w:tc>
      </w:tr>
      <w:tr w:rsidR="003555C9" w:rsidRPr="003555C9" w:rsidTr="00BA525B">
        <w:trPr>
          <w:trHeight w:val="269"/>
        </w:trPr>
        <w:tc>
          <w:tcPr>
            <w:tcW w:w="5598" w:type="dxa"/>
            <w:hideMark/>
          </w:tcPr>
          <w:p w:rsidR="003555C9" w:rsidRPr="003555C9" w:rsidRDefault="003555C9" w:rsidP="003555C9">
            <w:r w:rsidRPr="003555C9">
              <w:t xml:space="preserve">Establishment of expert consultation on </w:t>
            </w:r>
            <w:r w:rsidR="00BA525B">
              <w:t xml:space="preserve">business modelling </w:t>
            </w:r>
            <w:r w:rsidRPr="003555C9">
              <w:t>options assessment</w:t>
            </w:r>
          </w:p>
        </w:tc>
        <w:tc>
          <w:tcPr>
            <w:tcW w:w="0" w:type="auto"/>
            <w:vMerge w:val="restart"/>
            <w:vAlign w:val="center"/>
            <w:hideMark/>
          </w:tcPr>
          <w:p w:rsidR="003555C9" w:rsidRPr="003555C9" w:rsidRDefault="003555C9" w:rsidP="00BA525B">
            <w:r w:rsidRPr="003555C9">
              <w:t>3rd/4th Quarter 2017</w:t>
            </w:r>
          </w:p>
        </w:tc>
      </w:tr>
      <w:tr w:rsidR="003555C9" w:rsidRPr="003555C9" w:rsidTr="00BA525B">
        <w:trPr>
          <w:trHeight w:val="107"/>
        </w:trPr>
        <w:tc>
          <w:tcPr>
            <w:tcW w:w="5598" w:type="dxa"/>
            <w:hideMark/>
          </w:tcPr>
          <w:p w:rsidR="003555C9" w:rsidRPr="003555C9" w:rsidRDefault="003555C9" w:rsidP="003555C9">
            <w:r w:rsidRPr="003555C9">
              <w:t xml:space="preserve">Establishment of pilot evaluation criteria </w:t>
            </w:r>
          </w:p>
        </w:tc>
        <w:tc>
          <w:tcPr>
            <w:tcW w:w="0" w:type="auto"/>
            <w:vMerge/>
            <w:vAlign w:val="center"/>
            <w:hideMark/>
          </w:tcPr>
          <w:p w:rsidR="003555C9" w:rsidRPr="003555C9" w:rsidRDefault="003555C9" w:rsidP="00BA525B"/>
        </w:tc>
      </w:tr>
      <w:tr w:rsidR="003555C9" w:rsidRPr="003555C9" w:rsidTr="00BA525B">
        <w:trPr>
          <w:trHeight w:val="206"/>
        </w:trPr>
        <w:tc>
          <w:tcPr>
            <w:tcW w:w="5598" w:type="dxa"/>
            <w:hideMark/>
          </w:tcPr>
          <w:p w:rsidR="003555C9" w:rsidRPr="003555C9" w:rsidRDefault="003555C9" w:rsidP="003555C9">
            <w:r w:rsidRPr="003555C9">
              <w:t>Development of options document for CPM</w:t>
            </w:r>
          </w:p>
        </w:tc>
        <w:tc>
          <w:tcPr>
            <w:tcW w:w="0" w:type="auto"/>
            <w:vAlign w:val="center"/>
            <w:hideMark/>
          </w:tcPr>
          <w:p w:rsidR="003555C9" w:rsidRPr="003555C9" w:rsidRDefault="003555C9" w:rsidP="00BA525B">
            <w:r w:rsidRPr="003555C9">
              <w:t>2018</w:t>
            </w:r>
          </w:p>
        </w:tc>
      </w:tr>
    </w:tbl>
    <w:p w:rsidR="003555C9" w:rsidRDefault="003555C9"/>
    <w:sectPr w:rsidR="003555C9" w:rsidSect="00326F74">
      <w:type w:val="continuous"/>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B38176C"/>
    <w:lvl w:ilvl="0">
      <w:numFmt w:val="bullet"/>
      <w:lvlText w:val="*"/>
      <w:lvlJc w:val="left"/>
    </w:lvl>
  </w:abstractNum>
  <w:abstractNum w:abstractNumId="1">
    <w:nsid w:val="069C398D"/>
    <w:multiLevelType w:val="hybridMultilevel"/>
    <w:tmpl w:val="89F2AB0A"/>
    <w:lvl w:ilvl="0" w:tplc="31CE1FD8">
      <w:start w:val="1"/>
      <w:numFmt w:val="bullet"/>
      <w:lvlText w:val="̵"/>
      <w:lvlJc w:val="left"/>
      <w:pPr>
        <w:ind w:left="1440" w:hanging="360"/>
      </w:pPr>
      <w:rPr>
        <w:rFonts w:ascii="Courier New" w:hAnsi="Courier New" w:hint="default"/>
        <w:sz w:val="22"/>
      </w:rPr>
    </w:lvl>
    <w:lvl w:ilvl="1" w:tplc="10090003" w:tentative="1">
      <w:start w:val="1"/>
      <w:numFmt w:val="bullet"/>
      <w:lvlText w:val="o"/>
      <w:lvlJc w:val="left"/>
      <w:pPr>
        <w:ind w:left="2160" w:hanging="360"/>
      </w:pPr>
      <w:rPr>
        <w:rFonts w:ascii="Courier New" w:hAnsi="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
    <w:nsid w:val="0E0B79E1"/>
    <w:multiLevelType w:val="hybridMultilevel"/>
    <w:tmpl w:val="DF0E954A"/>
    <w:lvl w:ilvl="0" w:tplc="1009000F">
      <w:start w:val="1"/>
      <w:numFmt w:val="decimal"/>
      <w:lvlText w:val="%1."/>
      <w:lvlJc w:val="left"/>
      <w:pPr>
        <w:ind w:left="720" w:hanging="360"/>
      </w:pPr>
      <w:rPr>
        <w:rFonts w:cs="Times New Roman"/>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3">
    <w:nsid w:val="2B2D11BC"/>
    <w:multiLevelType w:val="hybridMultilevel"/>
    <w:tmpl w:val="F4AC0CF8"/>
    <w:lvl w:ilvl="0" w:tplc="1009000F">
      <w:start w:val="1"/>
      <w:numFmt w:val="decimal"/>
      <w:lvlText w:val="%1."/>
      <w:lvlJc w:val="left"/>
      <w:pPr>
        <w:ind w:left="720" w:hanging="360"/>
      </w:pPr>
      <w:rPr>
        <w:rFonts w:cs="Times New Roman"/>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4">
    <w:nsid w:val="414421E3"/>
    <w:multiLevelType w:val="hybridMultilevel"/>
    <w:tmpl w:val="69822242"/>
    <w:lvl w:ilvl="0" w:tplc="1009000F">
      <w:start w:val="1"/>
      <w:numFmt w:val="decimal"/>
      <w:lvlText w:val="%1."/>
      <w:lvlJc w:val="left"/>
      <w:pPr>
        <w:ind w:left="360" w:hanging="360"/>
      </w:pPr>
      <w:rPr>
        <w:rFonts w:cs="Times New Roman"/>
      </w:rPr>
    </w:lvl>
    <w:lvl w:ilvl="1" w:tplc="10090019" w:tentative="1">
      <w:start w:val="1"/>
      <w:numFmt w:val="lowerLetter"/>
      <w:lvlText w:val="%2."/>
      <w:lvlJc w:val="left"/>
      <w:pPr>
        <w:ind w:left="1080" w:hanging="360"/>
      </w:pPr>
      <w:rPr>
        <w:rFonts w:cs="Times New Roman"/>
      </w:rPr>
    </w:lvl>
    <w:lvl w:ilvl="2" w:tplc="1009001B" w:tentative="1">
      <w:start w:val="1"/>
      <w:numFmt w:val="lowerRoman"/>
      <w:lvlText w:val="%3."/>
      <w:lvlJc w:val="right"/>
      <w:pPr>
        <w:ind w:left="1800" w:hanging="180"/>
      </w:pPr>
      <w:rPr>
        <w:rFonts w:cs="Times New Roman"/>
      </w:rPr>
    </w:lvl>
    <w:lvl w:ilvl="3" w:tplc="1009000F" w:tentative="1">
      <w:start w:val="1"/>
      <w:numFmt w:val="decimal"/>
      <w:lvlText w:val="%4."/>
      <w:lvlJc w:val="left"/>
      <w:pPr>
        <w:ind w:left="2520" w:hanging="360"/>
      </w:pPr>
      <w:rPr>
        <w:rFonts w:cs="Times New Roman"/>
      </w:rPr>
    </w:lvl>
    <w:lvl w:ilvl="4" w:tplc="10090019" w:tentative="1">
      <w:start w:val="1"/>
      <w:numFmt w:val="lowerLetter"/>
      <w:lvlText w:val="%5."/>
      <w:lvlJc w:val="left"/>
      <w:pPr>
        <w:ind w:left="3240" w:hanging="360"/>
      </w:pPr>
      <w:rPr>
        <w:rFonts w:cs="Times New Roman"/>
      </w:rPr>
    </w:lvl>
    <w:lvl w:ilvl="5" w:tplc="1009001B" w:tentative="1">
      <w:start w:val="1"/>
      <w:numFmt w:val="lowerRoman"/>
      <w:lvlText w:val="%6."/>
      <w:lvlJc w:val="right"/>
      <w:pPr>
        <w:ind w:left="3960" w:hanging="180"/>
      </w:pPr>
      <w:rPr>
        <w:rFonts w:cs="Times New Roman"/>
      </w:rPr>
    </w:lvl>
    <w:lvl w:ilvl="6" w:tplc="1009000F" w:tentative="1">
      <w:start w:val="1"/>
      <w:numFmt w:val="decimal"/>
      <w:lvlText w:val="%7."/>
      <w:lvlJc w:val="left"/>
      <w:pPr>
        <w:ind w:left="4680" w:hanging="360"/>
      </w:pPr>
      <w:rPr>
        <w:rFonts w:cs="Times New Roman"/>
      </w:rPr>
    </w:lvl>
    <w:lvl w:ilvl="7" w:tplc="10090019" w:tentative="1">
      <w:start w:val="1"/>
      <w:numFmt w:val="lowerLetter"/>
      <w:lvlText w:val="%8."/>
      <w:lvlJc w:val="left"/>
      <w:pPr>
        <w:ind w:left="5400" w:hanging="360"/>
      </w:pPr>
      <w:rPr>
        <w:rFonts w:cs="Times New Roman"/>
      </w:rPr>
    </w:lvl>
    <w:lvl w:ilvl="8" w:tplc="1009001B" w:tentative="1">
      <w:start w:val="1"/>
      <w:numFmt w:val="lowerRoman"/>
      <w:lvlText w:val="%9."/>
      <w:lvlJc w:val="right"/>
      <w:pPr>
        <w:ind w:left="6120" w:hanging="180"/>
      </w:pPr>
      <w:rPr>
        <w:rFonts w:cs="Times New Roman"/>
      </w:rPr>
    </w:lvl>
  </w:abstractNum>
  <w:abstractNum w:abstractNumId="5">
    <w:nsid w:val="421031EF"/>
    <w:multiLevelType w:val="hybridMultilevel"/>
    <w:tmpl w:val="A948DAB8"/>
    <w:lvl w:ilvl="0" w:tplc="E696C3D6">
      <w:start w:val="1"/>
      <w:numFmt w:val="bullet"/>
      <w:lvlText w:val="-"/>
      <w:lvlJc w:val="left"/>
      <w:pPr>
        <w:ind w:left="1440" w:hanging="360"/>
      </w:pPr>
      <w:rPr>
        <w:rFonts w:ascii="Courier New" w:hAnsi="Courier New" w:hint="default"/>
        <w:sz w:val="22"/>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5051673A"/>
    <w:multiLevelType w:val="hybridMultilevel"/>
    <w:tmpl w:val="CE58A8FA"/>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7">
    <w:nsid w:val="5C8F1906"/>
    <w:multiLevelType w:val="hybridMultilevel"/>
    <w:tmpl w:val="9350C78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6C2B7BB4"/>
    <w:multiLevelType w:val="hybridMultilevel"/>
    <w:tmpl w:val="F66E928C"/>
    <w:lvl w:ilvl="0" w:tplc="1009000F">
      <w:start w:val="1"/>
      <w:numFmt w:val="decimal"/>
      <w:lvlText w:val="%1."/>
      <w:lvlJc w:val="left"/>
      <w:pPr>
        <w:ind w:left="360" w:hanging="360"/>
      </w:pPr>
      <w:rPr>
        <w:rFonts w:cs="Times New Roman"/>
      </w:rPr>
    </w:lvl>
    <w:lvl w:ilvl="1" w:tplc="10090019" w:tentative="1">
      <w:start w:val="1"/>
      <w:numFmt w:val="lowerLetter"/>
      <w:lvlText w:val="%2."/>
      <w:lvlJc w:val="left"/>
      <w:pPr>
        <w:ind w:left="1080" w:hanging="360"/>
      </w:pPr>
      <w:rPr>
        <w:rFonts w:cs="Times New Roman"/>
      </w:rPr>
    </w:lvl>
    <w:lvl w:ilvl="2" w:tplc="1009001B" w:tentative="1">
      <w:start w:val="1"/>
      <w:numFmt w:val="lowerRoman"/>
      <w:lvlText w:val="%3."/>
      <w:lvlJc w:val="right"/>
      <w:pPr>
        <w:ind w:left="1800" w:hanging="180"/>
      </w:pPr>
      <w:rPr>
        <w:rFonts w:cs="Times New Roman"/>
      </w:rPr>
    </w:lvl>
    <w:lvl w:ilvl="3" w:tplc="1009000F" w:tentative="1">
      <w:start w:val="1"/>
      <w:numFmt w:val="decimal"/>
      <w:lvlText w:val="%4."/>
      <w:lvlJc w:val="left"/>
      <w:pPr>
        <w:ind w:left="2520" w:hanging="360"/>
      </w:pPr>
      <w:rPr>
        <w:rFonts w:cs="Times New Roman"/>
      </w:rPr>
    </w:lvl>
    <w:lvl w:ilvl="4" w:tplc="10090019" w:tentative="1">
      <w:start w:val="1"/>
      <w:numFmt w:val="lowerLetter"/>
      <w:lvlText w:val="%5."/>
      <w:lvlJc w:val="left"/>
      <w:pPr>
        <w:ind w:left="3240" w:hanging="360"/>
      </w:pPr>
      <w:rPr>
        <w:rFonts w:cs="Times New Roman"/>
      </w:rPr>
    </w:lvl>
    <w:lvl w:ilvl="5" w:tplc="1009001B" w:tentative="1">
      <w:start w:val="1"/>
      <w:numFmt w:val="lowerRoman"/>
      <w:lvlText w:val="%6."/>
      <w:lvlJc w:val="right"/>
      <w:pPr>
        <w:ind w:left="3960" w:hanging="180"/>
      </w:pPr>
      <w:rPr>
        <w:rFonts w:cs="Times New Roman"/>
      </w:rPr>
    </w:lvl>
    <w:lvl w:ilvl="6" w:tplc="1009000F" w:tentative="1">
      <w:start w:val="1"/>
      <w:numFmt w:val="decimal"/>
      <w:lvlText w:val="%7."/>
      <w:lvlJc w:val="left"/>
      <w:pPr>
        <w:ind w:left="4680" w:hanging="360"/>
      </w:pPr>
      <w:rPr>
        <w:rFonts w:cs="Times New Roman"/>
      </w:rPr>
    </w:lvl>
    <w:lvl w:ilvl="7" w:tplc="10090019" w:tentative="1">
      <w:start w:val="1"/>
      <w:numFmt w:val="lowerLetter"/>
      <w:lvlText w:val="%8."/>
      <w:lvlJc w:val="left"/>
      <w:pPr>
        <w:ind w:left="5400" w:hanging="360"/>
      </w:pPr>
      <w:rPr>
        <w:rFonts w:cs="Times New Roman"/>
      </w:rPr>
    </w:lvl>
    <w:lvl w:ilvl="8" w:tplc="1009001B" w:tentative="1">
      <w:start w:val="1"/>
      <w:numFmt w:val="lowerRoman"/>
      <w:lvlText w:val="%9."/>
      <w:lvlJc w:val="right"/>
      <w:pPr>
        <w:ind w:left="6120" w:hanging="180"/>
      </w:pPr>
      <w:rPr>
        <w:rFonts w:cs="Times New Roman"/>
      </w:rPr>
    </w:lvl>
  </w:abstractNum>
  <w:abstractNum w:abstractNumId="9">
    <w:nsid w:val="74315FED"/>
    <w:multiLevelType w:val="hybridMultilevel"/>
    <w:tmpl w:val="0CF80400"/>
    <w:lvl w:ilvl="0" w:tplc="1009000F">
      <w:start w:val="1"/>
      <w:numFmt w:val="decimal"/>
      <w:lvlText w:val="%1."/>
      <w:lvlJc w:val="left"/>
      <w:pPr>
        <w:ind w:left="360" w:hanging="360"/>
      </w:pPr>
      <w:rPr>
        <w:rFonts w:cs="Times New Roman"/>
      </w:rPr>
    </w:lvl>
    <w:lvl w:ilvl="1" w:tplc="E696C3D6">
      <w:start w:val="1"/>
      <w:numFmt w:val="bullet"/>
      <w:lvlText w:val="-"/>
      <w:lvlJc w:val="left"/>
      <w:pPr>
        <w:ind w:left="1080" w:hanging="360"/>
      </w:pPr>
      <w:rPr>
        <w:rFonts w:ascii="Courier New" w:hAnsi="Courier New" w:hint="default"/>
        <w:sz w:val="22"/>
      </w:rPr>
    </w:lvl>
    <w:lvl w:ilvl="2" w:tplc="1009001B" w:tentative="1">
      <w:start w:val="1"/>
      <w:numFmt w:val="lowerRoman"/>
      <w:lvlText w:val="%3."/>
      <w:lvlJc w:val="right"/>
      <w:pPr>
        <w:ind w:left="1800" w:hanging="180"/>
      </w:pPr>
      <w:rPr>
        <w:rFonts w:cs="Times New Roman"/>
      </w:rPr>
    </w:lvl>
    <w:lvl w:ilvl="3" w:tplc="1009000F" w:tentative="1">
      <w:start w:val="1"/>
      <w:numFmt w:val="decimal"/>
      <w:lvlText w:val="%4."/>
      <w:lvlJc w:val="left"/>
      <w:pPr>
        <w:ind w:left="2520" w:hanging="360"/>
      </w:pPr>
      <w:rPr>
        <w:rFonts w:cs="Times New Roman"/>
      </w:rPr>
    </w:lvl>
    <w:lvl w:ilvl="4" w:tplc="10090019" w:tentative="1">
      <w:start w:val="1"/>
      <w:numFmt w:val="lowerLetter"/>
      <w:lvlText w:val="%5."/>
      <w:lvlJc w:val="left"/>
      <w:pPr>
        <w:ind w:left="3240" w:hanging="360"/>
      </w:pPr>
      <w:rPr>
        <w:rFonts w:cs="Times New Roman"/>
      </w:rPr>
    </w:lvl>
    <w:lvl w:ilvl="5" w:tplc="1009001B" w:tentative="1">
      <w:start w:val="1"/>
      <w:numFmt w:val="lowerRoman"/>
      <w:lvlText w:val="%6."/>
      <w:lvlJc w:val="right"/>
      <w:pPr>
        <w:ind w:left="3960" w:hanging="180"/>
      </w:pPr>
      <w:rPr>
        <w:rFonts w:cs="Times New Roman"/>
      </w:rPr>
    </w:lvl>
    <w:lvl w:ilvl="6" w:tplc="1009000F" w:tentative="1">
      <w:start w:val="1"/>
      <w:numFmt w:val="decimal"/>
      <w:lvlText w:val="%7."/>
      <w:lvlJc w:val="left"/>
      <w:pPr>
        <w:ind w:left="4680" w:hanging="360"/>
      </w:pPr>
      <w:rPr>
        <w:rFonts w:cs="Times New Roman"/>
      </w:rPr>
    </w:lvl>
    <w:lvl w:ilvl="7" w:tplc="10090019" w:tentative="1">
      <w:start w:val="1"/>
      <w:numFmt w:val="lowerLetter"/>
      <w:lvlText w:val="%8."/>
      <w:lvlJc w:val="left"/>
      <w:pPr>
        <w:ind w:left="5400" w:hanging="360"/>
      </w:pPr>
      <w:rPr>
        <w:rFonts w:cs="Times New Roman"/>
      </w:rPr>
    </w:lvl>
    <w:lvl w:ilvl="8" w:tplc="1009001B" w:tentative="1">
      <w:start w:val="1"/>
      <w:numFmt w:val="lowerRoman"/>
      <w:lvlText w:val="%9."/>
      <w:lvlJc w:val="right"/>
      <w:pPr>
        <w:ind w:left="6120" w:hanging="180"/>
      </w:pPr>
      <w:rPr>
        <w:rFonts w:cs="Times New Roman"/>
      </w:rPr>
    </w:lvl>
  </w:abstractNum>
  <w:num w:numId="1">
    <w:abstractNumId w:val="0"/>
    <w:lvlOverride w:ilvl="0">
      <w:lvl w:ilvl="0">
        <w:numFmt w:val="bullet"/>
        <w:lvlText w:val="•"/>
        <w:legacy w:legacy="1" w:legacySpace="0" w:legacyIndent="0"/>
        <w:lvlJc w:val="left"/>
        <w:rPr>
          <w:rFonts w:ascii="Arial" w:hAnsi="Arial" w:hint="default"/>
          <w:sz w:val="64"/>
        </w:rPr>
      </w:lvl>
    </w:lvlOverride>
  </w:num>
  <w:num w:numId="2">
    <w:abstractNumId w:val="0"/>
    <w:lvlOverride w:ilvl="0">
      <w:lvl w:ilvl="0">
        <w:numFmt w:val="bullet"/>
        <w:lvlText w:val="•"/>
        <w:legacy w:legacy="1" w:legacySpace="0" w:legacyIndent="0"/>
        <w:lvlJc w:val="left"/>
        <w:rPr>
          <w:rFonts w:ascii="Arial" w:hAnsi="Arial" w:hint="default"/>
          <w:sz w:val="56"/>
        </w:rPr>
      </w:lvl>
    </w:lvlOverride>
  </w:num>
  <w:num w:numId="3">
    <w:abstractNumId w:val="0"/>
    <w:lvlOverride w:ilvl="0">
      <w:lvl w:ilvl="0">
        <w:numFmt w:val="bullet"/>
        <w:lvlText w:val="•"/>
        <w:legacy w:legacy="1" w:legacySpace="0" w:legacyIndent="0"/>
        <w:lvlJc w:val="left"/>
        <w:rPr>
          <w:rFonts w:ascii="Arial" w:hAnsi="Arial" w:hint="default"/>
          <w:sz w:val="48"/>
        </w:rPr>
      </w:lvl>
    </w:lvlOverride>
  </w:num>
  <w:num w:numId="4">
    <w:abstractNumId w:val="0"/>
    <w:lvlOverride w:ilvl="0">
      <w:lvl w:ilvl="0">
        <w:numFmt w:val="bullet"/>
        <w:lvlText w:val="•"/>
        <w:legacy w:legacy="1" w:legacySpace="0" w:legacyIndent="0"/>
        <w:lvlJc w:val="left"/>
        <w:rPr>
          <w:rFonts w:ascii="Arial" w:hAnsi="Arial" w:hint="default"/>
          <w:sz w:val="40"/>
        </w:rPr>
      </w:lvl>
    </w:lvlOverride>
  </w:num>
  <w:num w:numId="5">
    <w:abstractNumId w:val="3"/>
  </w:num>
  <w:num w:numId="6">
    <w:abstractNumId w:val="6"/>
  </w:num>
  <w:num w:numId="7">
    <w:abstractNumId w:val="1"/>
  </w:num>
  <w:num w:numId="8">
    <w:abstractNumId w:val="5"/>
  </w:num>
  <w:num w:numId="9">
    <w:abstractNumId w:val="9"/>
  </w:num>
  <w:num w:numId="10">
    <w:abstractNumId w:val="2"/>
  </w:num>
  <w:num w:numId="11">
    <w:abstractNumId w:val="8"/>
  </w:num>
  <w:num w:numId="12">
    <w:abstractNumId w:val="4"/>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7DB0"/>
    <w:rsid w:val="00007E14"/>
    <w:rsid w:val="000F4025"/>
    <w:rsid w:val="00195207"/>
    <w:rsid w:val="00234E21"/>
    <w:rsid w:val="002A7DB0"/>
    <w:rsid w:val="00326F74"/>
    <w:rsid w:val="003555C9"/>
    <w:rsid w:val="004431E7"/>
    <w:rsid w:val="005B7217"/>
    <w:rsid w:val="006724C9"/>
    <w:rsid w:val="00871E02"/>
    <w:rsid w:val="008E53C2"/>
    <w:rsid w:val="00971B51"/>
    <w:rsid w:val="00AF0D1C"/>
    <w:rsid w:val="00B96F4F"/>
    <w:rsid w:val="00BA525B"/>
    <w:rsid w:val="00BC6A64"/>
    <w:rsid w:val="00C22B4C"/>
    <w:rsid w:val="00C45209"/>
    <w:rsid w:val="00C9595D"/>
    <w:rsid w:val="00DA4284"/>
    <w:rsid w:val="00DF0543"/>
    <w:rsid w:val="00E168A9"/>
    <w:rsid w:val="00EE71D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DB0"/>
    <w:rPr>
      <w:rFonts w:asciiTheme="majorHAnsi" w:hAnsiTheme="majorHAnsi"/>
    </w:rPr>
  </w:style>
  <w:style w:type="paragraph" w:styleId="Heading1">
    <w:name w:val="heading 1"/>
    <w:basedOn w:val="Normal"/>
    <w:next w:val="Normal"/>
    <w:link w:val="Heading1Char"/>
    <w:uiPriority w:val="9"/>
    <w:qFormat/>
    <w:rsid w:val="000F4025"/>
    <w:pPr>
      <w:widowControl w:val="0"/>
      <w:autoSpaceDE w:val="0"/>
      <w:autoSpaceDN w:val="0"/>
      <w:adjustRightInd w:val="0"/>
      <w:spacing w:after="240" w:line="240" w:lineRule="auto"/>
      <w:ind w:left="720" w:hanging="720"/>
      <w:outlineLvl w:val="0"/>
    </w:pPr>
    <w:rPr>
      <w:b/>
      <w:color w:val="0070C0"/>
      <w:kern w:val="24"/>
      <w:sz w:val="24"/>
      <w:szCs w:val="64"/>
      <w:lang w:val="en-US"/>
    </w:rPr>
  </w:style>
  <w:style w:type="paragraph" w:styleId="Heading2">
    <w:name w:val="heading 2"/>
    <w:basedOn w:val="Normal"/>
    <w:next w:val="Normal"/>
    <w:link w:val="Heading2Char"/>
    <w:uiPriority w:val="99"/>
    <w:qFormat/>
    <w:pPr>
      <w:widowControl w:val="0"/>
      <w:autoSpaceDE w:val="0"/>
      <w:autoSpaceDN w:val="0"/>
      <w:adjustRightInd w:val="0"/>
      <w:spacing w:after="0" w:line="240" w:lineRule="auto"/>
      <w:ind w:left="1170" w:hanging="450"/>
      <w:outlineLvl w:val="1"/>
    </w:pPr>
    <w:rPr>
      <w:rFonts w:ascii="Times New Roman" w:hAnsi="Times New Roman"/>
      <w:color w:val="0070C0"/>
      <w:kern w:val="24"/>
      <w:sz w:val="56"/>
      <w:szCs w:val="56"/>
      <w:lang w:val="en-US"/>
    </w:rPr>
  </w:style>
  <w:style w:type="paragraph" w:styleId="Heading3">
    <w:name w:val="heading 3"/>
    <w:basedOn w:val="Normal"/>
    <w:next w:val="Normal"/>
    <w:link w:val="Heading3Char"/>
    <w:uiPriority w:val="99"/>
    <w:qFormat/>
    <w:pPr>
      <w:widowControl w:val="0"/>
      <w:autoSpaceDE w:val="0"/>
      <w:autoSpaceDN w:val="0"/>
      <w:adjustRightInd w:val="0"/>
      <w:spacing w:after="0" w:line="240" w:lineRule="auto"/>
      <w:ind w:left="1800" w:hanging="360"/>
      <w:outlineLvl w:val="2"/>
    </w:pPr>
    <w:rPr>
      <w:rFonts w:ascii="Times New Roman" w:hAnsi="Times New Roman"/>
      <w:color w:val="0070C0"/>
      <w:kern w:val="24"/>
      <w:sz w:val="48"/>
      <w:szCs w:val="48"/>
      <w:lang w:val="en-US"/>
    </w:rPr>
  </w:style>
  <w:style w:type="paragraph" w:styleId="Heading4">
    <w:name w:val="heading 4"/>
    <w:basedOn w:val="Normal"/>
    <w:next w:val="Normal"/>
    <w:link w:val="Heading4Char"/>
    <w:uiPriority w:val="99"/>
    <w:qFormat/>
    <w:pPr>
      <w:widowControl w:val="0"/>
      <w:autoSpaceDE w:val="0"/>
      <w:autoSpaceDN w:val="0"/>
      <w:adjustRightInd w:val="0"/>
      <w:spacing w:after="0" w:line="240" w:lineRule="auto"/>
      <w:ind w:left="2520" w:hanging="360"/>
      <w:outlineLvl w:val="3"/>
    </w:pPr>
    <w:rPr>
      <w:rFonts w:ascii="Times New Roman" w:hAnsi="Times New Roman"/>
      <w:color w:val="0070C0"/>
      <w:kern w:val="24"/>
      <w:sz w:val="40"/>
      <w:szCs w:val="40"/>
      <w:lang w:val="en-US"/>
    </w:rPr>
  </w:style>
  <w:style w:type="paragraph" w:styleId="Heading5">
    <w:name w:val="heading 5"/>
    <w:basedOn w:val="Normal"/>
    <w:next w:val="Normal"/>
    <w:link w:val="Heading5Char"/>
    <w:uiPriority w:val="99"/>
    <w:qFormat/>
    <w:pPr>
      <w:widowControl w:val="0"/>
      <w:autoSpaceDE w:val="0"/>
      <w:autoSpaceDN w:val="0"/>
      <w:adjustRightInd w:val="0"/>
      <w:spacing w:after="0" w:line="240" w:lineRule="auto"/>
      <w:ind w:left="3240" w:hanging="360"/>
      <w:outlineLvl w:val="4"/>
    </w:pPr>
    <w:rPr>
      <w:rFonts w:ascii="Times New Roman" w:hAnsi="Times New Roman"/>
      <w:color w:val="0070C0"/>
      <w:kern w:val="24"/>
      <w:sz w:val="40"/>
      <w:szCs w:val="40"/>
      <w:lang w:val="en-US"/>
    </w:rPr>
  </w:style>
  <w:style w:type="paragraph" w:styleId="Heading6">
    <w:name w:val="heading 6"/>
    <w:basedOn w:val="Normal"/>
    <w:next w:val="Normal"/>
    <w:link w:val="Heading6Char"/>
    <w:uiPriority w:val="99"/>
    <w:qFormat/>
    <w:pPr>
      <w:widowControl w:val="0"/>
      <w:autoSpaceDE w:val="0"/>
      <w:autoSpaceDN w:val="0"/>
      <w:adjustRightInd w:val="0"/>
      <w:spacing w:after="0" w:line="240" w:lineRule="auto"/>
      <w:ind w:left="3960" w:hanging="360"/>
      <w:outlineLvl w:val="5"/>
    </w:pPr>
    <w:rPr>
      <w:rFonts w:ascii="Times New Roman" w:hAnsi="Times New Roman"/>
      <w:kern w:val="24"/>
      <w:sz w:val="40"/>
      <w:szCs w:val="40"/>
      <w:lang w:val="en-US"/>
    </w:rPr>
  </w:style>
  <w:style w:type="paragraph" w:styleId="Heading7">
    <w:name w:val="heading 7"/>
    <w:basedOn w:val="Normal"/>
    <w:next w:val="Normal"/>
    <w:link w:val="Heading7Char"/>
    <w:uiPriority w:val="99"/>
    <w:qFormat/>
    <w:pPr>
      <w:widowControl w:val="0"/>
      <w:autoSpaceDE w:val="0"/>
      <w:autoSpaceDN w:val="0"/>
      <w:adjustRightInd w:val="0"/>
      <w:spacing w:after="0" w:line="240" w:lineRule="auto"/>
      <w:ind w:left="4680" w:hanging="360"/>
      <w:outlineLvl w:val="6"/>
    </w:pPr>
    <w:rPr>
      <w:rFonts w:ascii="Times New Roman" w:hAnsi="Times New Roman"/>
      <w:kern w:val="24"/>
      <w:sz w:val="40"/>
      <w:szCs w:val="40"/>
      <w:lang w:val="en-US"/>
    </w:rPr>
  </w:style>
  <w:style w:type="paragraph" w:styleId="Heading8">
    <w:name w:val="heading 8"/>
    <w:basedOn w:val="Normal"/>
    <w:next w:val="Normal"/>
    <w:link w:val="Heading8Char"/>
    <w:uiPriority w:val="99"/>
    <w:qFormat/>
    <w:pPr>
      <w:widowControl w:val="0"/>
      <w:autoSpaceDE w:val="0"/>
      <w:autoSpaceDN w:val="0"/>
      <w:adjustRightInd w:val="0"/>
      <w:spacing w:after="0" w:line="240" w:lineRule="auto"/>
      <w:ind w:left="5400" w:hanging="360"/>
      <w:outlineLvl w:val="7"/>
    </w:pPr>
    <w:rPr>
      <w:rFonts w:ascii="Times New Roman" w:hAnsi="Times New Roman"/>
      <w:kern w:val="24"/>
      <w:sz w:val="40"/>
      <w:szCs w:val="40"/>
      <w:lang w:val="en-US"/>
    </w:rPr>
  </w:style>
  <w:style w:type="paragraph" w:styleId="Heading9">
    <w:name w:val="heading 9"/>
    <w:basedOn w:val="Normal"/>
    <w:next w:val="Normal"/>
    <w:link w:val="Heading9Char"/>
    <w:uiPriority w:val="99"/>
    <w:qFormat/>
    <w:pPr>
      <w:widowControl w:val="0"/>
      <w:autoSpaceDE w:val="0"/>
      <w:autoSpaceDN w:val="0"/>
      <w:adjustRightInd w:val="0"/>
      <w:spacing w:after="0" w:line="240" w:lineRule="auto"/>
      <w:ind w:left="6120" w:hanging="360"/>
      <w:outlineLvl w:val="8"/>
    </w:pPr>
    <w:rPr>
      <w:rFonts w:ascii="Times New Roman" w:hAnsi="Times New Roman"/>
      <w:kern w:val="24"/>
      <w:sz w:val="40"/>
      <w:szCs w:val="4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0F4025"/>
    <w:rPr>
      <w:rFonts w:asciiTheme="majorHAnsi" w:hAnsiTheme="majorHAnsi"/>
      <w:b/>
      <w:color w:val="0070C0"/>
      <w:kern w:val="24"/>
      <w:sz w:val="24"/>
      <w:szCs w:val="64"/>
      <w:lang w:val="en-US"/>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character" w:customStyle="1" w:styleId="Heading4Char">
    <w:name w:val="Heading 4 Char"/>
    <w:basedOn w:val="DefaultParagraphFont"/>
    <w:link w:val="Heading4"/>
    <w:uiPriority w:val="9"/>
    <w:semiHidden/>
    <w:locked/>
    <w:rPr>
      <w:rFonts w:cs="Times New Roman"/>
      <w:b/>
      <w:bCs/>
      <w:sz w:val="28"/>
      <w:szCs w:val="28"/>
    </w:rPr>
  </w:style>
  <w:style w:type="character" w:customStyle="1" w:styleId="Heading5Char">
    <w:name w:val="Heading 5 Char"/>
    <w:basedOn w:val="DefaultParagraphFont"/>
    <w:link w:val="Heading5"/>
    <w:uiPriority w:val="9"/>
    <w:semiHidden/>
    <w:locked/>
    <w:rPr>
      <w:rFonts w:cs="Times New Roman"/>
      <w:b/>
      <w:bCs/>
      <w:i/>
      <w:iCs/>
      <w:sz w:val="26"/>
      <w:szCs w:val="26"/>
    </w:rPr>
  </w:style>
  <w:style w:type="character" w:customStyle="1" w:styleId="Heading6Char">
    <w:name w:val="Heading 6 Char"/>
    <w:basedOn w:val="DefaultParagraphFont"/>
    <w:link w:val="Heading6"/>
    <w:uiPriority w:val="9"/>
    <w:semiHidden/>
    <w:locked/>
    <w:rPr>
      <w:rFonts w:cs="Times New Roman"/>
      <w:b/>
      <w:bCs/>
    </w:rPr>
  </w:style>
  <w:style w:type="character" w:customStyle="1" w:styleId="Heading7Char">
    <w:name w:val="Heading 7 Char"/>
    <w:basedOn w:val="DefaultParagraphFont"/>
    <w:link w:val="Heading7"/>
    <w:uiPriority w:val="9"/>
    <w:semiHidden/>
    <w:locked/>
    <w:rPr>
      <w:rFonts w:cs="Times New Roman"/>
      <w:sz w:val="24"/>
      <w:szCs w:val="24"/>
    </w:rPr>
  </w:style>
  <w:style w:type="character" w:customStyle="1" w:styleId="Heading8Char">
    <w:name w:val="Heading 8 Char"/>
    <w:basedOn w:val="DefaultParagraphFont"/>
    <w:link w:val="Heading8"/>
    <w:uiPriority w:val="9"/>
    <w:semiHidden/>
    <w:locked/>
    <w:rPr>
      <w:rFonts w:cs="Times New Roman"/>
      <w:i/>
      <w:iCs/>
      <w:sz w:val="24"/>
      <w:szCs w:val="24"/>
    </w:rPr>
  </w:style>
  <w:style w:type="character" w:customStyle="1" w:styleId="Heading9Char">
    <w:name w:val="Heading 9 Char"/>
    <w:basedOn w:val="DefaultParagraphFont"/>
    <w:link w:val="Heading9"/>
    <w:uiPriority w:val="9"/>
    <w:semiHidden/>
    <w:locked/>
    <w:rPr>
      <w:rFonts w:asciiTheme="majorHAnsi" w:eastAsiaTheme="majorEastAsia" w:hAnsiTheme="majorHAnsi" w:cs="Times New Roman"/>
    </w:rPr>
  </w:style>
  <w:style w:type="paragraph" w:styleId="Title">
    <w:name w:val="Title"/>
    <w:basedOn w:val="Normal"/>
    <w:next w:val="Normal"/>
    <w:link w:val="TitleChar"/>
    <w:uiPriority w:val="10"/>
    <w:qFormat/>
    <w:rsid w:val="005B7217"/>
    <w:pPr>
      <w:pBdr>
        <w:bottom w:val="double" w:sz="4" w:space="1" w:color="auto"/>
      </w:pBdr>
      <w:spacing w:before="360" w:after="240"/>
      <w:jc w:val="center"/>
      <w:outlineLvl w:val="0"/>
    </w:pPr>
    <w:rPr>
      <w:rFonts w:eastAsiaTheme="majorEastAsia"/>
      <w:b/>
      <w:bCs/>
      <w:i/>
      <w:color w:val="17365D" w:themeColor="text2" w:themeShade="BF"/>
      <w:kern w:val="28"/>
      <w:sz w:val="32"/>
      <w:szCs w:val="32"/>
    </w:rPr>
  </w:style>
  <w:style w:type="character" w:customStyle="1" w:styleId="TitleChar">
    <w:name w:val="Title Char"/>
    <w:basedOn w:val="DefaultParagraphFont"/>
    <w:link w:val="Title"/>
    <w:uiPriority w:val="10"/>
    <w:locked/>
    <w:rsid w:val="005B7217"/>
    <w:rPr>
      <w:rFonts w:asciiTheme="majorHAnsi" w:eastAsiaTheme="majorEastAsia" w:hAnsiTheme="majorHAnsi"/>
      <w:b/>
      <w:bCs/>
      <w:i/>
      <w:color w:val="17365D" w:themeColor="text2" w:themeShade="BF"/>
      <w:kern w:val="28"/>
      <w:sz w:val="32"/>
      <w:szCs w:val="32"/>
    </w:rPr>
  </w:style>
  <w:style w:type="paragraph" w:styleId="NormalWeb">
    <w:name w:val="Normal (Web)"/>
    <w:basedOn w:val="Normal"/>
    <w:uiPriority w:val="99"/>
    <w:unhideWhenUsed/>
    <w:rsid w:val="003555C9"/>
    <w:pPr>
      <w:spacing w:before="100" w:beforeAutospacing="1" w:after="100" w:afterAutospacing="1" w:line="240" w:lineRule="auto"/>
    </w:pPr>
    <w:rPr>
      <w:rFonts w:ascii="Times New Roman" w:hAnsi="Times New Roman"/>
      <w:sz w:val="24"/>
      <w:szCs w:val="24"/>
    </w:rPr>
  </w:style>
  <w:style w:type="table" w:styleId="TableGrid">
    <w:name w:val="Table Grid"/>
    <w:basedOn w:val="TableNormal"/>
    <w:uiPriority w:val="59"/>
    <w:rsid w:val="00BA52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22B4C"/>
    <w:pPr>
      <w:ind w:left="720"/>
      <w:contextualSpacing/>
    </w:pPr>
  </w:style>
  <w:style w:type="paragraph" w:styleId="BalloonText">
    <w:name w:val="Balloon Text"/>
    <w:basedOn w:val="Normal"/>
    <w:link w:val="BalloonTextChar"/>
    <w:uiPriority w:val="99"/>
    <w:semiHidden/>
    <w:unhideWhenUsed/>
    <w:rsid w:val="000F40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402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DB0"/>
    <w:rPr>
      <w:rFonts w:asciiTheme="majorHAnsi" w:hAnsiTheme="majorHAnsi"/>
    </w:rPr>
  </w:style>
  <w:style w:type="paragraph" w:styleId="Heading1">
    <w:name w:val="heading 1"/>
    <w:basedOn w:val="Normal"/>
    <w:next w:val="Normal"/>
    <w:link w:val="Heading1Char"/>
    <w:uiPriority w:val="9"/>
    <w:qFormat/>
    <w:rsid w:val="000F4025"/>
    <w:pPr>
      <w:widowControl w:val="0"/>
      <w:autoSpaceDE w:val="0"/>
      <w:autoSpaceDN w:val="0"/>
      <w:adjustRightInd w:val="0"/>
      <w:spacing w:after="240" w:line="240" w:lineRule="auto"/>
      <w:ind w:left="720" w:hanging="720"/>
      <w:outlineLvl w:val="0"/>
    </w:pPr>
    <w:rPr>
      <w:b/>
      <w:color w:val="0070C0"/>
      <w:kern w:val="24"/>
      <w:sz w:val="24"/>
      <w:szCs w:val="64"/>
      <w:lang w:val="en-US"/>
    </w:rPr>
  </w:style>
  <w:style w:type="paragraph" w:styleId="Heading2">
    <w:name w:val="heading 2"/>
    <w:basedOn w:val="Normal"/>
    <w:next w:val="Normal"/>
    <w:link w:val="Heading2Char"/>
    <w:uiPriority w:val="99"/>
    <w:qFormat/>
    <w:pPr>
      <w:widowControl w:val="0"/>
      <w:autoSpaceDE w:val="0"/>
      <w:autoSpaceDN w:val="0"/>
      <w:adjustRightInd w:val="0"/>
      <w:spacing w:after="0" w:line="240" w:lineRule="auto"/>
      <w:ind w:left="1170" w:hanging="450"/>
      <w:outlineLvl w:val="1"/>
    </w:pPr>
    <w:rPr>
      <w:rFonts w:ascii="Times New Roman" w:hAnsi="Times New Roman"/>
      <w:color w:val="0070C0"/>
      <w:kern w:val="24"/>
      <w:sz w:val="56"/>
      <w:szCs w:val="56"/>
      <w:lang w:val="en-US"/>
    </w:rPr>
  </w:style>
  <w:style w:type="paragraph" w:styleId="Heading3">
    <w:name w:val="heading 3"/>
    <w:basedOn w:val="Normal"/>
    <w:next w:val="Normal"/>
    <w:link w:val="Heading3Char"/>
    <w:uiPriority w:val="99"/>
    <w:qFormat/>
    <w:pPr>
      <w:widowControl w:val="0"/>
      <w:autoSpaceDE w:val="0"/>
      <w:autoSpaceDN w:val="0"/>
      <w:adjustRightInd w:val="0"/>
      <w:spacing w:after="0" w:line="240" w:lineRule="auto"/>
      <w:ind w:left="1800" w:hanging="360"/>
      <w:outlineLvl w:val="2"/>
    </w:pPr>
    <w:rPr>
      <w:rFonts w:ascii="Times New Roman" w:hAnsi="Times New Roman"/>
      <w:color w:val="0070C0"/>
      <w:kern w:val="24"/>
      <w:sz w:val="48"/>
      <w:szCs w:val="48"/>
      <w:lang w:val="en-US"/>
    </w:rPr>
  </w:style>
  <w:style w:type="paragraph" w:styleId="Heading4">
    <w:name w:val="heading 4"/>
    <w:basedOn w:val="Normal"/>
    <w:next w:val="Normal"/>
    <w:link w:val="Heading4Char"/>
    <w:uiPriority w:val="99"/>
    <w:qFormat/>
    <w:pPr>
      <w:widowControl w:val="0"/>
      <w:autoSpaceDE w:val="0"/>
      <w:autoSpaceDN w:val="0"/>
      <w:adjustRightInd w:val="0"/>
      <w:spacing w:after="0" w:line="240" w:lineRule="auto"/>
      <w:ind w:left="2520" w:hanging="360"/>
      <w:outlineLvl w:val="3"/>
    </w:pPr>
    <w:rPr>
      <w:rFonts w:ascii="Times New Roman" w:hAnsi="Times New Roman"/>
      <w:color w:val="0070C0"/>
      <w:kern w:val="24"/>
      <w:sz w:val="40"/>
      <w:szCs w:val="40"/>
      <w:lang w:val="en-US"/>
    </w:rPr>
  </w:style>
  <w:style w:type="paragraph" w:styleId="Heading5">
    <w:name w:val="heading 5"/>
    <w:basedOn w:val="Normal"/>
    <w:next w:val="Normal"/>
    <w:link w:val="Heading5Char"/>
    <w:uiPriority w:val="99"/>
    <w:qFormat/>
    <w:pPr>
      <w:widowControl w:val="0"/>
      <w:autoSpaceDE w:val="0"/>
      <w:autoSpaceDN w:val="0"/>
      <w:adjustRightInd w:val="0"/>
      <w:spacing w:after="0" w:line="240" w:lineRule="auto"/>
      <w:ind w:left="3240" w:hanging="360"/>
      <w:outlineLvl w:val="4"/>
    </w:pPr>
    <w:rPr>
      <w:rFonts w:ascii="Times New Roman" w:hAnsi="Times New Roman"/>
      <w:color w:val="0070C0"/>
      <w:kern w:val="24"/>
      <w:sz w:val="40"/>
      <w:szCs w:val="40"/>
      <w:lang w:val="en-US"/>
    </w:rPr>
  </w:style>
  <w:style w:type="paragraph" w:styleId="Heading6">
    <w:name w:val="heading 6"/>
    <w:basedOn w:val="Normal"/>
    <w:next w:val="Normal"/>
    <w:link w:val="Heading6Char"/>
    <w:uiPriority w:val="99"/>
    <w:qFormat/>
    <w:pPr>
      <w:widowControl w:val="0"/>
      <w:autoSpaceDE w:val="0"/>
      <w:autoSpaceDN w:val="0"/>
      <w:adjustRightInd w:val="0"/>
      <w:spacing w:after="0" w:line="240" w:lineRule="auto"/>
      <w:ind w:left="3960" w:hanging="360"/>
      <w:outlineLvl w:val="5"/>
    </w:pPr>
    <w:rPr>
      <w:rFonts w:ascii="Times New Roman" w:hAnsi="Times New Roman"/>
      <w:kern w:val="24"/>
      <w:sz w:val="40"/>
      <w:szCs w:val="40"/>
      <w:lang w:val="en-US"/>
    </w:rPr>
  </w:style>
  <w:style w:type="paragraph" w:styleId="Heading7">
    <w:name w:val="heading 7"/>
    <w:basedOn w:val="Normal"/>
    <w:next w:val="Normal"/>
    <w:link w:val="Heading7Char"/>
    <w:uiPriority w:val="99"/>
    <w:qFormat/>
    <w:pPr>
      <w:widowControl w:val="0"/>
      <w:autoSpaceDE w:val="0"/>
      <w:autoSpaceDN w:val="0"/>
      <w:adjustRightInd w:val="0"/>
      <w:spacing w:after="0" w:line="240" w:lineRule="auto"/>
      <w:ind w:left="4680" w:hanging="360"/>
      <w:outlineLvl w:val="6"/>
    </w:pPr>
    <w:rPr>
      <w:rFonts w:ascii="Times New Roman" w:hAnsi="Times New Roman"/>
      <w:kern w:val="24"/>
      <w:sz w:val="40"/>
      <w:szCs w:val="40"/>
      <w:lang w:val="en-US"/>
    </w:rPr>
  </w:style>
  <w:style w:type="paragraph" w:styleId="Heading8">
    <w:name w:val="heading 8"/>
    <w:basedOn w:val="Normal"/>
    <w:next w:val="Normal"/>
    <w:link w:val="Heading8Char"/>
    <w:uiPriority w:val="99"/>
    <w:qFormat/>
    <w:pPr>
      <w:widowControl w:val="0"/>
      <w:autoSpaceDE w:val="0"/>
      <w:autoSpaceDN w:val="0"/>
      <w:adjustRightInd w:val="0"/>
      <w:spacing w:after="0" w:line="240" w:lineRule="auto"/>
      <w:ind w:left="5400" w:hanging="360"/>
      <w:outlineLvl w:val="7"/>
    </w:pPr>
    <w:rPr>
      <w:rFonts w:ascii="Times New Roman" w:hAnsi="Times New Roman"/>
      <w:kern w:val="24"/>
      <w:sz w:val="40"/>
      <w:szCs w:val="40"/>
      <w:lang w:val="en-US"/>
    </w:rPr>
  </w:style>
  <w:style w:type="paragraph" w:styleId="Heading9">
    <w:name w:val="heading 9"/>
    <w:basedOn w:val="Normal"/>
    <w:next w:val="Normal"/>
    <w:link w:val="Heading9Char"/>
    <w:uiPriority w:val="99"/>
    <w:qFormat/>
    <w:pPr>
      <w:widowControl w:val="0"/>
      <w:autoSpaceDE w:val="0"/>
      <w:autoSpaceDN w:val="0"/>
      <w:adjustRightInd w:val="0"/>
      <w:spacing w:after="0" w:line="240" w:lineRule="auto"/>
      <w:ind w:left="6120" w:hanging="360"/>
      <w:outlineLvl w:val="8"/>
    </w:pPr>
    <w:rPr>
      <w:rFonts w:ascii="Times New Roman" w:hAnsi="Times New Roman"/>
      <w:kern w:val="24"/>
      <w:sz w:val="40"/>
      <w:szCs w:val="4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0F4025"/>
    <w:rPr>
      <w:rFonts w:asciiTheme="majorHAnsi" w:hAnsiTheme="majorHAnsi"/>
      <w:b/>
      <w:color w:val="0070C0"/>
      <w:kern w:val="24"/>
      <w:sz w:val="24"/>
      <w:szCs w:val="64"/>
      <w:lang w:val="en-US"/>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character" w:customStyle="1" w:styleId="Heading4Char">
    <w:name w:val="Heading 4 Char"/>
    <w:basedOn w:val="DefaultParagraphFont"/>
    <w:link w:val="Heading4"/>
    <w:uiPriority w:val="9"/>
    <w:semiHidden/>
    <w:locked/>
    <w:rPr>
      <w:rFonts w:cs="Times New Roman"/>
      <w:b/>
      <w:bCs/>
      <w:sz w:val="28"/>
      <w:szCs w:val="28"/>
    </w:rPr>
  </w:style>
  <w:style w:type="character" w:customStyle="1" w:styleId="Heading5Char">
    <w:name w:val="Heading 5 Char"/>
    <w:basedOn w:val="DefaultParagraphFont"/>
    <w:link w:val="Heading5"/>
    <w:uiPriority w:val="9"/>
    <w:semiHidden/>
    <w:locked/>
    <w:rPr>
      <w:rFonts w:cs="Times New Roman"/>
      <w:b/>
      <w:bCs/>
      <w:i/>
      <w:iCs/>
      <w:sz w:val="26"/>
      <w:szCs w:val="26"/>
    </w:rPr>
  </w:style>
  <w:style w:type="character" w:customStyle="1" w:styleId="Heading6Char">
    <w:name w:val="Heading 6 Char"/>
    <w:basedOn w:val="DefaultParagraphFont"/>
    <w:link w:val="Heading6"/>
    <w:uiPriority w:val="9"/>
    <w:semiHidden/>
    <w:locked/>
    <w:rPr>
      <w:rFonts w:cs="Times New Roman"/>
      <w:b/>
      <w:bCs/>
    </w:rPr>
  </w:style>
  <w:style w:type="character" w:customStyle="1" w:styleId="Heading7Char">
    <w:name w:val="Heading 7 Char"/>
    <w:basedOn w:val="DefaultParagraphFont"/>
    <w:link w:val="Heading7"/>
    <w:uiPriority w:val="9"/>
    <w:semiHidden/>
    <w:locked/>
    <w:rPr>
      <w:rFonts w:cs="Times New Roman"/>
      <w:sz w:val="24"/>
      <w:szCs w:val="24"/>
    </w:rPr>
  </w:style>
  <w:style w:type="character" w:customStyle="1" w:styleId="Heading8Char">
    <w:name w:val="Heading 8 Char"/>
    <w:basedOn w:val="DefaultParagraphFont"/>
    <w:link w:val="Heading8"/>
    <w:uiPriority w:val="9"/>
    <w:semiHidden/>
    <w:locked/>
    <w:rPr>
      <w:rFonts w:cs="Times New Roman"/>
      <w:i/>
      <w:iCs/>
      <w:sz w:val="24"/>
      <w:szCs w:val="24"/>
    </w:rPr>
  </w:style>
  <w:style w:type="character" w:customStyle="1" w:styleId="Heading9Char">
    <w:name w:val="Heading 9 Char"/>
    <w:basedOn w:val="DefaultParagraphFont"/>
    <w:link w:val="Heading9"/>
    <w:uiPriority w:val="9"/>
    <w:semiHidden/>
    <w:locked/>
    <w:rPr>
      <w:rFonts w:asciiTheme="majorHAnsi" w:eastAsiaTheme="majorEastAsia" w:hAnsiTheme="majorHAnsi" w:cs="Times New Roman"/>
    </w:rPr>
  </w:style>
  <w:style w:type="paragraph" w:styleId="Title">
    <w:name w:val="Title"/>
    <w:basedOn w:val="Normal"/>
    <w:next w:val="Normal"/>
    <w:link w:val="TitleChar"/>
    <w:uiPriority w:val="10"/>
    <w:qFormat/>
    <w:rsid w:val="005B7217"/>
    <w:pPr>
      <w:pBdr>
        <w:bottom w:val="double" w:sz="4" w:space="1" w:color="auto"/>
      </w:pBdr>
      <w:spacing w:before="360" w:after="240"/>
      <w:jc w:val="center"/>
      <w:outlineLvl w:val="0"/>
    </w:pPr>
    <w:rPr>
      <w:rFonts w:eastAsiaTheme="majorEastAsia"/>
      <w:b/>
      <w:bCs/>
      <w:i/>
      <w:color w:val="17365D" w:themeColor="text2" w:themeShade="BF"/>
      <w:kern w:val="28"/>
      <w:sz w:val="32"/>
      <w:szCs w:val="32"/>
    </w:rPr>
  </w:style>
  <w:style w:type="character" w:customStyle="1" w:styleId="TitleChar">
    <w:name w:val="Title Char"/>
    <w:basedOn w:val="DefaultParagraphFont"/>
    <w:link w:val="Title"/>
    <w:uiPriority w:val="10"/>
    <w:locked/>
    <w:rsid w:val="005B7217"/>
    <w:rPr>
      <w:rFonts w:asciiTheme="majorHAnsi" w:eastAsiaTheme="majorEastAsia" w:hAnsiTheme="majorHAnsi"/>
      <w:b/>
      <w:bCs/>
      <w:i/>
      <w:color w:val="17365D" w:themeColor="text2" w:themeShade="BF"/>
      <w:kern w:val="28"/>
      <w:sz w:val="32"/>
      <w:szCs w:val="32"/>
    </w:rPr>
  </w:style>
  <w:style w:type="paragraph" w:styleId="NormalWeb">
    <w:name w:val="Normal (Web)"/>
    <w:basedOn w:val="Normal"/>
    <w:uiPriority w:val="99"/>
    <w:unhideWhenUsed/>
    <w:rsid w:val="003555C9"/>
    <w:pPr>
      <w:spacing w:before="100" w:beforeAutospacing="1" w:after="100" w:afterAutospacing="1" w:line="240" w:lineRule="auto"/>
    </w:pPr>
    <w:rPr>
      <w:rFonts w:ascii="Times New Roman" w:hAnsi="Times New Roman"/>
      <w:sz w:val="24"/>
      <w:szCs w:val="24"/>
    </w:rPr>
  </w:style>
  <w:style w:type="table" w:styleId="TableGrid">
    <w:name w:val="Table Grid"/>
    <w:basedOn w:val="TableNormal"/>
    <w:uiPriority w:val="59"/>
    <w:rsid w:val="00BA52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22B4C"/>
    <w:pPr>
      <w:ind w:left="720"/>
      <w:contextualSpacing/>
    </w:pPr>
  </w:style>
  <w:style w:type="paragraph" w:styleId="BalloonText">
    <w:name w:val="Balloon Text"/>
    <w:basedOn w:val="Normal"/>
    <w:link w:val="BalloonTextChar"/>
    <w:uiPriority w:val="99"/>
    <w:semiHidden/>
    <w:unhideWhenUsed/>
    <w:rsid w:val="000F40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402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7293565">
      <w:marLeft w:val="0"/>
      <w:marRight w:val="0"/>
      <w:marTop w:val="0"/>
      <w:marBottom w:val="0"/>
      <w:divBdr>
        <w:top w:val="none" w:sz="0" w:space="0" w:color="auto"/>
        <w:left w:val="none" w:sz="0" w:space="0" w:color="auto"/>
        <w:bottom w:val="none" w:sz="0" w:space="0" w:color="auto"/>
        <w:right w:val="none" w:sz="0" w:space="0" w:color="auto"/>
      </w:divBdr>
    </w:div>
    <w:div w:id="1707293566">
      <w:marLeft w:val="0"/>
      <w:marRight w:val="0"/>
      <w:marTop w:val="0"/>
      <w:marBottom w:val="0"/>
      <w:divBdr>
        <w:top w:val="none" w:sz="0" w:space="0" w:color="auto"/>
        <w:left w:val="none" w:sz="0" w:space="0" w:color="auto"/>
        <w:bottom w:val="none" w:sz="0" w:space="0" w:color="auto"/>
        <w:right w:val="none" w:sz="0" w:space="0" w:color="auto"/>
      </w:divBdr>
    </w:div>
    <w:div w:id="1707293567">
      <w:marLeft w:val="0"/>
      <w:marRight w:val="0"/>
      <w:marTop w:val="0"/>
      <w:marBottom w:val="0"/>
      <w:divBdr>
        <w:top w:val="none" w:sz="0" w:space="0" w:color="auto"/>
        <w:left w:val="none" w:sz="0" w:space="0" w:color="auto"/>
        <w:bottom w:val="none" w:sz="0" w:space="0" w:color="auto"/>
        <w:right w:val="none" w:sz="0" w:space="0" w:color="auto"/>
      </w:divBdr>
    </w:div>
    <w:div w:id="1707293568">
      <w:marLeft w:val="0"/>
      <w:marRight w:val="0"/>
      <w:marTop w:val="0"/>
      <w:marBottom w:val="0"/>
      <w:divBdr>
        <w:top w:val="none" w:sz="0" w:space="0" w:color="auto"/>
        <w:left w:val="none" w:sz="0" w:space="0" w:color="auto"/>
        <w:bottom w:val="none" w:sz="0" w:space="0" w:color="auto"/>
        <w:right w:val="none" w:sz="0" w:space="0" w:color="auto"/>
      </w:divBdr>
    </w:div>
    <w:div w:id="1707293569">
      <w:marLeft w:val="0"/>
      <w:marRight w:val="0"/>
      <w:marTop w:val="0"/>
      <w:marBottom w:val="0"/>
      <w:divBdr>
        <w:top w:val="none" w:sz="0" w:space="0" w:color="auto"/>
        <w:left w:val="none" w:sz="0" w:space="0" w:color="auto"/>
        <w:bottom w:val="none" w:sz="0" w:space="0" w:color="auto"/>
        <w:right w:val="none" w:sz="0" w:space="0" w:color="auto"/>
      </w:divBdr>
    </w:div>
    <w:div w:id="170729357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760</Words>
  <Characters>4439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CFIA-ACIA</Company>
  <LinksUpToDate>false</LinksUpToDate>
  <CharactersWithSpaces>5189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Sela, Shane</dc:creator>
  <cp:lastModifiedBy>Sela, Shane</cp:lastModifiedBy>
  <cp:revision>3</cp:revision>
  <dcterms:created xsi:type="dcterms:W3CDTF">2017-04-11T01:50:00Z</dcterms:created>
  <dcterms:modified xsi:type="dcterms:W3CDTF">2017-07-07T22:09:00Z</dcterms:modified>
</cp:coreProperties>
</file>