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2F7F" w:rsidRPr="00552F7F" w:rsidRDefault="00552F7F" w:rsidP="00552F7F">
      <w:pPr>
        <w:spacing w:before="150" w:after="150" w:line="600" w:lineRule="atLeast"/>
        <w:outlineLvl w:val="1"/>
        <w:rPr>
          <w:rFonts w:ascii="inherit" w:eastAsia="Times New Roman" w:hAnsi="inherit" w:cs="Helvetica"/>
          <w:b/>
          <w:bCs/>
          <w:color w:val="000000"/>
          <w:sz w:val="36"/>
          <w:szCs w:val="36"/>
          <w:lang w:val="en" w:eastAsia="en-GB"/>
        </w:rPr>
      </w:pPr>
      <w:bookmarkStart w:id="0" w:name="_GoBack"/>
      <w:bookmarkEnd w:id="0"/>
      <w:r w:rsidRPr="00552F7F">
        <w:rPr>
          <w:rFonts w:ascii="inherit" w:eastAsia="Times New Roman" w:hAnsi="inherit" w:cs="Helvetica"/>
          <w:b/>
          <w:bCs/>
          <w:color w:val="000000"/>
          <w:sz w:val="36"/>
          <w:szCs w:val="36"/>
          <w:lang w:val="en" w:eastAsia="en-GB"/>
        </w:rPr>
        <w:t xml:space="preserve">Calls for experts &amp; DP authors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Once the Standards Committee (SC) approves a specification and resources are identified to hold an expert working group (EWG) meeting, the IPPC Secretariat contacts NPPOs and RPPOs through a </w:t>
      </w:r>
      <w:r w:rsidRPr="00552F7F">
        <w:rPr>
          <w:rFonts w:ascii="Verdana" w:eastAsia="Times New Roman" w:hAnsi="Verdana" w:cs="Helvetica"/>
          <w:b/>
          <w:bCs/>
          <w:color w:val="000000"/>
          <w:sz w:val="21"/>
          <w:szCs w:val="21"/>
          <w:lang w:val="en" w:eastAsia="en-GB"/>
        </w:rPr>
        <w:t xml:space="preserve">call to nominate experts </w:t>
      </w:r>
      <w:r w:rsidRPr="00552F7F">
        <w:rPr>
          <w:rFonts w:ascii="Verdana" w:eastAsia="Times New Roman" w:hAnsi="Verdana" w:cs="Helvetica"/>
          <w:color w:val="000000"/>
          <w:sz w:val="21"/>
          <w:szCs w:val="21"/>
          <w:lang w:val="en" w:eastAsia="en-GB"/>
        </w:rPr>
        <w:t>to be members of the EWG to develop a draft ISPM. In order to get nominated as an expert the nominee is requested to sign a statement of commitment. The SC selects the technical experts identified by the NPPOs and RPPOs for the EWG. The EWG meets and produces a draft ISPM and a meeting report. The draft ISPM is then approved for consultation by the SC. Members of Technical Panels (TPs) should have the necessary scientific expertise and subject matter experience, and should be able to participate and contribute to the proceedings. The steward of the TP is considered a member. Membership of TPs should be reviewed by the SC on a regular basis and may be adjusted as necessary, taking into account, in particular, changes in the needs of scientific or other expertise required and in the professional duties of the experts.</w:t>
      </w:r>
    </w:p>
    <w:p w:rsidR="00552F7F" w:rsidRPr="00552F7F" w:rsidRDefault="005D05A4" w:rsidP="00552F7F">
      <w:pPr>
        <w:spacing w:before="300" w:after="300" w:line="300" w:lineRule="atLeast"/>
        <w:rPr>
          <w:rFonts w:ascii="Verdana" w:eastAsia="Times New Roman" w:hAnsi="Verdana" w:cs="Helvetica"/>
          <w:color w:val="000000"/>
          <w:sz w:val="21"/>
          <w:szCs w:val="21"/>
          <w:lang w:val="en" w:eastAsia="en-GB"/>
        </w:rPr>
      </w:pPr>
      <w:r>
        <w:rPr>
          <w:rFonts w:ascii="Verdana" w:eastAsia="Times New Roman" w:hAnsi="Verdana" w:cs="Helvetica"/>
          <w:color w:val="000000"/>
          <w:sz w:val="21"/>
          <w:szCs w:val="21"/>
          <w:lang w:val="en" w:eastAsia="en-GB"/>
        </w:rPr>
        <w:pict>
          <v:rect id="_x0000_i1025" style="width:0;height:1.5pt" o:hralign="center" o:hrstd="t" o:hr="t" fillcolor="#a0a0a0" stroked="f"/>
        </w:pic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noProof/>
          <w:color w:val="000000"/>
          <w:sz w:val="21"/>
          <w:szCs w:val="21"/>
          <w:lang w:val="en-US"/>
        </w:rPr>
        <w:drawing>
          <wp:inline distT="0" distB="0" distL="0" distR="0">
            <wp:extent cx="2628900" cy="1743075"/>
            <wp:effectExtent l="0" t="0" r="0" b="9525"/>
            <wp:docPr id="2" name="Picture 2"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nter image description her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628900" cy="1743075"/>
                    </a:xfrm>
                    <a:prstGeom prst="rect">
                      <a:avLst/>
                    </a:prstGeom>
                    <a:noFill/>
                    <a:ln>
                      <a:noFill/>
                    </a:ln>
                  </pic:spPr>
                </pic:pic>
              </a:graphicData>
            </a:graphic>
          </wp:inline>
        </w:drawing>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Once the Standards Committee (SC) approves a new subject to the </w:t>
      </w:r>
      <w:hyperlink r:id="rId6" w:history="1">
        <w:r w:rsidRPr="00552F7F">
          <w:rPr>
            <w:rFonts w:ascii="Verdana" w:eastAsia="Times New Roman" w:hAnsi="Verdana" w:cs="Helvetica"/>
            <w:color w:val="0088CC"/>
            <w:sz w:val="21"/>
            <w:szCs w:val="21"/>
            <w:lang w:val="en" w:eastAsia="en-GB"/>
          </w:rPr>
          <w:t>Technical Panel on Diagnostic Protocols (TPDP)</w:t>
        </w:r>
      </w:hyperlink>
      <w:r w:rsidRPr="00552F7F">
        <w:rPr>
          <w:rFonts w:ascii="Verdana" w:eastAsia="Times New Roman" w:hAnsi="Verdana" w:cs="Helvetica"/>
          <w:color w:val="000000"/>
          <w:sz w:val="21"/>
          <w:szCs w:val="21"/>
          <w:lang w:val="en" w:eastAsia="en-GB"/>
        </w:rPr>
        <w:t xml:space="preserve"> work </w:t>
      </w:r>
      <w:proofErr w:type="spellStart"/>
      <w:r w:rsidRPr="00552F7F">
        <w:rPr>
          <w:rFonts w:ascii="Verdana" w:eastAsia="Times New Roman" w:hAnsi="Verdana" w:cs="Helvetica"/>
          <w:color w:val="000000"/>
          <w:sz w:val="21"/>
          <w:szCs w:val="21"/>
          <w:lang w:val="en" w:eastAsia="en-GB"/>
        </w:rPr>
        <w:t>programme</w:t>
      </w:r>
      <w:proofErr w:type="spellEnd"/>
      <w:r w:rsidRPr="00552F7F">
        <w:rPr>
          <w:rFonts w:ascii="Verdana" w:eastAsia="Times New Roman" w:hAnsi="Verdana" w:cs="Helvetica"/>
          <w:color w:val="000000"/>
          <w:sz w:val="21"/>
          <w:szCs w:val="21"/>
          <w:lang w:val="en" w:eastAsia="en-GB"/>
        </w:rPr>
        <w:t xml:space="preserve"> and is inserted into the </w:t>
      </w:r>
      <w:hyperlink r:id="rId7" w:history="1">
        <w:r w:rsidRPr="00552F7F">
          <w:rPr>
            <w:rFonts w:ascii="Verdana" w:eastAsia="Times New Roman" w:hAnsi="Verdana" w:cs="Helvetica"/>
            <w:color w:val="0088CC"/>
            <w:sz w:val="21"/>
            <w:szCs w:val="21"/>
            <w:lang w:val="en" w:eastAsia="en-GB"/>
          </w:rPr>
          <w:t>List of topics for IPPC standards</w:t>
        </w:r>
      </w:hyperlink>
      <w:r w:rsidRPr="00552F7F">
        <w:rPr>
          <w:rFonts w:ascii="Verdana" w:eastAsia="Times New Roman" w:hAnsi="Verdana" w:cs="Helvetica"/>
          <w:color w:val="000000"/>
          <w:sz w:val="21"/>
          <w:szCs w:val="21"/>
          <w:lang w:val="en" w:eastAsia="en-GB"/>
        </w:rPr>
        <w:t xml:space="preserve"> the IPPC Secretariat contacts NPPOs and RPPOs through a call to nominate authors to be part of the diagnostic protocols (DPs) drafting groups develop a draft ISPM. Authors will work in liaison with the member of the Technical Panel on Diagnostic Protocols (TPDP) in charge of this protocols to develop two draft protocols as annexes to </w:t>
      </w:r>
      <w:hyperlink r:id="rId8" w:history="1">
        <w:r w:rsidRPr="00552F7F">
          <w:rPr>
            <w:rFonts w:ascii="Verdana" w:eastAsia="Times New Roman" w:hAnsi="Verdana" w:cs="Helvetica"/>
            <w:color w:val="0088CC"/>
            <w:sz w:val="21"/>
            <w:szCs w:val="21"/>
            <w:lang w:val="en" w:eastAsia="en-GB"/>
          </w:rPr>
          <w:t>ISPM 27:2006 (Diagnostic Protocols for Regulated Pests)</w:t>
        </w:r>
      </w:hyperlink>
      <w:r w:rsidRPr="00552F7F">
        <w:rPr>
          <w:rFonts w:ascii="Verdana" w:eastAsia="Times New Roman" w:hAnsi="Verdana" w:cs="Helvetica"/>
          <w:color w:val="000000"/>
          <w:sz w:val="21"/>
          <w:szCs w:val="21"/>
          <w:lang w:val="en" w:eastAsia="en-GB"/>
        </w:rPr>
        <w:t>. Please also refer to the procedure manual (link provided below) for further guidance.</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In order to get nominated as a DP author, the nominee is requested to sign a statement of commitment. The TPDP selects the author (s) according to the criteria specified in the call letter.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lastRenderedPageBreak/>
        <w:t>Usually the requirements are:</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Curriculum Vitae (CV) of experts nominated as authors should outline the specific diagnostic expertise with the pest. Technical and scientific expertise with the pest, especially diagnostic expertise, is considered a core requirement.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Additional expertise that would be helpful is: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taxonomy</w:t>
      </w:r>
      <w:proofErr w:type="gramEnd"/>
      <w:r w:rsidRPr="00552F7F">
        <w:rPr>
          <w:rFonts w:ascii="Verdana" w:eastAsia="Times New Roman" w:hAnsi="Verdana" w:cs="Helvetica"/>
          <w:color w:val="000000"/>
          <w:sz w:val="21"/>
          <w:szCs w:val="21"/>
          <w:lang w:val="en" w:eastAsia="en-GB"/>
        </w:rPr>
        <w:t xml:space="preserve"> and molecular diagnostics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practical</w:t>
      </w:r>
      <w:proofErr w:type="gramEnd"/>
      <w:r w:rsidRPr="00552F7F">
        <w:rPr>
          <w:rFonts w:ascii="Verdana" w:eastAsia="Times New Roman" w:hAnsi="Verdana" w:cs="Helvetica"/>
          <w:color w:val="000000"/>
          <w:sz w:val="21"/>
          <w:szCs w:val="21"/>
          <w:lang w:val="en" w:eastAsia="en-GB"/>
        </w:rPr>
        <w:t xml:space="preserve"> experience related to the pest (detection, identification, isolation etc.)</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quarantine diagnostic protocol expertise</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drafting of diagnostic protocols (such as regional diagnostic protocols)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development</w:t>
      </w:r>
      <w:proofErr w:type="gramEnd"/>
      <w:r w:rsidRPr="00552F7F">
        <w:rPr>
          <w:rFonts w:ascii="Verdana" w:eastAsia="Times New Roman" w:hAnsi="Verdana" w:cs="Helvetica"/>
          <w:color w:val="000000"/>
          <w:sz w:val="21"/>
          <w:szCs w:val="21"/>
          <w:lang w:val="en" w:eastAsia="en-GB"/>
        </w:rPr>
        <w:t xml:space="preserve"> of novel diagnostic methods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experience using diagnostic protocols for diagnosis of regulated pests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ability</w:t>
      </w:r>
      <w:proofErr w:type="gramEnd"/>
      <w:r w:rsidRPr="00552F7F">
        <w:rPr>
          <w:rFonts w:ascii="Verdana" w:eastAsia="Times New Roman" w:hAnsi="Verdana" w:cs="Helvetica"/>
          <w:color w:val="000000"/>
          <w:sz w:val="21"/>
          <w:szCs w:val="21"/>
          <w:lang w:val="en" w:eastAsia="en-GB"/>
        </w:rPr>
        <w:t xml:space="preserve"> to work in English (written).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Nominees for authorship of diagnostic protocols should also be able to demonstrate the ability to work primarily through e-mail discussions in English (as it is not anticipated that authors will be required to meet in person) and that appropriate time to dedicate to drafting the diagnostic protocol via e-mail will be available.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All nominations are considered, although it is encouraged that nominations be submitted through national plant protection organizations (NPPOs) or regional plant protection organizations (RPPOs). Nominations should be supported by the submitting organization and </w:t>
      </w:r>
      <w:proofErr w:type="spellStart"/>
      <w:r w:rsidRPr="00552F7F">
        <w:rPr>
          <w:rFonts w:ascii="Verdana" w:eastAsia="Times New Roman" w:hAnsi="Verdana" w:cs="Helvetica"/>
          <w:color w:val="000000"/>
          <w:sz w:val="21"/>
          <w:szCs w:val="21"/>
          <w:lang w:val="en" w:eastAsia="en-GB"/>
        </w:rPr>
        <w:t>self nominations</w:t>
      </w:r>
      <w:proofErr w:type="spellEnd"/>
      <w:r w:rsidRPr="00552F7F">
        <w:rPr>
          <w:rFonts w:ascii="Verdana" w:eastAsia="Times New Roman" w:hAnsi="Verdana" w:cs="Helvetica"/>
          <w:color w:val="000000"/>
          <w:sz w:val="21"/>
          <w:szCs w:val="21"/>
          <w:lang w:val="en" w:eastAsia="en-GB"/>
        </w:rPr>
        <w:t xml:space="preserve"> should be supported by an accompanying letter from a government authority.</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Please also see the documents posted below:</w:t>
      </w:r>
    </w:p>
    <w:p w:rsidR="00552F7F" w:rsidRPr="00552F7F" w:rsidRDefault="00552F7F" w:rsidP="00552F7F">
      <w:pPr>
        <w:numPr>
          <w:ilvl w:val="0"/>
          <w:numId w:val="4"/>
        </w:numPr>
        <w:spacing w:before="75" w:after="225" w:line="330" w:lineRule="atLeast"/>
        <w:ind w:left="375"/>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IPPC statement of commitment (English, French, Spanish)</w:t>
      </w:r>
    </w:p>
    <w:p w:rsidR="00552F7F" w:rsidRPr="00552F7F" w:rsidRDefault="00552F7F" w:rsidP="00552F7F">
      <w:pPr>
        <w:numPr>
          <w:ilvl w:val="0"/>
          <w:numId w:val="4"/>
        </w:numPr>
        <w:spacing w:before="75" w:after="225" w:line="330" w:lineRule="atLeast"/>
        <w:ind w:left="375"/>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TPDP Working Procedures</w:t>
      </w:r>
    </w:p>
    <w:p w:rsidR="00552F7F" w:rsidRPr="00552F7F" w:rsidRDefault="00552F7F" w:rsidP="00552F7F">
      <w:pPr>
        <w:numPr>
          <w:ilvl w:val="0"/>
          <w:numId w:val="4"/>
        </w:numPr>
        <w:spacing w:before="75" w:after="225" w:line="330" w:lineRule="atLeast"/>
        <w:ind w:left="375"/>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ISPM 27:2006 (Diagnostic protocols for regulated pests)</w:t>
      </w:r>
    </w:p>
    <w:p w:rsidR="00552F7F" w:rsidRPr="00552F7F" w:rsidRDefault="005D05A4" w:rsidP="00552F7F">
      <w:pPr>
        <w:numPr>
          <w:ilvl w:val="0"/>
          <w:numId w:val="4"/>
        </w:numPr>
        <w:spacing w:before="75" w:after="225" w:line="330" w:lineRule="atLeast"/>
        <w:ind w:left="375"/>
        <w:rPr>
          <w:rFonts w:ascii="Verdana" w:eastAsia="Times New Roman" w:hAnsi="Verdana" w:cs="Helvetica"/>
          <w:color w:val="000000"/>
          <w:sz w:val="21"/>
          <w:szCs w:val="21"/>
          <w:lang w:val="en" w:eastAsia="en-GB"/>
        </w:rPr>
      </w:pPr>
      <w:hyperlink r:id="rId9" w:history="1">
        <w:r w:rsidR="00552F7F" w:rsidRPr="00552F7F">
          <w:rPr>
            <w:rFonts w:ascii="Verdana" w:eastAsia="Times New Roman" w:hAnsi="Verdana" w:cs="Helvetica"/>
            <w:color w:val="0088CC"/>
            <w:sz w:val="21"/>
            <w:szCs w:val="21"/>
            <w:lang w:val="en" w:eastAsia="en-GB"/>
          </w:rPr>
          <w:t>Instruction to authors</w:t>
        </w:r>
      </w:hyperlink>
    </w:p>
    <w:p w:rsidR="00552F7F" w:rsidRPr="00552F7F" w:rsidRDefault="005D05A4" w:rsidP="00552F7F">
      <w:pPr>
        <w:numPr>
          <w:ilvl w:val="0"/>
          <w:numId w:val="4"/>
        </w:numPr>
        <w:spacing w:before="75" w:after="225" w:line="330" w:lineRule="atLeast"/>
        <w:ind w:left="375"/>
        <w:rPr>
          <w:rFonts w:ascii="Verdana" w:eastAsia="Times New Roman" w:hAnsi="Verdana" w:cs="Helvetica"/>
          <w:color w:val="000000"/>
          <w:sz w:val="21"/>
          <w:szCs w:val="21"/>
          <w:lang w:val="en" w:eastAsia="en-GB"/>
        </w:rPr>
      </w:pPr>
      <w:hyperlink r:id="rId10" w:history="1">
        <w:r w:rsidR="00552F7F" w:rsidRPr="00552F7F">
          <w:rPr>
            <w:rFonts w:ascii="Verdana" w:eastAsia="Times New Roman" w:hAnsi="Verdana" w:cs="Helvetica"/>
            <w:color w:val="0088CC"/>
            <w:sz w:val="21"/>
            <w:szCs w:val="21"/>
            <w:lang w:val="en" w:eastAsia="en-GB"/>
          </w:rPr>
          <w:t>Procedure Manual</w:t>
        </w:r>
      </w:hyperlink>
    </w:p>
    <w:p w:rsidR="00552F7F" w:rsidRPr="00552F7F" w:rsidRDefault="00552F7F" w:rsidP="00552F7F">
      <w:pPr>
        <w:shd w:val="clear" w:color="auto" w:fill="FCF8E3"/>
        <w:spacing w:line="300" w:lineRule="atLeast"/>
        <w:rPr>
          <w:rFonts w:ascii="Verdana" w:eastAsia="Times New Roman" w:hAnsi="Verdana" w:cs="Helvetica"/>
          <w:color w:val="C09853"/>
          <w:sz w:val="21"/>
          <w:szCs w:val="21"/>
          <w:lang w:val="en" w:eastAsia="en-GB"/>
        </w:rPr>
      </w:pPr>
      <w:r w:rsidRPr="00552F7F">
        <w:rPr>
          <w:rFonts w:ascii="Verdana" w:eastAsia="Times New Roman" w:hAnsi="Verdana" w:cs="Helvetica"/>
          <w:color w:val="C09853"/>
          <w:sz w:val="21"/>
          <w:szCs w:val="21"/>
          <w:lang w:val="en" w:eastAsia="en-GB"/>
        </w:rPr>
        <w:t xml:space="preserve">This web page was last updated on 2016-04-20. For queries or comments regarding the contents of this page, please contact </w:t>
      </w:r>
      <w:hyperlink r:id="rId11" w:history="1">
        <w:r w:rsidRPr="00552F7F">
          <w:rPr>
            <w:rFonts w:ascii="Verdana" w:eastAsia="Times New Roman" w:hAnsi="Verdana" w:cs="Helvetica"/>
            <w:color w:val="0088CC"/>
            <w:sz w:val="21"/>
            <w:szCs w:val="21"/>
            <w:lang w:val="en" w:eastAsia="en-GB"/>
          </w:rPr>
          <w:t>Piotr.Wlodarczyk@fao.org.</w:t>
        </w:r>
      </w:hyperlink>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noProof/>
          <w:color w:val="000000"/>
          <w:sz w:val="21"/>
          <w:szCs w:val="21"/>
          <w:lang w:val="en-US"/>
        </w:rPr>
        <w:drawing>
          <wp:inline distT="0" distB="0" distL="0" distR="0">
            <wp:extent cx="13011150" cy="7315200"/>
            <wp:effectExtent l="0" t="0" r="0" b="0"/>
            <wp:docPr id="1" name="Picture 1" descr="enter image description he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nter image description her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011150" cy="7315200"/>
                    </a:xfrm>
                    <a:prstGeom prst="rect">
                      <a:avLst/>
                    </a:prstGeom>
                    <a:noFill/>
                    <a:ln>
                      <a:noFill/>
                    </a:ln>
                  </pic:spPr>
                </pic:pic>
              </a:graphicData>
            </a:graphic>
          </wp:inline>
        </w:drawing>
      </w:r>
    </w:p>
    <w:p w:rsidR="00552F7F" w:rsidRPr="00552F7F" w:rsidRDefault="005D05A4" w:rsidP="00552F7F">
      <w:pPr>
        <w:spacing w:before="300" w:after="300" w:line="300" w:lineRule="atLeast"/>
        <w:rPr>
          <w:rFonts w:ascii="Verdana" w:eastAsia="Times New Roman" w:hAnsi="Verdana" w:cs="Helvetica"/>
          <w:color w:val="000000"/>
          <w:sz w:val="21"/>
          <w:szCs w:val="21"/>
          <w:lang w:val="en" w:eastAsia="en-GB"/>
        </w:rPr>
      </w:pPr>
      <w:r>
        <w:rPr>
          <w:rFonts w:ascii="Verdana" w:eastAsia="Times New Roman" w:hAnsi="Verdana" w:cs="Helvetica"/>
          <w:color w:val="000000"/>
          <w:sz w:val="21"/>
          <w:szCs w:val="21"/>
          <w:lang w:val="en" w:eastAsia="en-GB"/>
        </w:rPr>
        <w:pict>
          <v:rect id="_x0000_i1026" style="width:0;height:1.5pt" o:hralign="center" o:hrstd="t" o:hr="t" fillcolor="#a0a0a0" stroked="f"/>
        </w:pic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2017 Call for experts - Deadlines extended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The deadline for the submission of nominations for the Technical Panel for the Glossary (TPG) and for the Expert Working Group (EWG) on Revision of ISPM 8: Determination of pest status in an area (2009-005) has been extended.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The new deadline for the submission of these nominations is 28 April 2017.</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The call for experts for the EWG to develop draft ISPM on Authorization of entities to perform phytosanitary actions (2014-002) is now closed.</w:t>
      </w:r>
    </w:p>
    <w:p w:rsidR="00552F7F" w:rsidRPr="00552F7F" w:rsidRDefault="005D05A4" w:rsidP="00552F7F">
      <w:pPr>
        <w:spacing w:before="300" w:after="300" w:line="300" w:lineRule="atLeast"/>
        <w:rPr>
          <w:rFonts w:ascii="Verdana" w:eastAsia="Times New Roman" w:hAnsi="Verdana" w:cs="Helvetica"/>
          <w:color w:val="000000"/>
          <w:sz w:val="21"/>
          <w:szCs w:val="21"/>
          <w:lang w:val="en" w:eastAsia="en-GB"/>
        </w:rPr>
      </w:pPr>
      <w:r>
        <w:rPr>
          <w:rFonts w:ascii="Verdana" w:eastAsia="Times New Roman" w:hAnsi="Verdana" w:cs="Helvetica"/>
          <w:color w:val="000000"/>
          <w:sz w:val="21"/>
          <w:szCs w:val="21"/>
          <w:lang w:val="en" w:eastAsia="en-GB"/>
        </w:rPr>
        <w:pict>
          <v:rect id="_x0000_i1027" style="width:0;height:1.5pt" o:hralign="center" o:hrstd="t" o:hr="t" fillcolor="#a0a0a0" stroked="f"/>
        </w:pic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The International Plant Protection Convention (IPPC) Secretariat is soliciting nominations for appropriately qualified experts to take part in:</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one</w:t>
      </w:r>
      <w:proofErr w:type="gramEnd"/>
      <w:r w:rsidRPr="00552F7F">
        <w:rPr>
          <w:rFonts w:ascii="Verdana" w:eastAsia="Times New Roman" w:hAnsi="Verdana" w:cs="Helvetica"/>
          <w:color w:val="000000"/>
          <w:sz w:val="21"/>
          <w:szCs w:val="21"/>
          <w:lang w:val="en" w:eastAsia="en-GB"/>
        </w:rPr>
        <w:t xml:space="preserve"> Expert working group (EWG) to develop an international standard on </w:t>
      </w:r>
      <w:r w:rsidRPr="00552F7F">
        <w:rPr>
          <w:rFonts w:ascii="Verdana" w:eastAsia="Times New Roman" w:hAnsi="Verdana" w:cs="Helvetica"/>
          <w:i/>
          <w:iCs/>
          <w:color w:val="000000"/>
          <w:sz w:val="21"/>
          <w:szCs w:val="21"/>
          <w:lang w:val="en" w:eastAsia="en-GB"/>
        </w:rPr>
        <w:t>Authorization of entities to perform phytosanitary actions</w:t>
      </w:r>
      <w:r w:rsidRPr="00552F7F">
        <w:rPr>
          <w:rFonts w:ascii="Verdana" w:eastAsia="Times New Roman" w:hAnsi="Verdana" w:cs="Helvetica"/>
          <w:color w:val="000000"/>
          <w:sz w:val="21"/>
          <w:szCs w:val="21"/>
          <w:lang w:val="en" w:eastAsia="en-GB"/>
        </w:rPr>
        <w:t xml:space="preserve"> (2014-002),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one</w:t>
      </w:r>
      <w:proofErr w:type="gramEnd"/>
      <w:r w:rsidRPr="00552F7F">
        <w:rPr>
          <w:rFonts w:ascii="Verdana" w:eastAsia="Times New Roman" w:hAnsi="Verdana" w:cs="Helvetica"/>
          <w:color w:val="000000"/>
          <w:sz w:val="21"/>
          <w:szCs w:val="21"/>
          <w:lang w:val="en" w:eastAsia="en-GB"/>
        </w:rPr>
        <w:t xml:space="preserve"> EWG on the Revision of ISPM 8: </w:t>
      </w:r>
      <w:r w:rsidRPr="00552F7F">
        <w:rPr>
          <w:rFonts w:ascii="Verdana" w:eastAsia="Times New Roman" w:hAnsi="Verdana" w:cs="Helvetica"/>
          <w:i/>
          <w:iCs/>
          <w:color w:val="000000"/>
          <w:sz w:val="21"/>
          <w:szCs w:val="21"/>
          <w:lang w:val="en" w:eastAsia="en-GB"/>
        </w:rPr>
        <w:t>Determination of pest status in an area</w:t>
      </w:r>
      <w:r w:rsidRPr="00552F7F">
        <w:rPr>
          <w:rFonts w:ascii="Verdana" w:eastAsia="Times New Roman" w:hAnsi="Verdana" w:cs="Helvetica"/>
          <w:color w:val="000000"/>
          <w:sz w:val="21"/>
          <w:szCs w:val="21"/>
          <w:lang w:val="en" w:eastAsia="en-GB"/>
        </w:rPr>
        <w:t xml:space="preserve"> (2009-005),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the</w:t>
      </w:r>
      <w:proofErr w:type="gramEnd"/>
      <w:r w:rsidRPr="00552F7F">
        <w:rPr>
          <w:rFonts w:ascii="Verdana" w:eastAsia="Times New Roman" w:hAnsi="Verdana" w:cs="Helvetica"/>
          <w:color w:val="000000"/>
          <w:sz w:val="21"/>
          <w:szCs w:val="21"/>
          <w:lang w:val="en" w:eastAsia="en-GB"/>
        </w:rPr>
        <w:t xml:space="preserve"> Technical Panel for the Glossary (TPG).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Nominations are due </w:t>
      </w:r>
      <w:r w:rsidRPr="00552F7F">
        <w:rPr>
          <w:rFonts w:ascii="Verdana" w:eastAsia="Times New Roman" w:hAnsi="Verdana" w:cs="Helvetica"/>
          <w:b/>
          <w:bCs/>
          <w:color w:val="000000"/>
          <w:sz w:val="21"/>
          <w:szCs w:val="21"/>
          <w:lang w:val="en" w:eastAsia="en-GB"/>
        </w:rPr>
        <w:t>31 March 2017</w:t>
      </w:r>
      <w:r w:rsidRPr="00552F7F">
        <w:rPr>
          <w:rFonts w:ascii="Verdana" w:eastAsia="Times New Roman" w:hAnsi="Verdana" w:cs="Helvetica"/>
          <w:color w:val="000000"/>
          <w:sz w:val="21"/>
          <w:szCs w:val="21"/>
          <w:lang w:val="en" w:eastAsia="en-GB"/>
        </w:rPr>
        <w:t xml:space="preserve">.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1. Instructions for making nominations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Nominations will be accepted from contracting parties, national or regional plant protection organizations (NPPOs or RPPOs) through their respective NPPO or RPPO official IPPC Contact Point and self-nominations should be supported by an accompanying letter from a government authority. A nomination should only be made if the nominee has agreed to his/her nomination, is available for the meeting dates as posted on the </w:t>
      </w:r>
      <w:hyperlink r:id="rId13" w:history="1">
        <w:r w:rsidRPr="00552F7F">
          <w:rPr>
            <w:rFonts w:ascii="Verdana" w:eastAsia="Times New Roman" w:hAnsi="Verdana" w:cs="Helvetica"/>
            <w:color w:val="0088CC"/>
            <w:sz w:val="21"/>
            <w:szCs w:val="21"/>
            <w:lang w:val="en" w:eastAsia="en-GB"/>
          </w:rPr>
          <w:t>IPPC Calendar (2017)</w:t>
        </w:r>
      </w:hyperlink>
      <w:r w:rsidRPr="00552F7F">
        <w:rPr>
          <w:rFonts w:ascii="Verdana" w:eastAsia="Times New Roman" w:hAnsi="Verdana" w:cs="Helvetica"/>
          <w:color w:val="000000"/>
          <w:sz w:val="21"/>
          <w:szCs w:val="21"/>
          <w:lang w:val="en" w:eastAsia="en-GB"/>
        </w:rPr>
        <w:t xml:space="preserve"> and can allocate appropriate time to the task as outlined in the Statement of Commitment. Each nomination must be accompanied by the following documentation:</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r w:rsidRPr="00552F7F">
        <w:rPr>
          <w:rFonts w:ascii="Verdana" w:eastAsia="Times New Roman" w:hAnsi="Verdana" w:cs="Helvetica"/>
          <w:b/>
          <w:bCs/>
          <w:color w:val="000000"/>
          <w:sz w:val="21"/>
          <w:szCs w:val="21"/>
          <w:lang w:val="en" w:eastAsia="en-GB"/>
        </w:rPr>
        <w:t>Completed nominee details and summary of expertise form</w:t>
      </w:r>
      <w:r w:rsidRPr="00552F7F">
        <w:rPr>
          <w:rFonts w:ascii="Verdana" w:eastAsia="Times New Roman" w:hAnsi="Verdana" w:cs="Helvetica"/>
          <w:color w:val="000000"/>
          <w:sz w:val="21"/>
          <w:szCs w:val="21"/>
          <w:lang w:val="en" w:eastAsia="en-GB"/>
        </w:rPr>
        <w:t xml:space="preserve"> - All sections should be completed, including contact details, education and professional training. A clear description of the nominee’s expertise in one of more of the areas of specific expertise is required. Word version of the document is preferred</w:t>
      </w:r>
      <w:proofErr w:type="gramStart"/>
      <w:r w:rsidRPr="00552F7F">
        <w:rPr>
          <w:rFonts w:ascii="Verdana" w:eastAsia="Times New Roman" w:hAnsi="Verdana" w:cs="Helvetica"/>
          <w:color w:val="000000"/>
          <w:sz w:val="21"/>
          <w:szCs w:val="21"/>
          <w:lang w:val="en" w:eastAsia="en-GB"/>
        </w:rPr>
        <w:t>.*</w:t>
      </w:r>
      <w:proofErr w:type="gramEnd"/>
      <w:r w:rsidRPr="00552F7F">
        <w:rPr>
          <w:rFonts w:ascii="Verdana" w:eastAsia="Times New Roman" w:hAnsi="Verdana" w:cs="Helvetica"/>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r w:rsidRPr="00552F7F">
        <w:rPr>
          <w:rFonts w:ascii="Verdana" w:eastAsia="Times New Roman" w:hAnsi="Verdana" w:cs="Helvetica"/>
          <w:b/>
          <w:bCs/>
          <w:color w:val="000000"/>
          <w:sz w:val="21"/>
          <w:szCs w:val="21"/>
          <w:lang w:val="en" w:eastAsia="en-GB"/>
        </w:rPr>
        <w:t>Completed and signed Statement of Commitment form</w:t>
      </w:r>
      <w:r w:rsidRPr="00552F7F">
        <w:rPr>
          <w:rFonts w:ascii="Verdana" w:eastAsia="Times New Roman" w:hAnsi="Verdana" w:cs="Helvetica"/>
          <w:color w:val="000000"/>
          <w:sz w:val="21"/>
          <w:szCs w:val="21"/>
          <w:lang w:val="en" w:eastAsia="en-GB"/>
        </w:rPr>
        <w:t xml:space="preserve"> - this should be read carefully by each nominee and a discussion had between the nominee and their employer. The form should then be signed by the nominee and a senior person in authority from the organization that employs the nominee and submitted with the nomination (as a scanned image file such as PDF). The file should be named as follows: </w:t>
      </w:r>
      <w:proofErr w:type="spellStart"/>
      <w:r w:rsidRPr="00552F7F">
        <w:rPr>
          <w:rFonts w:ascii="Verdana" w:eastAsia="Times New Roman" w:hAnsi="Verdana" w:cs="Helvetica"/>
          <w:b/>
          <w:bCs/>
          <w:color w:val="000000"/>
          <w:sz w:val="21"/>
          <w:szCs w:val="21"/>
          <w:lang w:val="en" w:eastAsia="en-GB"/>
        </w:rPr>
        <w:t>COUNTRY_SURNAME_Firstname_committment</w:t>
      </w:r>
      <w:proofErr w:type="spellEnd"/>
      <w:r w:rsidRPr="00552F7F">
        <w:rPr>
          <w:rFonts w:ascii="Verdana" w:eastAsia="Times New Roman" w:hAnsi="Verdana" w:cs="Helvetica"/>
          <w:b/>
          <w:bCs/>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The nominee’s Curriculum Vitae (CV) – electronic copy of the nominee’s CV (only as a word processing file such as MS Word) with the file named as follows: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proofErr w:type="spellStart"/>
      <w:r w:rsidRPr="00552F7F">
        <w:rPr>
          <w:rFonts w:ascii="Verdana" w:eastAsia="Times New Roman" w:hAnsi="Verdana" w:cs="Helvetica"/>
          <w:b/>
          <w:bCs/>
          <w:color w:val="000000"/>
          <w:sz w:val="21"/>
          <w:szCs w:val="21"/>
          <w:lang w:val="en" w:eastAsia="en-GB"/>
        </w:rPr>
        <w:t>COUNTRY_SURNAME_Firstname_CV</w:t>
      </w:r>
      <w:proofErr w:type="spellEnd"/>
      <w:r w:rsidRPr="00552F7F">
        <w:rPr>
          <w:rFonts w:ascii="Verdana" w:eastAsia="Times New Roman" w:hAnsi="Verdana" w:cs="Helvetica"/>
          <w:color w:val="000000"/>
          <w:sz w:val="21"/>
          <w:szCs w:val="21"/>
          <w:lang w:val="en" w:eastAsia="en-GB"/>
        </w:rPr>
        <w:t>. Word version of the document is preferred.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Submissions should be sent to the IPPC Secretariat by e-mail ippc@fao.org no later than </w:t>
      </w:r>
      <w:r w:rsidRPr="00552F7F">
        <w:rPr>
          <w:rFonts w:ascii="Verdana" w:eastAsia="Times New Roman" w:hAnsi="Verdana" w:cs="Helvetica"/>
          <w:b/>
          <w:bCs/>
          <w:color w:val="000000"/>
          <w:sz w:val="21"/>
          <w:szCs w:val="21"/>
          <w:lang w:val="en" w:eastAsia="en-GB"/>
        </w:rPr>
        <w:t>31 March 2017</w:t>
      </w:r>
      <w:r w:rsidRPr="00552F7F">
        <w:rPr>
          <w:rFonts w:ascii="Verdana" w:eastAsia="Times New Roman" w:hAnsi="Verdana" w:cs="Helvetica"/>
          <w:color w:val="000000"/>
          <w:sz w:val="21"/>
          <w:szCs w:val="21"/>
          <w:lang w:val="en" w:eastAsia="en-GB"/>
        </w:rPr>
        <w:t>. The name of the nominating country or RPPO and the words “Call for Experts” should be placed in the subject line of the email message. The SC will review the nominations and select experts based on the experience presented. Selected experts will be contacted by the Secretariat once the nomination has been confirmed.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2. Criteria used for prioritizing participants to receive IPPC Secretariat assistance to attend meetings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The organization that employs an IPPC meeting participant is responsible for funding the travel and daily subsistence allowance for that person to attend. If the employer is unable to allocate sufficient funds, participants are first encouraged to seek assistance from sources other than the IPPC Secretariat. Where such demonstrated efforts to secure assistance have been unsuccessful, requests for assistance (i.e. travel and subsistence costs) from the IPPC Secretariat may be made. IPPC funds available to assist attendance at meetings are usually limited and the IPPC Secretariat follows the </w:t>
      </w:r>
      <w:hyperlink r:id="rId14" w:history="1">
        <w:r w:rsidRPr="00552F7F">
          <w:rPr>
            <w:rFonts w:ascii="Verdana" w:eastAsia="Times New Roman" w:hAnsi="Verdana" w:cs="Helvetica"/>
            <w:color w:val="0088CC"/>
            <w:sz w:val="21"/>
            <w:szCs w:val="21"/>
            <w:lang w:val="en" w:eastAsia="en-GB"/>
          </w:rPr>
          <w:t>IPPC Funding Criteria</w:t>
        </w:r>
      </w:hyperlink>
      <w:r w:rsidRPr="00552F7F">
        <w:rPr>
          <w:rFonts w:ascii="Verdana" w:eastAsia="Times New Roman" w:hAnsi="Verdana" w:cs="Helvetica"/>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It is expected that participants will attend all sessions of the meeting and those participants who plan to attend only part of a meeting should fund their own travel.</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3. Specific expertise required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The Standards Committee (SC) selects experts based on how closely an expert’s skills and experience match the specific expertise required. The discussions and work of technical panels and expert working groups (EWGs) take place in English, so experts should have a strong working knowledge of English. The experts should also be available to attend the next meeting of the relevant Technical panel or EWG meeting, which can be found on the </w:t>
      </w:r>
      <w:hyperlink r:id="rId15" w:history="1">
        <w:r w:rsidRPr="00552F7F">
          <w:rPr>
            <w:rFonts w:ascii="Verdana" w:eastAsia="Times New Roman" w:hAnsi="Verdana" w:cs="Helvetica"/>
            <w:color w:val="0088CC"/>
            <w:sz w:val="21"/>
            <w:szCs w:val="21"/>
            <w:lang w:val="en" w:eastAsia="en-GB"/>
          </w:rPr>
          <w:t>IPPC Calendar (2017)</w:t>
        </w:r>
      </w:hyperlink>
      <w:r w:rsidRPr="00552F7F">
        <w:rPr>
          <w:rFonts w:ascii="Verdana" w:eastAsia="Times New Roman" w:hAnsi="Verdana" w:cs="Helvetica"/>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 xml:space="preserve">4. Expertise required for the EWG on the Authorization of entities to perform phytosanitary actions (2014-002) (see </w:t>
      </w:r>
      <w:hyperlink r:id="rId16" w:history="1">
        <w:r w:rsidRPr="00552F7F">
          <w:rPr>
            <w:rFonts w:ascii="Verdana" w:eastAsia="Times New Roman" w:hAnsi="Verdana" w:cs="Helvetica"/>
            <w:b/>
            <w:bCs/>
            <w:color w:val="0088CC"/>
            <w:sz w:val="21"/>
            <w:szCs w:val="21"/>
            <w:lang w:val="en" w:eastAsia="en-GB"/>
          </w:rPr>
          <w:t>Specification 65</w:t>
        </w:r>
      </w:hyperlink>
      <w:r w:rsidRPr="00552F7F">
        <w:rPr>
          <w:rFonts w:ascii="Verdana" w:eastAsia="Times New Roman" w:hAnsi="Verdana" w:cs="Helvetica"/>
          <w:b/>
          <w:bCs/>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Five to seven phytosanitary experts with collective expertise and experience in:</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authorization</w:t>
      </w:r>
      <w:proofErr w:type="gramEnd"/>
      <w:r w:rsidRPr="00552F7F">
        <w:rPr>
          <w:rFonts w:ascii="Verdana" w:eastAsia="Times New Roman" w:hAnsi="Verdana" w:cs="Helvetica"/>
          <w:color w:val="000000"/>
          <w:sz w:val="21"/>
          <w:szCs w:val="21"/>
          <w:lang w:val="en" w:eastAsia="en-GB"/>
        </w:rPr>
        <w:t xml:space="preserve"> of entities to perform phytosanitary actions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the</w:t>
      </w:r>
      <w:proofErr w:type="gramEnd"/>
      <w:r w:rsidRPr="00552F7F">
        <w:rPr>
          <w:rFonts w:ascii="Verdana" w:eastAsia="Times New Roman" w:hAnsi="Verdana" w:cs="Helvetica"/>
          <w:color w:val="000000"/>
          <w:sz w:val="21"/>
          <w:szCs w:val="21"/>
          <w:lang w:val="en" w:eastAsia="en-GB"/>
        </w:rPr>
        <w:t xml:space="preserve"> development of authorization </w:t>
      </w:r>
      <w:proofErr w:type="spellStart"/>
      <w:r w:rsidRPr="00552F7F">
        <w:rPr>
          <w:rFonts w:ascii="Verdana" w:eastAsia="Times New Roman" w:hAnsi="Verdana" w:cs="Helvetica"/>
          <w:color w:val="000000"/>
          <w:sz w:val="21"/>
          <w:szCs w:val="21"/>
          <w:lang w:val="en" w:eastAsia="en-GB"/>
        </w:rPr>
        <w:t>programmes</w:t>
      </w:r>
      <w:proofErr w:type="spellEnd"/>
      <w:r w:rsidRPr="00552F7F">
        <w:rPr>
          <w:rFonts w:ascii="Verdana" w:eastAsia="Times New Roman" w:hAnsi="Verdana" w:cs="Helvetica"/>
          <w:color w:val="000000"/>
          <w:sz w:val="21"/>
          <w:szCs w:val="21"/>
          <w:lang w:val="en" w:eastAsia="en-GB"/>
        </w:rPr>
        <w:t xml:space="preserve"> and the relating training elements and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knowledge</w:t>
      </w:r>
      <w:proofErr w:type="gramEnd"/>
      <w:r w:rsidRPr="00552F7F">
        <w:rPr>
          <w:rFonts w:ascii="Verdana" w:eastAsia="Times New Roman" w:hAnsi="Verdana" w:cs="Helvetica"/>
          <w:color w:val="000000"/>
          <w:sz w:val="21"/>
          <w:szCs w:val="21"/>
          <w:lang w:val="en" w:eastAsia="en-GB"/>
        </w:rPr>
        <w:t xml:space="preserve"> in auditing compliance with authorization </w:t>
      </w:r>
      <w:proofErr w:type="spellStart"/>
      <w:r w:rsidRPr="00552F7F">
        <w:rPr>
          <w:rFonts w:ascii="Verdana" w:eastAsia="Times New Roman" w:hAnsi="Verdana" w:cs="Helvetica"/>
          <w:color w:val="000000"/>
          <w:sz w:val="21"/>
          <w:szCs w:val="21"/>
          <w:lang w:val="en" w:eastAsia="en-GB"/>
        </w:rPr>
        <w:t>programmes</w:t>
      </w:r>
      <w:proofErr w:type="spellEnd"/>
      <w:r w:rsidRPr="00552F7F">
        <w:rPr>
          <w:rFonts w:ascii="Verdana" w:eastAsia="Times New Roman" w:hAnsi="Verdana" w:cs="Helvetica"/>
          <w:color w:val="000000"/>
          <w:sz w:val="21"/>
          <w:szCs w:val="21"/>
          <w:lang w:val="en" w:eastAsia="en-GB"/>
        </w:rPr>
        <w:t xml:space="preserve">.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The expert should preferably have experience in developing or implementing International Standards for Phytosanitary Measures (ISPMs).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The selected experts should be available to attend the EWG meeting in 2017, which is tentatively scheduled for 12-16 June 2017 in Ottawa, Canada, and any change will be published on the </w:t>
      </w:r>
      <w:hyperlink r:id="rId17" w:history="1">
        <w:r w:rsidRPr="00552F7F">
          <w:rPr>
            <w:rFonts w:ascii="Verdana" w:eastAsia="Times New Roman" w:hAnsi="Verdana" w:cs="Helvetica"/>
            <w:color w:val="0088CC"/>
            <w:sz w:val="21"/>
            <w:szCs w:val="21"/>
            <w:lang w:val="en" w:eastAsia="en-GB"/>
          </w:rPr>
          <w:t>IPPC Calendar (2017)</w:t>
        </w:r>
      </w:hyperlink>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 xml:space="preserve">5. Expertise required for the EWG on the Revision of ISPM 8: Determination of pest status in an area (2009-005) (see </w:t>
      </w:r>
      <w:hyperlink r:id="rId18" w:history="1">
        <w:r w:rsidRPr="00552F7F">
          <w:rPr>
            <w:rFonts w:ascii="Verdana" w:eastAsia="Times New Roman" w:hAnsi="Verdana" w:cs="Helvetica"/>
            <w:b/>
            <w:bCs/>
            <w:color w:val="0088CC"/>
            <w:sz w:val="21"/>
            <w:szCs w:val="21"/>
            <w:lang w:val="en" w:eastAsia="en-GB"/>
          </w:rPr>
          <w:t>Specification 59</w:t>
        </w:r>
      </w:hyperlink>
      <w:r w:rsidRPr="00552F7F">
        <w:rPr>
          <w:rFonts w:ascii="Verdana" w:eastAsia="Times New Roman" w:hAnsi="Verdana" w:cs="Helvetica"/>
          <w:b/>
          <w:bCs/>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Five to seven phytosanitary experts with collective expertise and experience in:</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phytosanitary</w:t>
      </w:r>
      <w:proofErr w:type="gramEnd"/>
      <w:r w:rsidRPr="00552F7F">
        <w:rPr>
          <w:rFonts w:ascii="Verdana" w:eastAsia="Times New Roman" w:hAnsi="Verdana" w:cs="Helvetica"/>
          <w:color w:val="000000"/>
          <w:sz w:val="21"/>
          <w:szCs w:val="21"/>
          <w:lang w:val="en" w:eastAsia="en-GB"/>
        </w:rPr>
        <w:t xml:space="preserve"> systems;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pest</w:t>
      </w:r>
      <w:proofErr w:type="gramEnd"/>
      <w:r w:rsidRPr="00552F7F">
        <w:rPr>
          <w:rFonts w:ascii="Verdana" w:eastAsia="Times New Roman" w:hAnsi="Verdana" w:cs="Helvetica"/>
          <w:color w:val="000000"/>
          <w:sz w:val="21"/>
          <w:szCs w:val="21"/>
          <w:lang w:val="en" w:eastAsia="en-GB"/>
        </w:rPr>
        <w:t xml:space="preserve"> risk analysis;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the</w:t>
      </w:r>
      <w:proofErr w:type="gramEnd"/>
      <w:r w:rsidRPr="00552F7F">
        <w:rPr>
          <w:rFonts w:ascii="Verdana" w:eastAsia="Times New Roman" w:hAnsi="Verdana" w:cs="Helvetica"/>
          <w:color w:val="000000"/>
          <w:sz w:val="21"/>
          <w:szCs w:val="21"/>
          <w:lang w:val="en" w:eastAsia="en-GB"/>
        </w:rPr>
        <w:t xml:space="preserve"> development and implementation of ISPMs;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surveillance</w:t>
      </w:r>
      <w:proofErr w:type="gramEnd"/>
      <w:r w:rsidRPr="00552F7F">
        <w:rPr>
          <w:rFonts w:ascii="Verdana" w:eastAsia="Times New Roman" w:hAnsi="Verdana" w:cs="Helvetica"/>
          <w:color w:val="000000"/>
          <w:sz w:val="21"/>
          <w:szCs w:val="21"/>
          <w:lang w:val="en" w:eastAsia="en-GB"/>
        </w:rPr>
        <w:t xml:space="preserve">, monitoring or eradication </w:t>
      </w:r>
      <w:proofErr w:type="spellStart"/>
      <w:r w:rsidRPr="00552F7F">
        <w:rPr>
          <w:rFonts w:ascii="Verdana" w:eastAsia="Times New Roman" w:hAnsi="Verdana" w:cs="Helvetica"/>
          <w:color w:val="000000"/>
          <w:sz w:val="21"/>
          <w:szCs w:val="21"/>
          <w:lang w:val="en" w:eastAsia="en-GB"/>
        </w:rPr>
        <w:t>programmes</w:t>
      </w:r>
      <w:proofErr w:type="spellEnd"/>
      <w:r w:rsidRPr="00552F7F">
        <w:rPr>
          <w:rFonts w:ascii="Verdana" w:eastAsia="Times New Roman" w:hAnsi="Verdana" w:cs="Helvetica"/>
          <w:color w:val="000000"/>
          <w:sz w:val="21"/>
          <w:szCs w:val="21"/>
          <w:lang w:val="en" w:eastAsia="en-GB"/>
        </w:rPr>
        <w:t xml:space="preserve"> for regulated pests;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determination</w:t>
      </w:r>
      <w:proofErr w:type="gramEnd"/>
      <w:r w:rsidRPr="00552F7F">
        <w:rPr>
          <w:rFonts w:ascii="Verdana" w:eastAsia="Times New Roman" w:hAnsi="Verdana" w:cs="Helvetica"/>
          <w:color w:val="000000"/>
          <w:sz w:val="21"/>
          <w:szCs w:val="21"/>
          <w:lang w:val="en" w:eastAsia="en-GB"/>
        </w:rPr>
        <w:t xml:space="preserve"> of pest status and;</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 </w:t>
      </w:r>
      <w:proofErr w:type="gramStart"/>
      <w:r w:rsidRPr="00552F7F">
        <w:rPr>
          <w:rFonts w:ascii="Verdana" w:eastAsia="Times New Roman" w:hAnsi="Verdana" w:cs="Helvetica"/>
          <w:color w:val="000000"/>
          <w:sz w:val="21"/>
          <w:szCs w:val="21"/>
          <w:lang w:val="en" w:eastAsia="en-GB"/>
        </w:rPr>
        <w:t>verification</w:t>
      </w:r>
      <w:proofErr w:type="gramEnd"/>
      <w:r w:rsidRPr="00552F7F">
        <w:rPr>
          <w:rFonts w:ascii="Verdana" w:eastAsia="Times New Roman" w:hAnsi="Verdana" w:cs="Helvetica"/>
          <w:color w:val="000000"/>
          <w:sz w:val="21"/>
          <w:szCs w:val="21"/>
          <w:lang w:val="en" w:eastAsia="en-GB"/>
        </w:rPr>
        <w:t xml:space="preserve"> of pest records and have an understanding of the use of terminology within those systems.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The expert should preferably have experience in developing or implementing International Standards for Phytosanitary Measures (ISPMs).</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The selected experts should be available to attend the EWG meeting in 2017, which is tentatively scheduled for 18-23 September 2017 in Hanoi, Viet Nam, and any change will be published on the IPPC Calendar (2017).</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b/>
          <w:bCs/>
          <w:color w:val="000000"/>
          <w:sz w:val="21"/>
          <w:szCs w:val="21"/>
          <w:lang w:val="en" w:eastAsia="en-GB"/>
        </w:rPr>
        <w:t xml:space="preserve">6. Expertise required (see </w:t>
      </w:r>
      <w:hyperlink r:id="rId19" w:history="1">
        <w:r w:rsidRPr="00552F7F">
          <w:rPr>
            <w:rFonts w:ascii="Verdana" w:eastAsia="Times New Roman" w:hAnsi="Verdana" w:cs="Helvetica"/>
            <w:b/>
            <w:bCs/>
            <w:color w:val="0088CC"/>
            <w:sz w:val="21"/>
            <w:szCs w:val="21"/>
            <w:lang w:val="en" w:eastAsia="en-GB"/>
          </w:rPr>
          <w:t>Specification TP 5 -Technical Panel for the Glossary (2016)</w:t>
        </w:r>
      </w:hyperlink>
      <w:r w:rsidRPr="00552F7F">
        <w:rPr>
          <w:rFonts w:ascii="Verdana" w:eastAsia="Times New Roman" w:hAnsi="Verdana" w:cs="Helvetica"/>
          <w:b/>
          <w:bCs/>
          <w:color w:val="000000"/>
          <w:sz w:val="21"/>
          <w:szCs w:val="21"/>
          <w:lang w:val="en" w:eastAsia="en-GB"/>
        </w:rPr>
        <w:t>)</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TPG – Arabic, Chinese, and English speaking members </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Three experts for a five-year term beginning in 2017 as members of the TPG for the Chinese, Arabic and English language.</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The phytosanitary, terminology and language expertise required is described in the specification.</w:t>
      </w:r>
    </w:p>
    <w:p w:rsidR="00552F7F" w:rsidRPr="00552F7F" w:rsidRDefault="00552F7F" w:rsidP="00552F7F">
      <w:pPr>
        <w:spacing w:before="75" w:after="225" w:line="330" w:lineRule="atLeast"/>
        <w:rPr>
          <w:rFonts w:ascii="Verdana" w:eastAsia="Times New Roman" w:hAnsi="Verdana" w:cs="Helvetica"/>
          <w:color w:val="000000"/>
          <w:sz w:val="21"/>
          <w:szCs w:val="21"/>
          <w:lang w:val="en" w:eastAsia="en-GB"/>
        </w:rPr>
      </w:pPr>
      <w:r w:rsidRPr="00552F7F">
        <w:rPr>
          <w:rFonts w:ascii="Verdana" w:eastAsia="Times New Roman" w:hAnsi="Verdana" w:cs="Helvetica"/>
          <w:color w:val="000000"/>
          <w:sz w:val="21"/>
          <w:szCs w:val="21"/>
          <w:lang w:val="en" w:eastAsia="en-GB"/>
        </w:rPr>
        <w:t xml:space="preserve">This is for a five-year term and the selected experts should be available to attend all meetings of the TPG with the next one scheduled for 04-07 December 2017 in Rome, Italy and any change will be published on the </w:t>
      </w:r>
      <w:hyperlink r:id="rId20" w:history="1">
        <w:r w:rsidRPr="00552F7F">
          <w:rPr>
            <w:rFonts w:ascii="Verdana" w:eastAsia="Times New Roman" w:hAnsi="Verdana" w:cs="Helvetica"/>
            <w:color w:val="0088CC"/>
            <w:sz w:val="21"/>
            <w:szCs w:val="21"/>
            <w:lang w:val="en" w:eastAsia="en-GB"/>
          </w:rPr>
          <w:t>IPPC Calendar (2017)</w:t>
        </w:r>
      </w:hyperlink>
      <w:r w:rsidRPr="00552F7F">
        <w:rPr>
          <w:rFonts w:ascii="Verdana" w:eastAsia="Times New Roman" w:hAnsi="Verdana" w:cs="Helvetica"/>
          <w:color w:val="000000"/>
          <w:sz w:val="21"/>
          <w:szCs w:val="21"/>
          <w:lang w:val="en" w:eastAsia="en-GB"/>
        </w:rPr>
        <w:t xml:space="preserve">. </w:t>
      </w:r>
    </w:p>
    <w:sectPr w:rsidR="00552F7F" w:rsidRPr="00552F7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inherit">
    <w:altName w:val="Times New Roman"/>
    <w:panose1 w:val="00000000000000000000"/>
    <w:charset w:val="00"/>
    <w:family w:val="roman"/>
    <w:notTrueType/>
    <w:pitch w:val="default"/>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045F3C"/>
    <w:multiLevelType w:val="multilevel"/>
    <w:tmpl w:val="93DAB8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66B6C37"/>
    <w:multiLevelType w:val="multilevel"/>
    <w:tmpl w:val="95DEC8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F13C4"/>
    <w:multiLevelType w:val="multilevel"/>
    <w:tmpl w:val="05E2148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EA25633"/>
    <w:multiLevelType w:val="multilevel"/>
    <w:tmpl w:val="7B5E2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897235"/>
    <w:multiLevelType w:val="multilevel"/>
    <w:tmpl w:val="5CF6A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01A16A7"/>
    <w:multiLevelType w:val="multilevel"/>
    <w:tmpl w:val="4E5A51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7BD7AA3"/>
    <w:multiLevelType w:val="multilevel"/>
    <w:tmpl w:val="219EF4C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95C30CE"/>
    <w:multiLevelType w:val="multilevel"/>
    <w:tmpl w:val="1FD82C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5BC794B"/>
    <w:multiLevelType w:val="multilevel"/>
    <w:tmpl w:val="EA8A3A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7EE3698"/>
    <w:multiLevelType w:val="multilevel"/>
    <w:tmpl w:val="391A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9"/>
  </w:num>
  <w:num w:numId="4">
    <w:abstractNumId w:val="7"/>
  </w:num>
  <w:num w:numId="5">
    <w:abstractNumId w:val="0"/>
  </w:num>
  <w:num w:numId="6">
    <w:abstractNumId w:val="6"/>
  </w:num>
  <w:num w:numId="7">
    <w:abstractNumId w:val="1"/>
  </w:num>
  <w:num w:numId="8">
    <w:abstractNumId w:val="4"/>
  </w:num>
  <w:num w:numId="9">
    <w:abstractNumId w:val="8"/>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7F"/>
    <w:rsid w:val="00103E0E"/>
    <w:rsid w:val="00552F7F"/>
    <w:rsid w:val="005D05A4"/>
    <w:rsid w:val="00C9712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5:chartTrackingRefBased/>
  <w15:docId w15:val="{2DCB7E46-DAAE-4DBF-BC88-F459B4A5B0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52F7F"/>
    <w:pPr>
      <w:spacing w:before="150" w:after="150" w:line="600" w:lineRule="atLeast"/>
      <w:outlineLvl w:val="1"/>
    </w:pPr>
    <w:rPr>
      <w:rFonts w:ascii="inherit" w:eastAsia="Times New Roman" w:hAnsi="inherit" w:cs="Times New Roman"/>
      <w:b/>
      <w:bCs/>
      <w:sz w:val="41"/>
      <w:szCs w:val="4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2F7F"/>
    <w:rPr>
      <w:rFonts w:ascii="inherit" w:eastAsia="Times New Roman" w:hAnsi="inherit" w:cs="Times New Roman"/>
      <w:b/>
      <w:bCs/>
      <w:sz w:val="41"/>
      <w:szCs w:val="41"/>
      <w:lang w:eastAsia="en-GB"/>
    </w:rPr>
  </w:style>
  <w:style w:type="character" w:styleId="Hyperlink">
    <w:name w:val="Hyperlink"/>
    <w:basedOn w:val="DefaultParagraphFont"/>
    <w:uiPriority w:val="99"/>
    <w:semiHidden/>
    <w:unhideWhenUsed/>
    <w:rsid w:val="00552F7F"/>
    <w:rPr>
      <w:strike w:val="0"/>
      <w:dstrike w:val="0"/>
      <w:color w:val="0088CC"/>
      <w:u w:val="none"/>
      <w:effect w:val="none"/>
    </w:rPr>
  </w:style>
  <w:style w:type="character" w:styleId="Emphasis">
    <w:name w:val="Emphasis"/>
    <w:basedOn w:val="DefaultParagraphFont"/>
    <w:uiPriority w:val="20"/>
    <w:qFormat/>
    <w:rsid w:val="00552F7F"/>
    <w:rPr>
      <w:i/>
      <w:iCs/>
    </w:rPr>
  </w:style>
  <w:style w:type="character" w:styleId="Strong">
    <w:name w:val="Strong"/>
    <w:basedOn w:val="DefaultParagraphFont"/>
    <w:uiPriority w:val="22"/>
    <w:qFormat/>
    <w:rsid w:val="00552F7F"/>
    <w:rPr>
      <w:b/>
      <w:bCs/>
    </w:rPr>
  </w:style>
  <w:style w:type="paragraph" w:styleId="NormalWeb">
    <w:name w:val="Normal (Web)"/>
    <w:basedOn w:val="Normal"/>
    <w:uiPriority w:val="99"/>
    <w:semiHidden/>
    <w:unhideWhenUsed/>
    <w:rsid w:val="00552F7F"/>
    <w:pPr>
      <w:spacing w:before="75" w:after="225" w:line="330" w:lineRule="atLeast"/>
    </w:pPr>
    <w:rPr>
      <w:rFonts w:ascii="Times New Roman" w:eastAsia="Times New Roman" w:hAnsi="Times New Roman" w:cs="Times New Roman"/>
      <w:sz w:val="24"/>
      <w:szCs w:val="24"/>
      <w:lang w:eastAsia="en-GB"/>
    </w:rPr>
  </w:style>
  <w:style w:type="paragraph" w:styleId="z-TopofForm">
    <w:name w:val="HTML Top of Form"/>
    <w:basedOn w:val="Normal"/>
    <w:next w:val="Normal"/>
    <w:link w:val="z-TopofFormChar"/>
    <w:hidden/>
    <w:uiPriority w:val="99"/>
    <w:semiHidden/>
    <w:unhideWhenUsed/>
    <w:rsid w:val="00552F7F"/>
    <w:pPr>
      <w:pBdr>
        <w:bottom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TopofFormChar">
    <w:name w:val="z-Top of Form Char"/>
    <w:basedOn w:val="DefaultParagraphFont"/>
    <w:link w:val="z-TopofForm"/>
    <w:uiPriority w:val="99"/>
    <w:semiHidden/>
    <w:rsid w:val="00552F7F"/>
    <w:rPr>
      <w:rFonts w:ascii="Arial" w:eastAsia="Times New Roman" w:hAnsi="Arial" w:cs="Arial"/>
      <w:vanish/>
      <w:sz w:val="16"/>
      <w:szCs w:val="16"/>
      <w:lang w:eastAsia="en-GB"/>
    </w:rPr>
  </w:style>
  <w:style w:type="paragraph" w:styleId="z-BottomofForm">
    <w:name w:val="HTML Bottom of Form"/>
    <w:basedOn w:val="Normal"/>
    <w:next w:val="Normal"/>
    <w:link w:val="z-BottomofFormChar"/>
    <w:hidden/>
    <w:uiPriority w:val="99"/>
    <w:semiHidden/>
    <w:unhideWhenUsed/>
    <w:rsid w:val="00552F7F"/>
    <w:pPr>
      <w:pBdr>
        <w:top w:val="single" w:sz="6" w:space="1" w:color="auto"/>
      </w:pBdr>
      <w:spacing w:after="0" w:line="240" w:lineRule="auto"/>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semiHidden/>
    <w:rsid w:val="00552F7F"/>
    <w:rPr>
      <w:rFonts w:ascii="Arial" w:eastAsia="Times New Roman" w:hAnsi="Arial" w:cs="Arial"/>
      <w:vanish/>
      <w:sz w:val="16"/>
      <w:szCs w:val="16"/>
      <w:lang w:eastAsia="en-GB"/>
    </w:rPr>
  </w:style>
  <w:style w:type="character" w:customStyle="1" w:styleId="icon-home">
    <w:name w:val="icon-home"/>
    <w:basedOn w:val="DefaultParagraphFont"/>
    <w:rsid w:val="00552F7F"/>
  </w:style>
  <w:style w:type="character" w:customStyle="1" w:styleId="divider4">
    <w:name w:val="divider4"/>
    <w:basedOn w:val="DefaultParagraphFont"/>
    <w:rsid w:val="00552F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45179620">
      <w:marLeft w:val="0"/>
      <w:marRight w:val="0"/>
      <w:marTop w:val="0"/>
      <w:marBottom w:val="0"/>
      <w:divBdr>
        <w:top w:val="none" w:sz="0" w:space="0" w:color="auto"/>
        <w:left w:val="none" w:sz="0" w:space="0" w:color="auto"/>
        <w:bottom w:val="none" w:sz="0" w:space="0" w:color="auto"/>
        <w:right w:val="none" w:sz="0" w:space="0" w:color="auto"/>
      </w:divBdr>
      <w:divsChild>
        <w:div w:id="218444559">
          <w:marLeft w:val="0"/>
          <w:marRight w:val="0"/>
          <w:marTop w:val="0"/>
          <w:marBottom w:val="0"/>
          <w:divBdr>
            <w:top w:val="none" w:sz="0" w:space="0" w:color="auto"/>
            <w:left w:val="none" w:sz="0" w:space="0" w:color="auto"/>
            <w:bottom w:val="none" w:sz="0" w:space="0" w:color="auto"/>
            <w:right w:val="none" w:sz="0" w:space="0" w:color="auto"/>
          </w:divBdr>
          <w:divsChild>
            <w:div w:id="1402827010">
              <w:marLeft w:val="0"/>
              <w:marRight w:val="0"/>
              <w:marTop w:val="225"/>
              <w:marBottom w:val="300"/>
              <w:divBdr>
                <w:top w:val="single" w:sz="6" w:space="6" w:color="FBEED5"/>
                <w:left w:val="single" w:sz="6" w:space="11" w:color="FBEED5"/>
                <w:bottom w:val="single" w:sz="6" w:space="6" w:color="FBEED5"/>
                <w:right w:val="single" w:sz="6" w:space="26" w:color="FBEED5"/>
              </w:divBdr>
            </w:div>
            <w:div w:id="1416052947">
              <w:marLeft w:val="0"/>
              <w:marRight w:val="0"/>
              <w:marTop w:val="0"/>
              <w:marBottom w:val="0"/>
              <w:divBdr>
                <w:top w:val="none" w:sz="0" w:space="0" w:color="auto"/>
                <w:left w:val="none" w:sz="0" w:space="0" w:color="auto"/>
                <w:bottom w:val="none" w:sz="0" w:space="0" w:color="auto"/>
                <w:right w:val="none" w:sz="0" w:space="0" w:color="auto"/>
              </w:divBdr>
              <w:divsChild>
                <w:div w:id="1738362898">
                  <w:marLeft w:val="0"/>
                  <w:marRight w:val="0"/>
                  <w:marTop w:val="0"/>
                  <w:marBottom w:val="0"/>
                  <w:divBdr>
                    <w:top w:val="none" w:sz="0" w:space="0" w:color="auto"/>
                    <w:left w:val="none" w:sz="0" w:space="0" w:color="auto"/>
                    <w:bottom w:val="none" w:sz="0" w:space="0" w:color="auto"/>
                    <w:right w:val="none" w:sz="0" w:space="0" w:color="auto"/>
                  </w:divBdr>
                  <w:divsChild>
                    <w:div w:id="1393041880">
                      <w:marLeft w:val="0"/>
                      <w:marRight w:val="0"/>
                      <w:marTop w:val="0"/>
                      <w:marBottom w:val="0"/>
                      <w:divBdr>
                        <w:top w:val="none" w:sz="0" w:space="0" w:color="auto"/>
                        <w:left w:val="none" w:sz="0" w:space="0" w:color="auto"/>
                        <w:bottom w:val="none" w:sz="0" w:space="0" w:color="auto"/>
                        <w:right w:val="none" w:sz="0" w:space="0" w:color="auto"/>
                      </w:divBdr>
                      <w:divsChild>
                        <w:div w:id="34232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6485256">
                  <w:marLeft w:val="0"/>
                  <w:marRight w:val="0"/>
                  <w:marTop w:val="0"/>
                  <w:marBottom w:val="0"/>
                  <w:divBdr>
                    <w:top w:val="none" w:sz="0" w:space="0" w:color="auto"/>
                    <w:left w:val="none" w:sz="0" w:space="0" w:color="auto"/>
                    <w:bottom w:val="none" w:sz="0" w:space="0" w:color="auto"/>
                    <w:right w:val="none" w:sz="0" w:space="0" w:color="auto"/>
                  </w:divBdr>
                  <w:divsChild>
                    <w:div w:id="824051913">
                      <w:marLeft w:val="0"/>
                      <w:marRight w:val="0"/>
                      <w:marTop w:val="0"/>
                      <w:marBottom w:val="0"/>
                      <w:divBdr>
                        <w:top w:val="none" w:sz="0" w:space="0" w:color="auto"/>
                        <w:left w:val="none" w:sz="0" w:space="0" w:color="auto"/>
                        <w:bottom w:val="none" w:sz="0" w:space="0" w:color="auto"/>
                        <w:right w:val="none" w:sz="0" w:space="0" w:color="auto"/>
                      </w:divBdr>
                      <w:divsChild>
                        <w:div w:id="1841190739">
                          <w:marLeft w:val="0"/>
                          <w:marRight w:val="0"/>
                          <w:marTop w:val="0"/>
                          <w:marBottom w:val="0"/>
                          <w:divBdr>
                            <w:top w:val="none" w:sz="0" w:space="0" w:color="auto"/>
                            <w:left w:val="none" w:sz="0" w:space="0" w:color="auto"/>
                            <w:bottom w:val="none" w:sz="0" w:space="0" w:color="auto"/>
                            <w:right w:val="none" w:sz="0" w:space="0" w:color="auto"/>
                          </w:divBdr>
                        </w:div>
                      </w:divsChild>
                    </w:div>
                    <w:div w:id="1928148076">
                      <w:marLeft w:val="0"/>
                      <w:marRight w:val="0"/>
                      <w:marTop w:val="0"/>
                      <w:marBottom w:val="0"/>
                      <w:divBdr>
                        <w:top w:val="none" w:sz="0" w:space="0" w:color="auto"/>
                        <w:left w:val="none" w:sz="0" w:space="0" w:color="auto"/>
                        <w:bottom w:val="none" w:sz="0" w:space="0" w:color="auto"/>
                        <w:right w:val="none" w:sz="0" w:space="0" w:color="auto"/>
                      </w:divBdr>
                      <w:divsChild>
                        <w:div w:id="1864710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7902149">
          <w:marLeft w:val="0"/>
          <w:marRight w:val="0"/>
          <w:marTop w:val="0"/>
          <w:marBottom w:val="0"/>
          <w:divBdr>
            <w:top w:val="none" w:sz="0" w:space="0" w:color="auto"/>
            <w:left w:val="none" w:sz="0" w:space="0" w:color="auto"/>
            <w:bottom w:val="none" w:sz="0" w:space="0" w:color="auto"/>
            <w:right w:val="none" w:sz="0" w:space="0" w:color="auto"/>
          </w:divBdr>
          <w:divsChild>
            <w:div w:id="128346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179653">
      <w:marLeft w:val="0"/>
      <w:marRight w:val="0"/>
      <w:marTop w:val="0"/>
      <w:marBottom w:val="300"/>
      <w:divBdr>
        <w:top w:val="none" w:sz="0" w:space="0" w:color="auto"/>
        <w:left w:val="none" w:sz="0" w:space="0" w:color="auto"/>
        <w:bottom w:val="none" w:sz="0" w:space="0" w:color="auto"/>
        <w:right w:val="none" w:sz="0" w:space="0" w:color="auto"/>
      </w:divBdr>
      <w:divsChild>
        <w:div w:id="952131112">
          <w:marLeft w:val="0"/>
          <w:marRight w:val="0"/>
          <w:marTop w:val="0"/>
          <w:marBottom w:val="0"/>
          <w:divBdr>
            <w:top w:val="single" w:sz="6" w:space="0" w:color="D4D4D4"/>
            <w:left w:val="single" w:sz="6" w:space="15" w:color="D4D4D4"/>
            <w:bottom w:val="single" w:sz="6" w:space="0" w:color="D4D4D4"/>
            <w:right w:val="single" w:sz="6" w:space="15" w:color="D4D4D4"/>
          </w:divBdr>
          <w:divsChild>
            <w:div w:id="984428001">
              <w:marLeft w:val="0"/>
              <w:marRight w:val="0"/>
              <w:marTop w:val="0"/>
              <w:marBottom w:val="0"/>
              <w:divBdr>
                <w:top w:val="none" w:sz="0" w:space="0" w:color="auto"/>
                <w:left w:val="none" w:sz="0" w:space="0" w:color="auto"/>
                <w:bottom w:val="none" w:sz="0" w:space="0" w:color="auto"/>
                <w:right w:val="none" w:sz="0" w:space="0" w:color="auto"/>
              </w:divBdr>
              <w:divsChild>
                <w:div w:id="1989282585">
                  <w:marLeft w:val="0"/>
                  <w:marRight w:val="0"/>
                  <w:marTop w:val="0"/>
                  <w:marBottom w:val="0"/>
                  <w:divBdr>
                    <w:top w:val="none" w:sz="0" w:space="0" w:color="auto"/>
                    <w:left w:val="none" w:sz="0" w:space="0" w:color="auto"/>
                    <w:bottom w:val="none" w:sz="0" w:space="0" w:color="auto"/>
                    <w:right w:val="none" w:sz="0" w:space="0" w:color="auto"/>
                  </w:divBdr>
                  <w:divsChild>
                    <w:div w:id="154830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276357">
              <w:marLeft w:val="0"/>
              <w:marRight w:val="0"/>
              <w:marTop w:val="0"/>
              <w:marBottom w:val="0"/>
              <w:divBdr>
                <w:top w:val="none" w:sz="0" w:space="0" w:color="auto"/>
                <w:left w:val="none" w:sz="0" w:space="0" w:color="auto"/>
                <w:bottom w:val="none" w:sz="0" w:space="0" w:color="auto"/>
                <w:right w:val="none" w:sz="0" w:space="0" w:color="auto"/>
              </w:divBdr>
            </w:div>
            <w:div w:id="1741292922">
              <w:marLeft w:val="0"/>
              <w:marRight w:val="0"/>
              <w:marTop w:val="0"/>
              <w:marBottom w:val="0"/>
              <w:divBdr>
                <w:top w:val="none" w:sz="0" w:space="0" w:color="auto"/>
                <w:left w:val="none" w:sz="0" w:space="0" w:color="auto"/>
                <w:bottom w:val="none" w:sz="0" w:space="0" w:color="auto"/>
                <w:right w:val="none" w:sz="0" w:space="0" w:color="auto"/>
              </w:divBdr>
            </w:div>
            <w:div w:id="702481367">
              <w:marLeft w:val="0"/>
              <w:marRight w:val="0"/>
              <w:marTop w:val="0"/>
              <w:marBottom w:val="0"/>
              <w:divBdr>
                <w:top w:val="none" w:sz="0" w:space="0" w:color="auto"/>
                <w:left w:val="none" w:sz="0" w:space="0" w:color="auto"/>
                <w:bottom w:val="none" w:sz="0" w:space="0" w:color="auto"/>
                <w:right w:val="none" w:sz="0" w:space="0" w:color="auto"/>
              </w:divBdr>
            </w:div>
            <w:div w:id="140024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618168">
      <w:marLeft w:val="0"/>
      <w:marRight w:val="0"/>
      <w:marTop w:val="0"/>
      <w:marBottom w:val="300"/>
      <w:divBdr>
        <w:top w:val="single" w:sz="6" w:space="8" w:color="EEEEEE"/>
        <w:left w:val="single" w:sz="6" w:space="15" w:color="EEEEEE"/>
        <w:bottom w:val="single" w:sz="6" w:space="8" w:color="EEEEEE"/>
        <w:right w:val="single" w:sz="6" w:space="15" w:color="EEEEEE"/>
      </w:divBdr>
      <w:divsChild>
        <w:div w:id="1137986979">
          <w:marLeft w:val="0"/>
          <w:marRight w:val="0"/>
          <w:marTop w:val="0"/>
          <w:marBottom w:val="0"/>
          <w:divBdr>
            <w:top w:val="none" w:sz="0" w:space="0" w:color="auto"/>
            <w:left w:val="none" w:sz="0" w:space="0" w:color="auto"/>
            <w:bottom w:val="none" w:sz="0" w:space="0" w:color="auto"/>
            <w:right w:val="none" w:sz="0" w:space="0" w:color="auto"/>
          </w:divBdr>
          <w:divsChild>
            <w:div w:id="709189828">
              <w:marLeft w:val="0"/>
              <w:marRight w:val="0"/>
              <w:marTop w:val="0"/>
              <w:marBottom w:val="0"/>
              <w:divBdr>
                <w:top w:val="none" w:sz="0" w:space="0" w:color="auto"/>
                <w:left w:val="none" w:sz="0" w:space="0" w:color="auto"/>
                <w:bottom w:val="none" w:sz="0" w:space="0" w:color="auto"/>
                <w:right w:val="none" w:sz="0" w:space="0" w:color="auto"/>
              </w:divBdr>
            </w:div>
            <w:div w:id="1412659288">
              <w:marLeft w:val="0"/>
              <w:marRight w:val="0"/>
              <w:marTop w:val="0"/>
              <w:marBottom w:val="0"/>
              <w:divBdr>
                <w:top w:val="none" w:sz="0" w:space="0" w:color="auto"/>
                <w:left w:val="none" w:sz="0" w:space="0" w:color="auto"/>
                <w:bottom w:val="none" w:sz="0" w:space="0" w:color="auto"/>
                <w:right w:val="none" w:sz="0" w:space="0" w:color="auto"/>
              </w:divBdr>
            </w:div>
            <w:div w:id="1743988244">
              <w:marLeft w:val="0"/>
              <w:marRight w:val="0"/>
              <w:marTop w:val="0"/>
              <w:marBottom w:val="0"/>
              <w:divBdr>
                <w:top w:val="none" w:sz="0" w:space="0" w:color="auto"/>
                <w:left w:val="none" w:sz="0" w:space="0" w:color="auto"/>
                <w:bottom w:val="none" w:sz="0" w:space="0" w:color="auto"/>
                <w:right w:val="none" w:sz="0" w:space="0" w:color="auto"/>
              </w:divBdr>
            </w:div>
            <w:div w:id="678047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ppc.int/publications/diagnostic-protocols-regulated-pests" TargetMode="External"/><Relationship Id="rId13" Type="http://schemas.openxmlformats.org/officeDocument/2006/relationships/hyperlink" Target="https://www.ippc.int/en/year/calendar/" TargetMode="External"/><Relationship Id="rId18" Type="http://schemas.openxmlformats.org/officeDocument/2006/relationships/hyperlink" Target="https://www.ippc.int/en/publications/2369/"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s://www.ippc.int/core-activities/standards-setting/list-topics-ippc-standards" TargetMode="External"/><Relationship Id="rId12" Type="http://schemas.openxmlformats.org/officeDocument/2006/relationships/image" Target="media/image2.jpeg"/><Relationship Id="rId17" Type="http://schemas.openxmlformats.org/officeDocument/2006/relationships/hyperlink" Target="https://www.ippc.int/en/year/calendar/" TargetMode="External"/><Relationship Id="rId2" Type="http://schemas.openxmlformats.org/officeDocument/2006/relationships/styles" Target="styles.xml"/><Relationship Id="rId16" Type="http://schemas.openxmlformats.org/officeDocument/2006/relationships/hyperlink" Target="https://www.ippc.int/en/publications/82244" TargetMode="External"/><Relationship Id="rId20" Type="http://schemas.openxmlformats.org/officeDocument/2006/relationships/hyperlink" Target="https://www.ippc.int/en/year/calendar/" TargetMode="External"/><Relationship Id="rId1" Type="http://schemas.openxmlformats.org/officeDocument/2006/relationships/numbering" Target="numbering.xml"/><Relationship Id="rId6" Type="http://schemas.openxmlformats.org/officeDocument/2006/relationships/hyperlink" Target="https://www.ippc.int/core-activities/standards-setting/expert-drafting-groups/technical-panels/technical-panel-diagnostic-protocols" TargetMode="External"/><Relationship Id="rId11" Type="http://schemas.openxmlformats.org/officeDocument/2006/relationships/hyperlink" Target="mailto:Piotr.Wlodarczyk@fao.org" TargetMode="External"/><Relationship Id="rId5" Type="http://schemas.openxmlformats.org/officeDocument/2006/relationships/image" Target="media/image1.jpeg"/><Relationship Id="rId15" Type="http://schemas.openxmlformats.org/officeDocument/2006/relationships/hyperlink" Target="https://www.ippc.int/en/year/calendar/" TargetMode="External"/><Relationship Id="rId10" Type="http://schemas.openxmlformats.org/officeDocument/2006/relationships/hyperlink" Target="http://www.ippc.int/en/publications/1086/" TargetMode="External"/><Relationship Id="rId19" Type="http://schemas.openxmlformats.org/officeDocument/2006/relationships/hyperlink" Target="https://www.ippc.int/en/publications/1300/" TargetMode="External"/><Relationship Id="rId4" Type="http://schemas.openxmlformats.org/officeDocument/2006/relationships/webSettings" Target="webSettings.xml"/><Relationship Id="rId9" Type="http://schemas.openxmlformats.org/officeDocument/2006/relationships/hyperlink" Target="http://www.ippc.int/en/publications/1180/" TargetMode="External"/><Relationship Id="rId14" Type="http://schemas.openxmlformats.org/officeDocument/2006/relationships/hyperlink" Target="https://www.ippc.int/static/media/files/publication/en/2016/08/CriteriaForPrioritizingTravellers_2016-08-01.pdf"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1693</Words>
  <Characters>9653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11324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Wlodarczyk, Piotr (AGDI)</dc:creator>
  <cp:keywords/>
  <dc:description/>
  <cp:lastModifiedBy>Wlodarczyk, Piotr (AGDI)</cp:lastModifiedBy>
  <cp:revision>2</cp:revision>
  <dcterms:created xsi:type="dcterms:W3CDTF">2017-10-26T14:41:00Z</dcterms:created>
  <dcterms:modified xsi:type="dcterms:W3CDTF">2017-10-26T14:41:00Z</dcterms:modified>
</cp:coreProperties>
</file>