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BE" w:rsidRDefault="00C20410">
      <w:pPr>
        <w:jc w:val="center"/>
      </w:pPr>
      <w:bookmarkStart w:id="0" w:name="_GoBack"/>
      <w:bookmarkEnd w:id="0"/>
      <w:r>
        <w:rPr>
          <w:rStyle w:val="PleaseReviewParagraphId"/>
          <w:noProof/>
          <w:sz w:val="20"/>
        </w:rPr>
        <w:t>[PleaseReview document review. Review title: CPM recommendation: Next Generation Sequencing technologies as a diagnostic tool for phytosanitary purposes. Document title: Draft_CPMRecomendation_NGS_2018-05-11.docx]</w:t>
      </w:r>
    </w:p>
    <w:p w:rsidR="00137ABE" w:rsidRDefault="00C20410">
      <w:pPr>
        <w:rPr>
          <w:b/>
          <w:bCs/>
          <w:sz w:val="24"/>
        </w:rPr>
      </w:pPr>
      <w:r>
        <w:rPr>
          <w:rStyle w:val="PleaseReviewParagraphId"/>
        </w:rPr>
        <w:t>[1]</w:t>
      </w:r>
      <w:r>
        <w:rPr>
          <w:b/>
          <w:bCs/>
          <w:sz w:val="24"/>
        </w:rPr>
        <w:t xml:space="preserve">CPM recommendation: Next Generation </w:t>
      </w:r>
      <w:r>
        <w:rPr>
          <w:b/>
          <w:bCs/>
          <w:sz w:val="24"/>
        </w:rPr>
        <w:t>Sequencing technologies as a diagnostic tool for phytosanitary purposes</w:t>
      </w:r>
    </w:p>
    <w:p w:rsidR="00137ABE" w:rsidRDefault="00C20410">
      <w:pPr>
        <w:pStyle w:val="IPPArialTable"/>
        <w:rPr>
          <w:b/>
          <w:bCs/>
        </w:rPr>
      </w:pPr>
      <w:r>
        <w:rPr>
          <w:rStyle w:val="PleaseReviewParagraphId"/>
        </w:rPr>
        <w:t>[2]</w:t>
      </w:r>
      <w:r>
        <w:rPr>
          <w:b/>
          <w:bCs/>
        </w:rPr>
        <w:t>Status box</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137ABE">
        <w:trPr>
          <w:trHeight w:val="280"/>
        </w:trPr>
        <w:tc>
          <w:tcPr>
            <w:tcW w:w="9039" w:type="dxa"/>
            <w:gridSpan w:val="2"/>
            <w:tcBorders>
              <w:top w:val="single" w:sz="4" w:space="0" w:color="000000"/>
              <w:left w:val="single" w:sz="4" w:space="0" w:color="000000"/>
              <w:right w:val="single" w:sz="4" w:space="0" w:color="000000"/>
            </w:tcBorders>
          </w:tcPr>
          <w:p w:rsidR="00137ABE" w:rsidRDefault="00C20410">
            <w:pPr>
              <w:pStyle w:val="IPPArial"/>
            </w:pPr>
            <w:r>
              <w:rPr>
                <w:rStyle w:val="PleaseReviewParagraphId"/>
              </w:rPr>
              <w:t>[3]</w:t>
            </w:r>
            <w:r>
              <w:t>This is not an official part of the CPM Recommendation and it will be modified by the IPPC Secretariat after adoption.</w:t>
            </w:r>
          </w:p>
        </w:tc>
      </w:tr>
      <w:tr w:rsidR="00137ABE">
        <w:trPr>
          <w:trHeight w:val="280"/>
        </w:trPr>
        <w:tc>
          <w:tcPr>
            <w:tcW w:w="2273" w:type="dxa"/>
            <w:tcBorders>
              <w:left w:val="single" w:sz="4" w:space="0" w:color="000000"/>
            </w:tcBorders>
          </w:tcPr>
          <w:p w:rsidR="00137ABE" w:rsidRDefault="00C20410">
            <w:pPr>
              <w:spacing w:before="120" w:after="120"/>
            </w:pPr>
            <w:r>
              <w:rPr>
                <w:rStyle w:val="PleaseReviewParagraphId"/>
              </w:rPr>
              <w:t>[4]</w:t>
            </w:r>
            <w:r>
              <w:rPr>
                <w:rFonts w:ascii="Arial" w:hAnsi="Arial" w:cs="Arial"/>
                <w:b/>
                <w:bCs/>
                <w:sz w:val="18"/>
                <w:szCs w:val="18"/>
              </w:rPr>
              <w:t>Date of this document</w:t>
            </w:r>
          </w:p>
        </w:tc>
        <w:tc>
          <w:tcPr>
            <w:tcW w:w="6766" w:type="dxa"/>
            <w:tcBorders>
              <w:right w:val="single" w:sz="4" w:space="0" w:color="000000"/>
            </w:tcBorders>
          </w:tcPr>
          <w:p w:rsidR="00137ABE" w:rsidRDefault="00C20410">
            <w:pPr>
              <w:spacing w:before="120" w:after="120"/>
            </w:pPr>
            <w:r>
              <w:rPr>
                <w:rStyle w:val="PleaseReviewParagraphId"/>
              </w:rPr>
              <w:t>[5]</w:t>
            </w:r>
            <w:r>
              <w:rPr>
                <w:rFonts w:ascii="Arial" w:hAnsi="Arial" w:cs="Arial"/>
                <w:sz w:val="18"/>
                <w:szCs w:val="18"/>
              </w:rPr>
              <w:t>2018-04-10</w:t>
            </w:r>
          </w:p>
        </w:tc>
      </w:tr>
      <w:tr w:rsidR="00137ABE">
        <w:trPr>
          <w:trHeight w:val="280"/>
        </w:trPr>
        <w:tc>
          <w:tcPr>
            <w:tcW w:w="2273" w:type="dxa"/>
            <w:tcBorders>
              <w:left w:val="single" w:sz="4" w:space="0" w:color="000000"/>
            </w:tcBorders>
          </w:tcPr>
          <w:p w:rsidR="00137ABE" w:rsidRDefault="00C20410">
            <w:pPr>
              <w:spacing w:before="120" w:after="120"/>
            </w:pPr>
            <w:r>
              <w:rPr>
                <w:rStyle w:val="PleaseReviewParagraphId"/>
              </w:rPr>
              <w:t>[6]</w:t>
            </w:r>
            <w:r>
              <w:rPr>
                <w:rFonts w:ascii="Arial" w:hAnsi="Arial" w:cs="Arial"/>
                <w:b/>
                <w:bCs/>
                <w:sz w:val="18"/>
                <w:szCs w:val="18"/>
              </w:rPr>
              <w:t>Document category</w:t>
            </w:r>
          </w:p>
        </w:tc>
        <w:tc>
          <w:tcPr>
            <w:tcW w:w="6766" w:type="dxa"/>
            <w:tcBorders>
              <w:right w:val="single" w:sz="4" w:space="0" w:color="000000"/>
            </w:tcBorders>
          </w:tcPr>
          <w:p w:rsidR="00137ABE" w:rsidRDefault="00C20410">
            <w:pPr>
              <w:spacing w:before="120" w:after="120"/>
            </w:pPr>
            <w:r>
              <w:rPr>
                <w:rStyle w:val="PleaseReviewParagraphId"/>
              </w:rPr>
              <w:t>[7]</w:t>
            </w:r>
            <w:r>
              <w:rPr>
                <w:rFonts w:ascii="Arial" w:hAnsi="Arial" w:cs="Arial"/>
                <w:sz w:val="18"/>
                <w:szCs w:val="18"/>
              </w:rPr>
              <w:t xml:space="preserve">Draft CPM recommendation </w:t>
            </w:r>
          </w:p>
        </w:tc>
      </w:tr>
      <w:tr w:rsidR="00137ABE">
        <w:trPr>
          <w:trHeight w:val="280"/>
        </w:trPr>
        <w:tc>
          <w:tcPr>
            <w:tcW w:w="2273" w:type="dxa"/>
            <w:tcBorders>
              <w:left w:val="single" w:sz="4" w:space="0" w:color="000000"/>
            </w:tcBorders>
          </w:tcPr>
          <w:p w:rsidR="00137ABE" w:rsidRDefault="00C20410">
            <w:pPr>
              <w:spacing w:before="120" w:after="120"/>
            </w:pPr>
            <w:r>
              <w:rPr>
                <w:rStyle w:val="PleaseReviewParagraphId"/>
              </w:rPr>
              <w:t>[8]</w:t>
            </w:r>
            <w:r>
              <w:rPr>
                <w:rFonts w:ascii="Arial" w:hAnsi="Arial" w:cs="Arial"/>
                <w:b/>
                <w:bCs/>
                <w:sz w:val="18"/>
                <w:szCs w:val="18"/>
              </w:rPr>
              <w:t>Current document stage</w:t>
            </w:r>
          </w:p>
        </w:tc>
        <w:tc>
          <w:tcPr>
            <w:tcW w:w="6766" w:type="dxa"/>
            <w:tcBorders>
              <w:right w:val="single" w:sz="4" w:space="0" w:color="000000"/>
            </w:tcBorders>
          </w:tcPr>
          <w:p w:rsidR="00137ABE" w:rsidRDefault="00C20410">
            <w:pPr>
              <w:spacing w:before="120" w:after="120"/>
            </w:pPr>
            <w:r>
              <w:rPr>
                <w:rStyle w:val="PleaseReviewParagraphId"/>
              </w:rPr>
              <w:t>[9]</w:t>
            </w:r>
            <w:r>
              <w:rPr>
                <w:rFonts w:ascii="Arial" w:hAnsi="Arial" w:cs="Arial"/>
                <w:i/>
                <w:iCs/>
                <w:sz w:val="18"/>
                <w:szCs w:val="18"/>
              </w:rPr>
              <w:t xml:space="preserve">To </w:t>
            </w:r>
            <w:r>
              <w:rPr>
                <w:rFonts w:ascii="Arial" w:hAnsi="Arial" w:cs="Arial"/>
                <w:sz w:val="18"/>
                <w:szCs w:val="18"/>
              </w:rPr>
              <w:t>consultation (2018-05)</w:t>
            </w:r>
          </w:p>
        </w:tc>
      </w:tr>
      <w:tr w:rsidR="00137ABE">
        <w:trPr>
          <w:trHeight w:val="480"/>
        </w:trPr>
        <w:tc>
          <w:tcPr>
            <w:tcW w:w="2273" w:type="dxa"/>
            <w:tcBorders>
              <w:left w:val="single" w:sz="4" w:space="0" w:color="000000"/>
            </w:tcBorders>
          </w:tcPr>
          <w:p w:rsidR="00137ABE" w:rsidRDefault="00C20410">
            <w:pPr>
              <w:spacing w:before="120" w:after="120"/>
            </w:pPr>
            <w:r>
              <w:rPr>
                <w:rStyle w:val="PleaseReviewParagraphId"/>
              </w:rPr>
              <w:t>[10]</w:t>
            </w:r>
            <w:r>
              <w:rPr>
                <w:rFonts w:ascii="Arial" w:hAnsi="Arial" w:cs="Arial"/>
                <w:b/>
                <w:bCs/>
                <w:sz w:val="18"/>
                <w:szCs w:val="18"/>
              </w:rPr>
              <w:t>Major stages</w:t>
            </w:r>
          </w:p>
        </w:tc>
        <w:tc>
          <w:tcPr>
            <w:tcW w:w="6766" w:type="dxa"/>
            <w:tcBorders>
              <w:right w:val="single" w:sz="4" w:space="0" w:color="000000"/>
            </w:tcBorders>
          </w:tcPr>
          <w:p w:rsidR="00137ABE" w:rsidRDefault="00C20410">
            <w:pPr>
              <w:spacing w:before="120" w:after="120"/>
              <w:rPr>
                <w:rFonts w:ascii="Arial" w:hAnsi="Arial" w:cs="Arial"/>
                <w:sz w:val="18"/>
                <w:szCs w:val="18"/>
              </w:rPr>
            </w:pPr>
            <w:r>
              <w:rPr>
                <w:rStyle w:val="PleaseReviewParagraphId"/>
              </w:rPr>
              <w:t>[11]</w:t>
            </w:r>
            <w:r>
              <w:rPr>
                <w:rFonts w:ascii="Arial" w:hAnsi="Arial" w:cs="Arial"/>
                <w:sz w:val="18"/>
                <w:szCs w:val="18"/>
              </w:rPr>
              <w:t>2018-03 Topic proposed to the IPPC work programme for a CPM Recommendation by Australia, EPPO and New Zealand</w:t>
            </w:r>
          </w:p>
          <w:p w:rsidR="00137ABE" w:rsidRDefault="00C20410">
            <w:pPr>
              <w:spacing w:before="120" w:after="120"/>
            </w:pPr>
            <w:r>
              <w:rPr>
                <w:rStyle w:val="PleaseReviewParagraphId"/>
              </w:rPr>
              <w:t>[12]</w:t>
            </w:r>
            <w:r>
              <w:rPr>
                <w:rFonts w:ascii="Arial" w:hAnsi="Arial" w:cs="Arial"/>
                <w:sz w:val="18"/>
                <w:szCs w:val="18"/>
              </w:rPr>
              <w:t>2018-04 CPM-13 ad</w:t>
            </w:r>
            <w:r>
              <w:rPr>
                <w:rFonts w:ascii="Arial" w:hAnsi="Arial" w:cs="Arial"/>
                <w:sz w:val="18"/>
                <w:szCs w:val="18"/>
              </w:rPr>
              <w:t xml:space="preserve">ded the topic to the IPPC work programme for a CPM Recommendation </w:t>
            </w:r>
          </w:p>
          <w:p w:rsidR="00137ABE" w:rsidRDefault="00C20410">
            <w:pPr>
              <w:spacing w:before="120" w:after="120"/>
              <w:rPr>
                <w:rFonts w:ascii="Arial" w:hAnsi="Arial" w:cs="Arial"/>
                <w:sz w:val="18"/>
                <w:szCs w:val="18"/>
              </w:rPr>
            </w:pPr>
            <w:r>
              <w:rPr>
                <w:rStyle w:val="PleaseReviewParagraphId"/>
              </w:rPr>
              <w:t>[13]</w:t>
            </w:r>
            <w:r>
              <w:rPr>
                <w:rFonts w:ascii="Arial" w:hAnsi="Arial" w:cs="Arial"/>
                <w:sz w:val="18"/>
                <w:szCs w:val="18"/>
              </w:rPr>
              <w:t>2018-05 adjustments made following CPM-13</w:t>
            </w:r>
          </w:p>
          <w:p w:rsidR="00137ABE" w:rsidRDefault="00C20410">
            <w:pPr>
              <w:spacing w:before="120" w:after="120"/>
            </w:pPr>
            <w:r>
              <w:rPr>
                <w:rStyle w:val="PleaseReviewParagraphId"/>
              </w:rPr>
              <w:t>[14]</w:t>
            </w:r>
            <w:r>
              <w:rPr>
                <w:rFonts w:ascii="Arial" w:hAnsi="Arial" w:cs="Arial"/>
                <w:sz w:val="18"/>
                <w:szCs w:val="18"/>
              </w:rPr>
              <w:t>2018-05 submitted to consultation period (15 May – 15 August 2018)</w:t>
            </w:r>
          </w:p>
        </w:tc>
      </w:tr>
      <w:tr w:rsidR="00137ABE">
        <w:trPr>
          <w:trHeight w:val="480"/>
        </w:trPr>
        <w:tc>
          <w:tcPr>
            <w:tcW w:w="2273" w:type="dxa"/>
            <w:tcBorders>
              <w:top w:val="single" w:sz="4" w:space="0" w:color="000000"/>
            </w:tcBorders>
          </w:tcPr>
          <w:p w:rsidR="00137ABE" w:rsidRDefault="00C20410">
            <w:pPr>
              <w:spacing w:before="120" w:after="120"/>
            </w:pPr>
            <w:r>
              <w:rPr>
                <w:rStyle w:val="PleaseReviewParagraphId"/>
              </w:rPr>
              <w:t>[15]</w:t>
            </w:r>
            <w:r>
              <w:rPr>
                <w:rFonts w:ascii="Arial" w:hAnsi="Arial" w:cs="Arial"/>
                <w:b/>
                <w:bCs/>
                <w:sz w:val="18"/>
                <w:szCs w:val="18"/>
              </w:rPr>
              <w:t>Notes</w:t>
            </w:r>
          </w:p>
        </w:tc>
        <w:tc>
          <w:tcPr>
            <w:tcW w:w="6766" w:type="dxa"/>
            <w:tcBorders>
              <w:top w:val="single" w:sz="4" w:space="0" w:color="000000"/>
            </w:tcBorders>
          </w:tcPr>
          <w:p w:rsidR="00137ABE" w:rsidRDefault="00C20410">
            <w:pPr>
              <w:spacing w:before="120" w:after="120"/>
              <w:rPr>
                <w:rFonts w:ascii="Arial" w:hAnsi="Arial" w:cs="Arial"/>
                <w:sz w:val="18"/>
                <w:szCs w:val="18"/>
              </w:rPr>
            </w:pPr>
            <w:r>
              <w:rPr>
                <w:rStyle w:val="PleaseReviewParagraphId"/>
              </w:rPr>
              <w:t>[16]</w:t>
            </w:r>
            <w:r>
              <w:rPr>
                <w:rFonts w:ascii="Arial" w:hAnsi="Arial" w:cs="Arial"/>
                <w:sz w:val="18"/>
                <w:szCs w:val="18"/>
              </w:rPr>
              <w:t>To be edited after the consultation period.</w:t>
            </w:r>
          </w:p>
          <w:p w:rsidR="00137ABE" w:rsidRDefault="00C20410">
            <w:pPr>
              <w:spacing w:before="120" w:after="120"/>
              <w:rPr>
                <w:rFonts w:ascii="Arial" w:hAnsi="Arial" w:cs="Arial"/>
                <w:sz w:val="18"/>
                <w:szCs w:val="18"/>
              </w:rPr>
            </w:pPr>
            <w:r>
              <w:rPr>
                <w:rStyle w:val="PleaseReviewParagraphId"/>
              </w:rPr>
              <w:t>[17]</w:t>
            </w:r>
            <w:r>
              <w:rPr>
                <w:rFonts w:ascii="Arial" w:hAnsi="Arial" w:cs="Arial"/>
                <w:sz w:val="18"/>
                <w:szCs w:val="18"/>
              </w:rPr>
              <w:t>This is a</w:t>
            </w:r>
            <w:r>
              <w:rPr>
                <w:rFonts w:ascii="Arial" w:hAnsi="Arial" w:cs="Arial"/>
                <w:sz w:val="18"/>
                <w:szCs w:val="18"/>
              </w:rPr>
              <w:t xml:space="preserve"> draft document and it will be presented for consultation period in English only</w:t>
            </w:r>
          </w:p>
        </w:tc>
      </w:tr>
    </w:tbl>
    <w:p w:rsidR="00137ABE" w:rsidRDefault="00C20410">
      <w:pPr>
        <w:pStyle w:val="IPPHeading1"/>
      </w:pPr>
      <w:r>
        <w:rPr>
          <w:rStyle w:val="PleaseReviewParagraphId"/>
          <w:b w:val="0"/>
        </w:rPr>
        <w:t>[18]</w:t>
      </w:r>
      <w:r>
        <w:t>Background</w:t>
      </w:r>
    </w:p>
    <w:p w:rsidR="00137ABE" w:rsidRDefault="00C20410">
      <w:pPr>
        <w:pStyle w:val="IPPNormal"/>
      </w:pPr>
      <w:r>
        <w:rPr>
          <w:rStyle w:val="PleaseReviewParagraphId"/>
        </w:rPr>
        <w:t>[19]</w:t>
      </w:r>
      <w:r>
        <w:t>In December 2017, the CPM Bureau considered a paper prepared by the Standards Committee (SC) which reflected discussion by the IPPC Technical Panel on Diag</w:t>
      </w:r>
      <w:r>
        <w:t xml:space="preserve">nostic Protocols (TPDP) on opportunities and challenges in relation to the use of Next Generation Sequencing (NGS) technologies as a diagnostic tool for phytosanitary purposes. The Bureau was asked to agree that the background paper be presented to CPM-13 </w:t>
      </w:r>
      <w:r>
        <w:t>with a request that the CPM note the challenges associated with the use of NGS technologies and that further work is needed on NGS technologies for pest detection and identification.</w:t>
      </w:r>
    </w:p>
    <w:p w:rsidR="00137ABE" w:rsidRDefault="00C20410">
      <w:pPr>
        <w:pStyle w:val="IPPNormal"/>
      </w:pPr>
      <w:r>
        <w:rPr>
          <w:rStyle w:val="PleaseReviewParagraphId"/>
        </w:rPr>
        <w:t>[20]</w:t>
      </w:r>
      <w:r>
        <w:t>The CPM Bureau agreed that since this was an emerging issue that woul</w:t>
      </w:r>
      <w:r>
        <w:t>d be of interest to contracting parties, a CPM Recommendation should be drafted to provide policy advice and guidance to Contracting parties and Regional Plant Protection Organizations (RPPOs) on the use of NGS technologies as a diagnostic tool for phytosa</w:t>
      </w:r>
      <w:r>
        <w:t>nitary purposes.</w:t>
      </w:r>
    </w:p>
    <w:p w:rsidR="00137ABE" w:rsidRDefault="00C20410">
      <w:r>
        <w:rPr>
          <w:rStyle w:val="PleaseReviewParagraphId"/>
        </w:rPr>
        <w:t>[21]</w:t>
      </w:r>
      <w:r>
        <w:t>At the Thirteenth session of the CPM, a draft CPM recommendation was presented by Australia, European and Mediterranean Plant Protection Organization (EPPO) and New Zealand, and the CPM-13 (2018) agreed to include the topic to the IPPC work programme for a</w:t>
      </w:r>
      <w:r>
        <w:t xml:space="preserve"> CPM Recommendation on “Next Generation Sequencing technologies as a diagnostic tool for phytosanitary purposes”. </w:t>
      </w:r>
    </w:p>
    <w:p w:rsidR="00137ABE" w:rsidRDefault="00C20410">
      <w:pPr>
        <w:pStyle w:val="IPPHeading1"/>
      </w:pPr>
      <w:r>
        <w:rPr>
          <w:rStyle w:val="PleaseReviewParagraphId"/>
          <w:b w:val="0"/>
        </w:rPr>
        <w:t>[22]</w:t>
      </w:r>
      <w:r>
        <w:t>What is NGS and how is it different to other testing methods?</w:t>
      </w:r>
    </w:p>
    <w:p w:rsidR="00137ABE" w:rsidRDefault="00C20410">
      <w:pPr>
        <w:pStyle w:val="IPPNormal"/>
      </w:pPr>
      <w:r>
        <w:rPr>
          <w:rStyle w:val="PleaseReviewParagraphId"/>
        </w:rPr>
        <w:t>[23]</w:t>
      </w:r>
      <w:r>
        <w:t xml:space="preserve">Next Generation Sequencing (NGS) or high throughput sequencing or deep </w:t>
      </w:r>
      <w:r>
        <w:t xml:space="preserve">sequencing technologies allow the sequencing of the whole genome and can be used for all types of organisms. </w:t>
      </w:r>
      <w:r>
        <w:lastRenderedPageBreak/>
        <w:t>NGS technologies can be used for targeted detection of regulated pests and also allow the detection of unknown organisms (i.e. without a priori kno</w:t>
      </w:r>
      <w:r>
        <w:t>wledge). Indeed, application of these technologies has recently resulted in the discovery of previously undetected microorganisms, in particular viruses where the use of the technology is more advanced than for other pathogens (examples provided in this do</w:t>
      </w:r>
      <w:r>
        <w:t>cument are for viruses and viroids). Researchers and diagnosticians using NGS technologies will continue to identify and describe new taxa from among the large volume of as yet undiscovered organisms. These technologies therefore enable a new and comprehen</w:t>
      </w:r>
      <w:r>
        <w:t>sive approach to the detection and characterization of pests in a biological sample.</w:t>
      </w:r>
    </w:p>
    <w:p w:rsidR="00137ABE" w:rsidRDefault="00C20410">
      <w:pPr>
        <w:pStyle w:val="IPPNormal"/>
      </w:pPr>
      <w:r>
        <w:rPr>
          <w:rStyle w:val="PleaseReviewParagraphId"/>
        </w:rPr>
        <w:t>[24]</w:t>
      </w:r>
      <w:r>
        <w:t>Phytosanitary testing for viruses and viroids in plants and plant products moved around the globe currently relies on a combination of specific (molecular and serologi</w:t>
      </w:r>
      <w:r>
        <w:t xml:space="preserve">cal) and generic (visual, electron microscopy and biological indicators or bioassays) approaches. Whilst these methods are currently the best available they have a number of inherent weaknesses. The specific tests usually require a priori knowledge of the </w:t>
      </w:r>
      <w:r>
        <w:t>viral pathogens and each test needs to be developed and validated (including validation of the test for different pest/host combinations), making resource demands on national plant protection organisations (NPPO). The host range of many pathogens is not we</w:t>
      </w:r>
      <w:r>
        <w:t>ll defined and exotic viruses and viroids may not be detected in new pest-host combinations. Whilst bioassays have traditionally been used to detect unknown viruses, further molecular or serological testing is usually required to confirm the identity of th</w:t>
      </w:r>
      <w:r>
        <w:t>e causal agent when disease symptoms are observed. Bioassays are heavily reliant on environmental conditions for symptom expression and often produce ambiguous results as false positives and false negatives. The time taken for bioassays means that plants s</w:t>
      </w:r>
      <w:r>
        <w:t xml:space="preserve">pend extended periods of time in post entry quarantine stations, significantly adding to costs and delays for importers. A further drawback with bioassays is that strains may not be detected if they are asymptomatic on the indicator host. </w:t>
      </w:r>
    </w:p>
    <w:p w:rsidR="00137ABE" w:rsidRDefault="00C20410">
      <w:pPr>
        <w:pStyle w:val="IPPNormal"/>
      </w:pPr>
      <w:r>
        <w:rPr>
          <w:rStyle w:val="PleaseReviewParagraphId"/>
        </w:rPr>
        <w:t>[25]</w:t>
      </w:r>
      <w:r>
        <w:t>Due to the l</w:t>
      </w:r>
      <w:r>
        <w:t>imitations with traditional diagnostic methods, new robust, reliable and cost-effective methods are required to rapidly and reliably screen plants and plant products for viruses and viroids. Studies conducted so far have demonstrated NGS to be equivalent t</w:t>
      </w:r>
      <w:r>
        <w:t xml:space="preserve">o or better than biological indexing assays in detecting viruses and viroids of agronomic significance (Rott </w:t>
      </w:r>
      <w:r>
        <w:rPr>
          <w:i/>
        </w:rPr>
        <w:t>et al</w:t>
      </w:r>
      <w:r>
        <w:t xml:space="preserve">. 2017; Rwahnih </w:t>
      </w:r>
      <w:r>
        <w:rPr>
          <w:i/>
        </w:rPr>
        <w:t>et al</w:t>
      </w:r>
      <w:r>
        <w:t xml:space="preserve">., 2015; Mackie </w:t>
      </w:r>
      <w:r>
        <w:rPr>
          <w:i/>
        </w:rPr>
        <w:t>et al</w:t>
      </w:r>
      <w:r>
        <w:t xml:space="preserve">.., 2017; Barrero </w:t>
      </w:r>
      <w:r>
        <w:rPr>
          <w:i/>
        </w:rPr>
        <w:t>et al</w:t>
      </w:r>
      <w:r>
        <w:t>., 2017). Most importantly, the studies are demonstrating that NGS is able to</w:t>
      </w:r>
      <w:r>
        <w:t xml:space="preserve"> produce results significantly quicker than bioassays.</w:t>
      </w:r>
    </w:p>
    <w:p w:rsidR="00137ABE" w:rsidRDefault="00C20410">
      <w:pPr>
        <w:pStyle w:val="IPPHeading1"/>
      </w:pPr>
      <w:r>
        <w:rPr>
          <w:rStyle w:val="PleaseReviewParagraphId"/>
          <w:b w:val="0"/>
        </w:rPr>
        <w:t>[26]</w:t>
      </w:r>
      <w:r>
        <w:t>Regulatory and scientific challenges</w:t>
      </w:r>
    </w:p>
    <w:p w:rsidR="00137ABE" w:rsidRDefault="00C20410">
      <w:pPr>
        <w:pStyle w:val="IPPNormal"/>
      </w:pPr>
      <w:r>
        <w:rPr>
          <w:rStyle w:val="PleaseReviewParagraphId"/>
        </w:rPr>
        <w:t>[27]</w:t>
      </w:r>
      <w:r>
        <w:t>Research findings based on NGS technologies have significant implications within a phytosanitary framework. For example, there is a risk that plant material</w:t>
      </w:r>
      <w:r>
        <w:t xml:space="preserve"> may be restricted in movement due to the perceived presence of a (previously unknown) microorganism (e.g. virus) that does not have the potential to be pathogenic to its host(s). Not all organisms associated with plants are pests; some may be mutualists p</w:t>
      </w:r>
      <w:r>
        <w:t>roviding benefit to the host plant or commensal agents. There is also the issue, as with other indirect methods, that NGS technologies will detect non-viable organisms.</w:t>
      </w:r>
    </w:p>
    <w:p w:rsidR="00137ABE" w:rsidRDefault="00C20410">
      <w:pPr>
        <w:pStyle w:val="IPPNormal"/>
      </w:pPr>
      <w:r>
        <w:rPr>
          <w:rStyle w:val="PleaseReviewParagraphId"/>
        </w:rPr>
        <w:t>[28]</w:t>
      </w:r>
      <w:r>
        <w:t xml:space="preserve">The correct interpretation of results is one of the major challenges in using NGS. </w:t>
      </w:r>
      <w:r>
        <w:t>Very large and well curated databases of the whole genomes of known pests and micro-organisms are required as the reference for comparison with NGS generated sequence data. NPPOs will face the challenge to make decisions on the basis of data analysis but i</w:t>
      </w:r>
      <w:r>
        <w:t>ncomplete information about the biological significance of the finding and the ability of the micro-organism to infect. This decision-making process distances the diagnostic outcome from any analysis of pathogenicity and poses questions in deciding whether</w:t>
      </w:r>
      <w:r>
        <w:t xml:space="preserve"> the data is linked to the actual presence of a viable biological entity that is a quarantine pest. However this same challenge is presented with current molecular sequencing </w:t>
      </w:r>
      <w:r>
        <w:lastRenderedPageBreak/>
        <w:t>methods and particularly for ‘new to science’ viruses, so this is not a new probl</w:t>
      </w:r>
      <w:r>
        <w:t xml:space="preserve">em. Other challenges in using NGS for regulatory purposes are noted by Massart </w:t>
      </w:r>
      <w:r>
        <w:rPr>
          <w:i/>
        </w:rPr>
        <w:t>et al</w:t>
      </w:r>
      <w:r>
        <w:t xml:space="preserve">. (2017) and Martin </w:t>
      </w:r>
      <w:r>
        <w:rPr>
          <w:i/>
        </w:rPr>
        <w:t>et al</w:t>
      </w:r>
      <w:r>
        <w:t>. (2016).</w:t>
      </w:r>
    </w:p>
    <w:p w:rsidR="00137ABE" w:rsidRDefault="00C20410">
      <w:pPr>
        <w:pStyle w:val="IPPNormal"/>
      </w:pPr>
      <w:r>
        <w:rPr>
          <w:rStyle w:val="PleaseReviewParagraphId"/>
        </w:rPr>
        <w:t>[29]</w:t>
      </w:r>
      <w:r>
        <w:t>To give confidence to NPPOs in adopting NGS technologies for pest diagnosis, internationally harmonized approaches are required, incl</w:t>
      </w:r>
      <w:r>
        <w:t xml:space="preserve">uding development of operational guidelines to reliably and repeatedly perform NGS including quality controls and validation data to interpret NGS outputs (Boonham </w:t>
      </w:r>
      <w:r>
        <w:rPr>
          <w:i/>
        </w:rPr>
        <w:t>et al</w:t>
      </w:r>
      <w:r>
        <w:t xml:space="preserve">., 2014). Validation of the technology against existing methods, which also takes into </w:t>
      </w:r>
      <w:r>
        <w:t xml:space="preserve">account the limits of current procedures, is also needed. </w:t>
      </w:r>
    </w:p>
    <w:p w:rsidR="00137ABE" w:rsidRDefault="00C20410">
      <w:pPr>
        <w:pStyle w:val="IPPHeading1"/>
      </w:pPr>
      <w:r>
        <w:rPr>
          <w:rStyle w:val="PleaseReviewParagraphId"/>
          <w:b w:val="0"/>
        </w:rPr>
        <w:t>[30]</w:t>
      </w:r>
      <w:r>
        <w:t>Global collaboration</w:t>
      </w:r>
    </w:p>
    <w:p w:rsidR="00137ABE" w:rsidRDefault="00C20410">
      <w:pPr>
        <w:pStyle w:val="IPPNormal"/>
      </w:pPr>
      <w:r>
        <w:rPr>
          <w:rStyle w:val="PleaseReviewParagraphId"/>
        </w:rPr>
        <w:t>[31]</w:t>
      </w:r>
      <w:r>
        <w:t>There are a number of initiatives underway in different regions of the world that are exploring the use of NGS technologies as a diagnostic tool for phytosanitary purpo</w:t>
      </w:r>
      <w:r>
        <w:t>ses (for example in Australasia, Europe and North America). These include discussions on associated policies that may be developed. Co-ordination of outcomes from these initiatives is required to progress the timely development of internationally harmonise</w:t>
      </w:r>
      <w:r>
        <w:t xml:space="preserve">d standards to use NGS in a regulatory setting. </w:t>
      </w:r>
    </w:p>
    <w:p w:rsidR="00137ABE" w:rsidRDefault="00C20410">
      <w:pPr>
        <w:pStyle w:val="IPPNormal"/>
      </w:pPr>
      <w:r>
        <w:rPr>
          <w:rStyle w:val="PleaseReviewParagraphId"/>
        </w:rPr>
        <w:t>[32]</w:t>
      </w:r>
      <w:r>
        <w:t>The CPM Recommendation (Attachment 1) on “Next Generation Sequencing technologies as a diagnostic tool for phytosanitary purposes” will provide a focus for this activity.</w:t>
      </w:r>
    </w:p>
    <w:p w:rsidR="00137ABE" w:rsidRDefault="00C20410">
      <w:pPr>
        <w:pStyle w:val="IPPHeading1"/>
      </w:pPr>
      <w:r>
        <w:rPr>
          <w:rStyle w:val="PleaseReviewParagraphId"/>
          <w:b w:val="0"/>
        </w:rPr>
        <w:t>[33]</w:t>
      </w:r>
      <w:r>
        <w:t>References</w:t>
      </w:r>
    </w:p>
    <w:p w:rsidR="00137ABE" w:rsidRDefault="00C20410">
      <w:pPr>
        <w:pStyle w:val="IPPNormal"/>
      </w:pPr>
      <w:r>
        <w:rPr>
          <w:rStyle w:val="PleaseReviewParagraphId"/>
        </w:rPr>
        <w:t>[34]</w:t>
      </w:r>
      <w:r>
        <w:t>Barrero RA, N</w:t>
      </w:r>
      <w:r>
        <w:t>apier KR, Cunnington J, Liefting L, Keenan S, Frampton RA, Szabo T, Bulman S, Hunter A, Ward L, Whattam, M and Bellgard, M (2017) An internet-based bioinformatics toolkit for plant biosecurity diagnosis and surveillance of viruses and viroids. BMC Bioinfor</w:t>
      </w:r>
      <w:r>
        <w:t xml:space="preserve">matics, 18:26. </w:t>
      </w:r>
      <w:hyperlink r:id="rId7" w:history="1">
        <w:r>
          <w:t>https://www.ncbi.nlm.nih.gov/pmc/articles/PMC5225587/</w:t>
        </w:r>
      </w:hyperlink>
      <w:r>
        <w:t xml:space="preserve"> </w:t>
      </w:r>
    </w:p>
    <w:p w:rsidR="00137ABE" w:rsidRDefault="00C20410">
      <w:pPr>
        <w:pStyle w:val="IPPNormal"/>
      </w:pPr>
      <w:r>
        <w:rPr>
          <w:rStyle w:val="PleaseReviewParagraphId"/>
        </w:rPr>
        <w:t>[35]</w:t>
      </w:r>
      <w:r>
        <w:t>Boonham N, Kreuze J, Winter S, van der Vlugt R, Bergervoet J, Tomlinson J, and Mumford R. (2014) Methods in viru</w:t>
      </w:r>
      <w:r>
        <w:t xml:space="preserve">s diagnostics: from ELISA to next generation sequencing. Virus Res. 24 186:20-31. </w:t>
      </w:r>
      <w:hyperlink r:id="rId8" w:history="1">
        <w:r>
          <w:t>https://www.ncbi.nlm.nih.gov/pubmed/24361981</w:t>
        </w:r>
      </w:hyperlink>
      <w:r>
        <w:t xml:space="preserve"> </w:t>
      </w:r>
    </w:p>
    <w:p w:rsidR="00137ABE" w:rsidRDefault="00C20410">
      <w:pPr>
        <w:pStyle w:val="IPPNormal"/>
      </w:pPr>
      <w:r>
        <w:rPr>
          <w:rStyle w:val="PleaseReviewParagraphId"/>
        </w:rPr>
        <w:t>[36]</w:t>
      </w:r>
      <w:r>
        <w:t>Mackie J., Liefting L., Barrero, R.A., Dinsdale, A., Napier, K.</w:t>
      </w:r>
      <w:r>
        <w:t>R., Blouin, A.G., Woodward, L., Khan S., Bellgard, M.I., Ward L. and Whattam, M. (2017) Comparative diagnosis of viral pathogens using side-by-side trials of existing Post Entry Quarantine and small RNA next generation sequencing methods. Abstract PBCRC Sc</w:t>
      </w:r>
      <w:r>
        <w:t xml:space="preserve">ience Protecting Plant Health 2017 conference </w:t>
      </w:r>
      <w:hyperlink r:id="rId9" w:history="1">
        <w:r>
          <w:t>http://apps-2017.p.yrd.currinda.com/days/2017-09-26/abstract/4017</w:t>
        </w:r>
      </w:hyperlink>
    </w:p>
    <w:p w:rsidR="00137ABE" w:rsidRDefault="00C20410">
      <w:pPr>
        <w:pStyle w:val="IPPNormal"/>
      </w:pPr>
      <w:r>
        <w:rPr>
          <w:rStyle w:val="PleaseReviewParagraphId"/>
        </w:rPr>
        <w:t>[37]</w:t>
      </w:r>
      <w:r>
        <w:t>Martin, R.R, Constable, F. and Tzanetakis, I.E. (2016) Qua</w:t>
      </w:r>
      <w:r>
        <w:t xml:space="preserve">rantine Regulations and the Impact of Modern Detection Methods. Ann. Rev. Phytopath. Vol. 54:189-205 </w:t>
      </w:r>
      <w:hyperlink r:id="rId10" w:history="1">
        <w:r>
          <w:t>http://www.annualreviews.org/doi/abs/10.1146/annurev-phyto-080615-</w:t>
        </w:r>
        <w:r>
          <w:t>100105</w:t>
        </w:r>
      </w:hyperlink>
    </w:p>
    <w:p w:rsidR="00137ABE" w:rsidRDefault="00C20410">
      <w:pPr>
        <w:pStyle w:val="IPPNormal"/>
      </w:pPr>
      <w:r>
        <w:rPr>
          <w:rStyle w:val="PleaseReviewParagraphId"/>
        </w:rPr>
        <w:t>[38]</w:t>
      </w:r>
      <w:r>
        <w:t>Massart S, Candresse T, Gil J, Lacomme C, Predajna L, Ravnikar M, Reynard JS, Rumbou A, Saldarelli P, Škorić D, Vainio EJ, Valkonen JP, Vanderschuren H, Varveri C, Wetzel T. (2017) A framework for the evaluation of biosecurity, commercial, regul</w:t>
      </w:r>
      <w:r>
        <w:t xml:space="preserve">atory and scientific impacts of plant viruses and viroids identified by NGS technologies. Front Microbiol. 2017 Jan 24;8:45 </w:t>
      </w:r>
      <w:hyperlink r:id="rId11" w:history="1">
        <w:r>
          <w:t>https://www.ncbi.nlm.nih.gov/pubmed/28174561</w:t>
        </w:r>
      </w:hyperlink>
      <w:r>
        <w:t xml:space="preserve"> </w:t>
      </w:r>
    </w:p>
    <w:p w:rsidR="00137ABE" w:rsidRDefault="00C20410">
      <w:pPr>
        <w:pStyle w:val="IPPNormal"/>
      </w:pPr>
      <w:r>
        <w:rPr>
          <w:rStyle w:val="PleaseReviewParagraphId"/>
        </w:rPr>
        <w:t>[39]</w:t>
      </w:r>
      <w:r>
        <w:t xml:space="preserve">Rott, M., Xiang, Y., </w:t>
      </w:r>
      <w:r>
        <w:t>Boyes, I., Belton, M., Saeed, H., Kesanakurti, P., Hayes, S., Lawrence, T., Birch, C., Bhagwat, B. and Rast, H. (2017) Application of Next Generation Sequencing for Diagnostic Testing of Tree Fruit Viruses and Viroids. Plant Disease 101:1489-1499</w:t>
      </w:r>
    </w:p>
    <w:p w:rsidR="00137ABE" w:rsidRDefault="00C20410">
      <w:pPr>
        <w:pStyle w:val="IPPNormal"/>
      </w:pPr>
      <w:r>
        <w:rPr>
          <w:rStyle w:val="PleaseReviewParagraphId"/>
        </w:rPr>
        <w:t>[40]</w:t>
      </w:r>
      <w:hyperlink r:id="rId12" w:history="1">
        <w:r>
          <w:t>https://apsjournals.apsnet.org/doi/abs/10.1094/PDIS-03-17-0306-RE</w:t>
        </w:r>
      </w:hyperlink>
    </w:p>
    <w:p w:rsidR="00137ABE" w:rsidRDefault="00C20410">
      <w:pPr>
        <w:pStyle w:val="IPPNormal"/>
        <w:sectPr w:rsidR="00137ABE">
          <w:pgSz w:w="11906" w:h="16838"/>
          <w:pgMar w:top="1440" w:right="1440" w:bottom="1440" w:left="1440" w:header="720" w:footer="720" w:gutter="0"/>
          <w:cols w:space="720"/>
          <w:docGrid w:linePitch="360"/>
        </w:sectPr>
      </w:pPr>
      <w:r>
        <w:rPr>
          <w:rStyle w:val="PleaseReviewParagraphId"/>
        </w:rPr>
        <w:lastRenderedPageBreak/>
        <w:t>[41]</w:t>
      </w:r>
      <w:r>
        <w:t xml:space="preserve">Rwahnih M. A., Daubert, S., Golino, D., Islas, C. and Rowhani, A. (2015) Comparison of Next-Generation Sequencing Versus Biological Indexing for the Optimal Detection of Viral Pathogens in Grapevine. Phytopathology 105:6:758-763 </w:t>
      </w:r>
      <w:hyperlink r:id="rId13" w:history="1">
        <w:r>
          <w:t>https://apsjournals.apsnet.org/doi/abs/10.1094/PHYTO-06-14-0165-R</w:t>
        </w:r>
      </w:hyperlink>
      <w:r>
        <w:t xml:space="preserve"> </w:t>
      </w:r>
    </w:p>
    <w:p w:rsidR="00137ABE" w:rsidRDefault="00C20410">
      <w:pPr>
        <w:jc w:val="right"/>
        <w:rPr>
          <w:b/>
        </w:rPr>
      </w:pPr>
      <w:r>
        <w:rPr>
          <w:rStyle w:val="PleaseReviewParagraphId"/>
        </w:rPr>
        <w:lastRenderedPageBreak/>
        <w:t>[42]</w:t>
      </w:r>
      <w:r>
        <w:rPr>
          <w:b/>
        </w:rPr>
        <w:t>Attachment 1</w:t>
      </w:r>
    </w:p>
    <w:p w:rsidR="00137ABE" w:rsidRDefault="00C20410">
      <w:pPr>
        <w:pStyle w:val="IPPHeading1"/>
        <w:rPr>
          <w:bCs/>
        </w:rPr>
      </w:pPr>
      <w:r>
        <w:rPr>
          <w:rStyle w:val="PleaseReviewParagraphId"/>
          <w:b w:val="0"/>
        </w:rPr>
        <w:t>[43]</w:t>
      </w:r>
      <w:r>
        <w:t xml:space="preserve">Recommendation on: </w:t>
      </w:r>
      <w:r>
        <w:rPr>
          <w:bCs/>
          <w:szCs w:val="24"/>
        </w:rPr>
        <w:t>Next Generation Sequencing technologies as a diagnostic tool for phytosanitary purposes</w:t>
      </w:r>
    </w:p>
    <w:p w:rsidR="00137ABE" w:rsidRDefault="00C20410">
      <w:pPr>
        <w:pStyle w:val="IPPHeadSection"/>
      </w:pPr>
      <w:r>
        <w:rPr>
          <w:rStyle w:val="PleaseReviewParagraphId"/>
          <w:b w:val="0"/>
        </w:rPr>
        <w:t>[44]</w:t>
      </w:r>
      <w:r>
        <w:t>BA</w:t>
      </w:r>
      <w:r>
        <w:t>CKGROUND</w:t>
      </w:r>
    </w:p>
    <w:p w:rsidR="00137ABE" w:rsidRDefault="00C20410">
      <w:pPr>
        <w:pStyle w:val="IPPNormal"/>
      </w:pPr>
      <w:r>
        <w:rPr>
          <w:rStyle w:val="PleaseReviewParagraphId"/>
        </w:rPr>
        <w:t>[45]</w:t>
      </w:r>
      <w:r>
        <w:t>The Commission on Phytosanitary Measures (CPM) recognizes that accurate and timely pest diagnosis underpins export certification, import inspections and the application of appropriate phytosanitary measures</w:t>
      </w:r>
      <w:r>
        <w:rPr>
          <w:rStyle w:val="FootnoteReference"/>
        </w:rPr>
        <w:footnoteReference w:id="2"/>
      </w:r>
      <w:r>
        <w:t>. It is widely accepted that the abi</w:t>
      </w:r>
      <w:r>
        <w:t>lity to detect and identify a plant pest varies with the accuracy and reproducibility and specificity of the detection tools.</w:t>
      </w:r>
    </w:p>
    <w:p w:rsidR="00137ABE" w:rsidRDefault="00C20410">
      <w:pPr>
        <w:pStyle w:val="IPPNormal"/>
      </w:pPr>
      <w:r>
        <w:rPr>
          <w:rStyle w:val="PleaseReviewParagraphId"/>
        </w:rPr>
        <w:t>[47]</w:t>
      </w:r>
      <w:r>
        <w:t>Next Generation Sequencing (NGS) technologies, also known as high throughput or deep sequencing, have provided a powerful alte</w:t>
      </w:r>
      <w:r>
        <w:t>rnative to the detection and identification of organisms. However, the NGS-based diagnostic outcomes may not be associated with evidence of living pests or damage to the plant or plant products by these organisms. As such, the use of highly sensitive techn</w:t>
      </w:r>
      <w:r>
        <w:t>ologies, such as NGS for the detection and identification of plant pests should be introduced cautiously and with due consideration of the risks and consequences of applying NGS-diagnostic outcomes to regulate phytosanitary risks.</w:t>
      </w:r>
    </w:p>
    <w:p w:rsidR="00137ABE" w:rsidRDefault="00C20410">
      <w:pPr>
        <w:pStyle w:val="IPPHeadSection"/>
      </w:pPr>
      <w:r>
        <w:rPr>
          <w:rStyle w:val="PleaseReviewParagraphId"/>
          <w:b w:val="0"/>
        </w:rPr>
        <w:t>[48]</w:t>
      </w:r>
      <w:r>
        <w:t>ADDRESSED TO</w:t>
      </w:r>
    </w:p>
    <w:p w:rsidR="00137ABE" w:rsidRDefault="00C20410">
      <w:r>
        <w:rPr>
          <w:rStyle w:val="PleaseReviewParagraphId"/>
        </w:rPr>
        <w:t>[49]</w:t>
      </w:r>
      <w:r>
        <w:t>Cont</w:t>
      </w:r>
      <w:r>
        <w:t>racting parties and regional plant protection organizations.</w:t>
      </w:r>
    </w:p>
    <w:p w:rsidR="00137ABE" w:rsidRDefault="00C20410">
      <w:pPr>
        <w:pStyle w:val="IPPHeadSection"/>
      </w:pPr>
      <w:r>
        <w:rPr>
          <w:rStyle w:val="PleaseReviewParagraphId"/>
          <w:b w:val="0"/>
        </w:rPr>
        <w:t>[50]</w:t>
      </w:r>
      <w:r>
        <w:t>RECOMMENDATIONS</w:t>
      </w:r>
    </w:p>
    <w:p w:rsidR="00137ABE" w:rsidRDefault="00C20410">
      <w:pPr>
        <w:pStyle w:val="IPPNormal"/>
      </w:pPr>
      <w:r>
        <w:rPr>
          <w:rStyle w:val="PleaseReviewParagraphId"/>
        </w:rPr>
        <w:t>[51]</w:t>
      </w:r>
      <w:r>
        <w:t>The Commission notes findings based on NGS technologies of an unknown microorganism need to be further investigated to demonstrate the potential of that microorganism to be a plant pest that would qualify as a regulated pest. The Commission notes that ther</w:t>
      </w:r>
      <w:r>
        <w:t>e are existing challenges and further work is needed on NGS technologies before they can be considered as the sole method for pest detection and identification as the basis for applying phytosanitary regulations. Findings based on NGS technologies of an un</w:t>
      </w:r>
      <w:r>
        <w:t xml:space="preserve">known microorganism need to be further investigated to demonstrate the potential of that microorganism to be a plant pest and that would qualify as a regulated pest. </w:t>
      </w:r>
    </w:p>
    <w:p w:rsidR="00137ABE" w:rsidRDefault="00C20410">
      <w:pPr>
        <w:pStyle w:val="IPPNormal"/>
      </w:pPr>
      <w:r>
        <w:rPr>
          <w:rStyle w:val="PleaseReviewParagraphId"/>
        </w:rPr>
        <w:t>[52]</w:t>
      </w:r>
      <w:r>
        <w:t>To improve the capacity and capability of contracting parties to adopt NGS technologi</w:t>
      </w:r>
      <w:r>
        <w:t>es, the Commission</w:t>
      </w:r>
      <w:r>
        <w:rPr>
          <w:i/>
        </w:rPr>
        <w:t xml:space="preserve"> encourages</w:t>
      </w:r>
      <w:r>
        <w:t xml:space="preserve"> contracting parties and regional plant protection organizations to: </w:t>
      </w:r>
    </w:p>
    <w:p w:rsidR="00137ABE" w:rsidRDefault="00C20410">
      <w:pPr>
        <w:pStyle w:val="IPPNormal"/>
        <w:numPr>
          <w:ilvl w:val="0"/>
          <w:numId w:val="21"/>
        </w:numPr>
      </w:pPr>
      <w:r>
        <w:rPr>
          <w:rStyle w:val="PleaseReviewParagraphId"/>
        </w:rPr>
        <w:t>[53]</w:t>
      </w:r>
      <w:r>
        <w:rPr>
          <w:i/>
        </w:rPr>
        <w:t>Actively engage and support</w:t>
      </w:r>
      <w:r>
        <w:t xml:space="preserve"> international efforts in developing and finalising standardised operational guidelines for NGS including proper interpretatio</w:t>
      </w:r>
      <w:r>
        <w:t>n of results and agreed quality control measures to ensure NGS data outputs are robust and accurate;</w:t>
      </w:r>
    </w:p>
    <w:p w:rsidR="00137ABE" w:rsidRDefault="00C20410">
      <w:pPr>
        <w:pStyle w:val="IPPNormal"/>
        <w:numPr>
          <w:ilvl w:val="0"/>
          <w:numId w:val="21"/>
        </w:numPr>
      </w:pPr>
      <w:r>
        <w:rPr>
          <w:rStyle w:val="PleaseReviewParagraphId"/>
        </w:rPr>
        <w:t>[54]</w:t>
      </w:r>
      <w:r>
        <w:rPr>
          <w:i/>
        </w:rPr>
        <w:t>Support</w:t>
      </w:r>
      <w:r>
        <w:t xml:space="preserve"> international efforts in obtaining more scientific evidence on reliability and accuracy of NGS by conducting trials comparing NGS against exist</w:t>
      </w:r>
      <w:r>
        <w:t xml:space="preserve">ing diagnostic platforms; </w:t>
      </w:r>
    </w:p>
    <w:p w:rsidR="00137ABE" w:rsidRDefault="00C20410">
      <w:pPr>
        <w:pStyle w:val="IPPNormal"/>
        <w:numPr>
          <w:ilvl w:val="0"/>
          <w:numId w:val="21"/>
        </w:numPr>
      </w:pPr>
      <w:r>
        <w:rPr>
          <w:rStyle w:val="PleaseReviewParagraphId"/>
        </w:rPr>
        <w:t>[55]</w:t>
      </w:r>
      <w:r>
        <w:rPr>
          <w:i/>
        </w:rPr>
        <w:t>Share</w:t>
      </w:r>
      <w:r>
        <w:t xml:space="preserve"> knowledge and expertise amongst countries where possible and support the development of NGS training programs including delivery of best laboratory practice courses </w:t>
      </w:r>
      <w:r>
        <w:lastRenderedPageBreak/>
        <w:t>online, and co-ordinating international proficiency te</w:t>
      </w:r>
      <w:r>
        <w:t xml:space="preserve">sting to independently assess laboratory capability; </w:t>
      </w:r>
    </w:p>
    <w:p w:rsidR="00137ABE" w:rsidRDefault="00C20410">
      <w:pPr>
        <w:pStyle w:val="IPPNormal"/>
        <w:numPr>
          <w:ilvl w:val="0"/>
          <w:numId w:val="21"/>
        </w:numPr>
      </w:pPr>
      <w:r>
        <w:rPr>
          <w:rStyle w:val="PleaseReviewParagraphId"/>
        </w:rPr>
        <w:t>[56]</w:t>
      </w:r>
      <w:r>
        <w:rPr>
          <w:i/>
        </w:rPr>
        <w:t>Share</w:t>
      </w:r>
      <w:r>
        <w:t xml:space="preserve"> agreed international NGS protocols, guidelines and training material on the IPPC phytosanitary resources page once finalised; </w:t>
      </w:r>
    </w:p>
    <w:p w:rsidR="00137ABE" w:rsidRDefault="00C20410">
      <w:pPr>
        <w:pStyle w:val="IPPNormal"/>
        <w:numPr>
          <w:ilvl w:val="0"/>
          <w:numId w:val="21"/>
        </w:numPr>
      </w:pPr>
      <w:r>
        <w:rPr>
          <w:rStyle w:val="PleaseReviewParagraphId"/>
        </w:rPr>
        <w:t>[57]</w:t>
      </w:r>
      <w:r>
        <w:t xml:space="preserve"> </w:t>
      </w:r>
      <w:r>
        <w:rPr>
          <w:i/>
        </w:rPr>
        <w:t>Establish</w:t>
      </w:r>
      <w:r>
        <w:t xml:space="preserve"> plans for appropriate infrastructure and investmen</w:t>
      </w:r>
      <w:r>
        <w:t xml:space="preserve">ts in Information Technology and bioinformatics, and education/trainings on bioinformatics, for the appropriate interpretation of test results and to support effective implementation of these technologies. </w:t>
      </w:r>
    </w:p>
    <w:p w:rsidR="00137ABE" w:rsidRDefault="00C20410">
      <w:pPr>
        <w:pStyle w:val="IPPHeadSection"/>
      </w:pPr>
      <w:r>
        <w:rPr>
          <w:rStyle w:val="PleaseReviewParagraphId"/>
          <w:b w:val="0"/>
        </w:rPr>
        <w:t>[58]</w:t>
      </w:r>
      <w:r>
        <w:t>RECOMMENDATION(S) SUPERSEDED BY THE ABOVE</w:t>
      </w:r>
    </w:p>
    <w:p w:rsidR="00137ABE" w:rsidRDefault="00C20410">
      <w:pPr>
        <w:pStyle w:val="IPPNormal"/>
      </w:pPr>
      <w:r>
        <w:rPr>
          <w:rStyle w:val="PleaseReviewParagraphId"/>
        </w:rPr>
        <w:t>[59</w:t>
      </w:r>
      <w:r>
        <w:rPr>
          <w:rStyle w:val="PleaseReviewParagraphId"/>
        </w:rPr>
        <w:t>]</w:t>
      </w:r>
      <w:r>
        <w:t>None.</w:t>
      </w:r>
    </w:p>
    <w:sectPr w:rsidR="00137ABE">
      <w:pgSz w:w="11906" w:h="16838"/>
      <w:pgMar w:top="1440" w:right="1440" w:bottom="1440" w:left="1440" w:header="720" w:footer="720" w:gutter="0"/>
      <w:cols w:space="720"/>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9E300" w16cid:durableId="1E9AB6A9"/>
  <w16cid:commentId w16cid:paraId="09BD8420" w16cid:durableId="1E9AB6AB"/>
  <w16cid:commentId w16cid:paraId="19367EC4" w16cid:durableId="1E9AB6AC"/>
  <w16cid:commentId w16cid:paraId="760D3E41" w16cid:durableId="1E9AB6AD"/>
  <w16cid:commentId w16cid:paraId="493E9161" w16cid:durableId="1E9AB6AE"/>
  <w16cid:commentId w16cid:paraId="65731B1F" w16cid:durableId="1E9AB6AF"/>
  <w16cid:commentId w16cid:paraId="65BFDD7B" w16cid:durableId="1E9AB6B0"/>
  <w16cid:commentId w16cid:paraId="6DD83EAF" w16cid:durableId="1E9AB6B1"/>
  <w16cid:commentId w16cid:paraId="7E789EB5" w16cid:durableId="1E99D005"/>
  <w16cid:commentId w16cid:paraId="58148F6E" w16cid:durableId="1E9AB8B3"/>
  <w16cid:commentId w16cid:paraId="4C19EC7D" w16cid:durableId="1E99D007"/>
  <w16cid:commentId w16cid:paraId="1EF16360" w16cid:durableId="1E99D0C9"/>
  <w16cid:commentId w16cid:paraId="73EC9A1B" w16cid:durableId="1E99D0F0"/>
  <w16cid:commentId w16cid:paraId="74D89C0D" w16cid:durableId="1E9AB94A"/>
  <w16cid:commentId w16cid:paraId="575FAD63" w16cid:durableId="1E99D008"/>
  <w16cid:commentId w16cid:paraId="6C11E887" w16cid:durableId="1E99D009"/>
  <w16cid:commentId w16cid:paraId="28D14BEC" w16cid:durableId="1E99D14F"/>
  <w16cid:commentId w16cid:paraId="67C46613" w16cid:durableId="1E99D00B"/>
  <w16cid:commentId w16cid:paraId="2DCD648C" w16cid:durableId="1E99D00C"/>
  <w16cid:commentId w16cid:paraId="5332EFEE" w16cid:durableId="1E99D00D"/>
  <w16cid:commentId w16cid:paraId="78C2DC60" w16cid:durableId="1E99D1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BE" w:rsidRDefault="00C20410">
      <w:r>
        <w:rPr>
          <w:rStyle w:val="PleaseReviewParagraphId"/>
        </w:rPr>
        <w:t>[]</w:t>
      </w:r>
      <w:r>
        <w:separator/>
      </w:r>
    </w:p>
  </w:endnote>
  <w:endnote w:type="continuationSeparator" w:id="0">
    <w:p w:rsidR="00137ABE" w:rsidRDefault="00C20410">
      <w:r>
        <w:rPr>
          <w:rStyle w:val="PleaseReviewParagraphId"/>
        </w:rPr>
        <w:t>[]</w:t>
      </w:r>
      <w:r>
        <w:continuationSeparator/>
      </w:r>
    </w:p>
  </w:endnote>
  <w:endnote w:type="continuationNotice" w:id="1">
    <w:p w:rsidR="00137ABE" w:rsidRDefault="00C20410">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BE" w:rsidRDefault="00C20410">
      <w:r>
        <w:rPr>
          <w:rStyle w:val="PleaseReviewParagraphId"/>
        </w:rPr>
        <w:t>[]</w:t>
      </w:r>
      <w:r>
        <w:separator/>
      </w:r>
    </w:p>
  </w:footnote>
  <w:footnote w:type="continuationSeparator" w:id="0">
    <w:p w:rsidR="00137ABE" w:rsidRDefault="00C20410">
      <w:r>
        <w:rPr>
          <w:rStyle w:val="PleaseReviewParagraphId"/>
        </w:rPr>
        <w:t>[]</w:t>
      </w:r>
      <w:r>
        <w:continuationSeparator/>
      </w:r>
    </w:p>
  </w:footnote>
  <w:footnote w:type="continuationNotice" w:id="1">
    <w:p w:rsidR="00137ABE" w:rsidRDefault="00C20410">
      <w:r>
        <w:rPr>
          <w:rStyle w:val="FootnoteReference"/>
        </w:rPr>
        <w:footnoteRef/>
      </w:r>
      <w:r>
        <w:rPr>
          <w:rStyle w:val="PleaseReviewParagraphId"/>
        </w:rPr>
        <w:t>[]</w:t>
      </w:r>
    </w:p>
  </w:footnote>
  <w:footnote w:id="2">
    <w:p w:rsidR="00137ABE" w:rsidRDefault="00C20410">
      <w:pPr>
        <w:pStyle w:val="FootnoteText"/>
      </w:pPr>
      <w:r>
        <w:rPr>
          <w:rStyle w:val="PleaseReviewParagraphId"/>
        </w:rPr>
        <w:t>[46]</w:t>
      </w:r>
      <w:r>
        <w:rPr>
          <w:rStyle w:val="FootnoteReference"/>
        </w:rPr>
        <w:footnoteRef/>
      </w:r>
      <w:r>
        <w:t xml:space="preserve"> See also CPM recommendation R-07: The importance of pest diagnosis (</w:t>
      </w:r>
      <w:hyperlink r:id="rId1" w:history="1">
        <w:r>
          <w:rPr>
            <w:rStyle w:val="Hyperlink"/>
          </w:rPr>
          <w:t>https://www.ippc.int/en/publications/84234/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9400EA8"/>
    <w:lvl w:ilvl="0">
      <w:start w:val="1"/>
      <w:numFmt w:val="upperRoman"/>
      <w:lvlText w:val="%1."/>
      <w:legacy w:legacy="1" w:legacySpace="0" w:legacyIndent="708"/>
      <w:lvlJc w:val="left"/>
      <w:pPr>
        <w:ind w:left="1" w:firstLine="0"/>
      </w:pPr>
    </w:lvl>
    <w:lvl w:ilvl="1">
      <w:start w:val="1"/>
      <w:numFmt w:val="upperLetter"/>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E257DA"/>
    <w:multiLevelType w:val="hybridMultilevel"/>
    <w:tmpl w:val="1F8A78D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DB39EB"/>
    <w:multiLevelType w:val="hybridMultilevel"/>
    <w:tmpl w:val="9A285BF0"/>
    <w:lvl w:ilvl="0" w:tplc="A89618F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FFA4880"/>
    <w:multiLevelType w:val="multilevel"/>
    <w:tmpl w:val="C610F510"/>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1"/>
  </w:num>
  <w:num w:numId="3">
    <w:abstractNumId w:val="12"/>
  </w:num>
  <w:num w:numId="4">
    <w:abstractNumId w:val="3"/>
  </w:num>
  <w:num w:numId="5">
    <w:abstractNumId w:val="2"/>
  </w:num>
  <w:num w:numId="6">
    <w:abstractNumId w:val="6"/>
  </w:num>
  <w:num w:numId="7">
    <w:abstractNumId w:val="14"/>
  </w:num>
  <w:num w:numId="8">
    <w:abstractNumId w:val="10"/>
  </w:num>
  <w:num w:numId="9">
    <w:abstractNumId w:val="7"/>
  </w:num>
  <w:num w:numId="10">
    <w:abstractNumId w:val="15"/>
  </w:num>
  <w:num w:numId="11">
    <w:abstractNumId w:val="5"/>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num>
  <w:num w:numId="19">
    <w:abstractNumId w:val="8"/>
  </w:num>
  <w:num w:numId="20">
    <w:abstractNumId w:val="13"/>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linkStyl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F5"/>
    <w:rsid w:val="00050141"/>
    <w:rsid w:val="000836A3"/>
    <w:rsid w:val="00120474"/>
    <w:rsid w:val="00137ABE"/>
    <w:rsid w:val="001F66E8"/>
    <w:rsid w:val="002725D2"/>
    <w:rsid w:val="002E26E2"/>
    <w:rsid w:val="00310FF7"/>
    <w:rsid w:val="00321E91"/>
    <w:rsid w:val="00330690"/>
    <w:rsid w:val="003A44A7"/>
    <w:rsid w:val="003D511C"/>
    <w:rsid w:val="00411D3B"/>
    <w:rsid w:val="00414A9E"/>
    <w:rsid w:val="00415211"/>
    <w:rsid w:val="004D14CB"/>
    <w:rsid w:val="004D340D"/>
    <w:rsid w:val="00530EE6"/>
    <w:rsid w:val="005672F0"/>
    <w:rsid w:val="005A1E6D"/>
    <w:rsid w:val="005A2261"/>
    <w:rsid w:val="005D45EA"/>
    <w:rsid w:val="00684800"/>
    <w:rsid w:val="006C308F"/>
    <w:rsid w:val="00712395"/>
    <w:rsid w:val="00762BE4"/>
    <w:rsid w:val="007A735C"/>
    <w:rsid w:val="0087081E"/>
    <w:rsid w:val="008A321A"/>
    <w:rsid w:val="008A7813"/>
    <w:rsid w:val="00925520"/>
    <w:rsid w:val="00925A36"/>
    <w:rsid w:val="00953957"/>
    <w:rsid w:val="009C3E4A"/>
    <w:rsid w:val="009E1E83"/>
    <w:rsid w:val="009F46CB"/>
    <w:rsid w:val="00A156AD"/>
    <w:rsid w:val="00AA4EF5"/>
    <w:rsid w:val="00AC6F39"/>
    <w:rsid w:val="00AF4887"/>
    <w:rsid w:val="00AF7070"/>
    <w:rsid w:val="00B47ADA"/>
    <w:rsid w:val="00BB6F95"/>
    <w:rsid w:val="00BC4D64"/>
    <w:rsid w:val="00BD5598"/>
    <w:rsid w:val="00C07D2D"/>
    <w:rsid w:val="00C20410"/>
    <w:rsid w:val="00C978A2"/>
    <w:rsid w:val="00CC25C7"/>
    <w:rsid w:val="00CD158A"/>
    <w:rsid w:val="00D13522"/>
    <w:rsid w:val="00D168E0"/>
    <w:rsid w:val="00D45090"/>
    <w:rsid w:val="00D633FE"/>
    <w:rsid w:val="00E00647"/>
    <w:rsid w:val="00E04BBE"/>
    <w:rsid w:val="00E35C47"/>
    <w:rsid w:val="00E528B1"/>
    <w:rsid w:val="00E60FBB"/>
    <w:rsid w:val="00E701F4"/>
    <w:rsid w:val="00E73011"/>
    <w:rsid w:val="00EF1715"/>
    <w:rsid w:val="00F403A7"/>
    <w:rsid w:val="00F94F6A"/>
    <w:rsid w:val="00FD0D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EED3F3-98DB-40FC-9139-638272E6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10"/>
    <w:rPr>
      <w:lang w:val="en-US"/>
    </w:rPr>
  </w:style>
  <w:style w:type="paragraph" w:styleId="Heading1">
    <w:name w:val="heading 1"/>
    <w:aliases w:val="Part"/>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aliases w:val="Chpt"/>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204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0410"/>
  </w:style>
  <w:style w:type="paragraph" w:customStyle="1" w:styleId="IPPContentsHead">
    <w:name w:val="IPP ContentsHead"/>
    <w:basedOn w:val="IPPSubhead"/>
    <w:next w:val="IPPNormal"/>
    <w:qFormat/>
    <w:pPr>
      <w:spacing w:after="240"/>
    </w:pPr>
    <w:rPr>
      <w:sz w:val="24"/>
    </w:r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character" w:customStyle="1" w:styleId="IPPNormalChar">
    <w:name w:val="IPP Normal Char"/>
    <w:link w:val="IPPNormal"/>
    <w:locked/>
    <w:rPr>
      <w:rFonts w:ascii="Times New Roman" w:eastAsia="Times" w:hAnsi="Times New Roman" w:cs="Times New Roman"/>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character" w:customStyle="1" w:styleId="Heading1Char">
    <w:name w:val="Heading 1 Char"/>
    <w:aliases w:val="Part Char"/>
    <w:basedOn w:val="DefaultParagraphFont"/>
    <w:link w:val="Heading1"/>
    <w:rPr>
      <w:rFonts w:ascii="Times New Roman" w:eastAsia="MS Mincho" w:hAnsi="Times New Roman" w:cs="Times New Roman"/>
      <w:b/>
      <w:bCs/>
      <w:szCs w:val="24"/>
    </w:rPr>
  </w:style>
  <w:style w:type="character" w:customStyle="1" w:styleId="Heading2Char">
    <w:name w:val="Heading 2 Char"/>
    <w:aliases w:val="Chpt Char"/>
    <w:basedOn w:val="DefaultParagraphFont"/>
    <w:link w:val="Heading2"/>
    <w:rPr>
      <w:rFonts w:ascii="Calibri" w:eastAsia="MS Mincho" w:hAnsi="Calibri" w:cs="Times New Roman"/>
      <w:b/>
      <w:bCs/>
      <w:i/>
      <w:iCs/>
      <w:sz w:val="28"/>
      <w:szCs w:val="28"/>
    </w:rPr>
  </w:style>
  <w:style w:type="paragraph" w:customStyle="1" w:styleId="NewPara">
    <w:name w:val="NewPara"/>
    <w:basedOn w:val="ListParagraph"/>
    <w:link w:val="NewParaChar"/>
    <w:qFormat/>
    <w:pPr>
      <w:numPr>
        <w:numId w:val="2"/>
      </w:numPr>
      <w:spacing w:after="200"/>
    </w:pPr>
    <w:rPr>
      <w:rFonts w:eastAsiaTheme="minorHAnsi" w:cs="Akhbar MT"/>
      <w:szCs w:val="30"/>
      <w:lang w:eastAsia="en-US"/>
    </w:rPr>
  </w:style>
  <w:style w:type="character" w:customStyle="1" w:styleId="NewParaChar">
    <w:name w:val="NewPara Char"/>
    <w:basedOn w:val="DefaultParagraphFont"/>
    <w:link w:val="NewPara"/>
    <w:rPr>
      <w:rFonts w:ascii="Times New Roman" w:hAnsi="Times New Roman" w:cs="Akhbar MT"/>
      <w:szCs w:val="30"/>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paragraph" w:customStyle="1" w:styleId="IPPBullet2">
    <w:name w:val="IPP Bullet2"/>
    <w:basedOn w:val="IPPNormal"/>
    <w:next w:val="IPPBullet1"/>
    <w:qFormat/>
    <w:pPr>
      <w:numPr>
        <w:numId w:val="7"/>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0"/>
      </w:numPr>
      <w:spacing w:after="60"/>
      <w:ind w:left="567" w:hanging="567"/>
    </w:pPr>
  </w:style>
  <w:style w:type="paragraph" w:customStyle="1" w:styleId="IPPBullet1Last">
    <w:name w:val="IPP Bullet1Last"/>
    <w:basedOn w:val="IPPNormal"/>
    <w:next w:val="IPPNormal"/>
    <w:autoRedefine/>
    <w:qFormat/>
    <w:pPr>
      <w:numPr>
        <w:numId w:val="8"/>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6"/>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
      </w:numPr>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w:numId w:val="10"/>
      </w:numPr>
    </w:pPr>
  </w:style>
  <w:style w:type="paragraph" w:customStyle="1" w:styleId="IPPNumberedList">
    <w:name w:val="IPP NumberedList"/>
    <w:basedOn w:val="IPPBullet1"/>
    <w:qFormat/>
    <w:pPr>
      <w:numPr>
        <w:numId w:val="18"/>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12"/>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361981" TargetMode="External"/><Relationship Id="rId13" Type="http://schemas.openxmlformats.org/officeDocument/2006/relationships/hyperlink" Target="https://apsjournals.apsnet.org/doi/abs/10.1094/PHYTO-06-14-0165-R"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ncbi.nlm.nih.gov/pmc/articles/PMC5225587/" TargetMode="External"/><Relationship Id="rId12" Type="http://schemas.openxmlformats.org/officeDocument/2006/relationships/hyperlink" Target="https://apsjournals.apsnet.org/doi/abs/10.1094/PDIS-03-17-0306-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817456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nualreviews.org/doi/abs/10.1146/annurev-phyto-080615-100105" TargetMode="External"/><Relationship Id="rId4" Type="http://schemas.openxmlformats.org/officeDocument/2006/relationships/webSettings" Target="webSettings.xml"/><Relationship Id="rId9" Type="http://schemas.openxmlformats.org/officeDocument/2006/relationships/hyperlink" Target="http://apps-2017.p.yrd.currinda.com/days/2017-09-26/abstract/401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42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2139</Words>
  <Characters>12194</Characters>
  <Application>Microsoft Office Word</Application>
  <DocSecurity>0</DocSecurity>
  <Lines>101</Lines>
  <Paragraphs>28</Paragraphs>
  <ScaleCrop>false</ScaleCrop>
  <HeadingPairs>
    <vt:vector size="6" baseType="variant">
      <vt:variant>
        <vt:lpstr>Title</vt:lpstr>
      </vt:variant>
      <vt:variant>
        <vt:i4>1</vt:i4>
      </vt:variant>
      <vt:variant>
        <vt:lpstr>Titre</vt:lpstr>
      </vt:variant>
      <vt:variant>
        <vt:i4>1</vt:i4>
      </vt:variant>
      <vt:variant>
        <vt:lpstr>Titres</vt:lpstr>
      </vt:variant>
      <vt:variant>
        <vt:i4>10</vt:i4>
      </vt:variant>
    </vt:vector>
  </HeadingPairs>
  <TitlesOfParts>
    <vt:vector size="12" baseType="lpstr">
      <vt:lpstr/>
      <vt:lpstr/>
      <vt:lpstr>    Background</vt:lpstr>
      <vt:lpstr>    What is NGS and how is it different to other testing methods?</vt:lpstr>
      <vt:lpstr>    Regulatory and scientific challenges</vt:lpstr>
      <vt:lpstr>    Global collaboration</vt:lpstr>
      <vt:lpstr>    References</vt:lpstr>
      <vt:lpstr>    Recommendation on: Next Generation Sequencing technologies as a diagnostic tool </vt:lpstr>
      <vt:lpstr>BACKGROUND</vt:lpstr>
      <vt:lpstr>ADDRESSED TO</vt:lpstr>
      <vt:lpstr>RECOMMENDATIONS</vt:lpstr>
      <vt:lpstr>RECOMMENDATION(S) SUPERSEDED BY THE ABOVE</vt:lpstr>
    </vt:vector>
  </TitlesOfParts>
  <Company>FAO of the UN</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(AGDI)</cp:lastModifiedBy>
  <cp:revision>2</cp:revision>
  <dcterms:created xsi:type="dcterms:W3CDTF">2018-05-11T15:03:00Z</dcterms:created>
  <dcterms:modified xsi:type="dcterms:W3CDTF">2018-05-11T15:03:00Z</dcterms:modified>
</cp:coreProperties>
</file>