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200DFD35" w:rsidR="000B32EC" w:rsidRPr="007075F6" w:rsidRDefault="000B32EC" w:rsidP="001A76A6">
      <w:pPr>
        <w:jc w:val="center"/>
      </w:pPr>
      <w:r w:rsidRPr="007075F6">
        <w:t>Name of Country or Organization</w:t>
      </w:r>
      <w:r w:rsidR="00A60124" w:rsidRPr="00A60124">
        <w:rPr>
          <w:color w:val="00B050"/>
          <w:szCs w:val="22"/>
        </w:rPr>
        <w:t xml:space="preserve"> </w:t>
      </w:r>
      <w:r w:rsidR="00A60124">
        <w:rPr>
          <w:color w:val="00B050"/>
          <w:szCs w:val="22"/>
        </w:rPr>
        <w:t>United States of America (USA)</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5D55FFB4" w14:textId="606A2FF2" w:rsidR="000B32EC" w:rsidRPr="00326064" w:rsidRDefault="000B32EC" w:rsidP="00850F9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r w:rsidR="00850F9B">
              <w:rPr>
                <w:sz w:val="20"/>
                <w:szCs w:val="20"/>
              </w:rPr>
              <w:t xml:space="preserve"> </w:t>
            </w:r>
            <w:r w:rsidR="00850F9B" w:rsidRPr="00850F9B">
              <w:rPr>
                <w:color w:val="00B050"/>
                <w:sz w:val="20"/>
                <w:szCs w:val="20"/>
              </w:rPr>
              <w:t>Mr. John Greifer (USA)</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1EF49E89" w14:textId="77777777" w:rsidR="00850F9B" w:rsidRPr="006B5BD5" w:rsidRDefault="000B32EC" w:rsidP="00850F9B">
            <w:pPr>
              <w:rPr>
                <w:color w:val="00B050"/>
                <w:sz w:val="20"/>
                <w:szCs w:val="20"/>
              </w:rPr>
            </w:pPr>
            <w:r w:rsidRPr="00326064">
              <w:rPr>
                <w:sz w:val="20"/>
                <w:szCs w:val="20"/>
              </w:rPr>
              <w:t>Name:</w:t>
            </w:r>
            <w:r w:rsidR="00850F9B">
              <w:rPr>
                <w:sz w:val="20"/>
                <w:szCs w:val="20"/>
              </w:rPr>
              <w:t xml:space="preserve"> </w:t>
            </w:r>
            <w:r w:rsidR="00850F9B" w:rsidRPr="006B5BD5">
              <w:rPr>
                <w:color w:val="00B050"/>
                <w:sz w:val="20"/>
                <w:szCs w:val="20"/>
              </w:rPr>
              <w:t>Mr John Greifer (USA)</w:t>
            </w:r>
          </w:p>
          <w:p w14:paraId="0C6983A7" w14:textId="0615D6BD" w:rsidR="000B32EC" w:rsidRPr="00850F9B" w:rsidRDefault="000B32EC" w:rsidP="00551ED4">
            <w:pPr>
              <w:tabs>
                <w:tab w:val="right" w:leader="dot" w:pos="9480"/>
              </w:tabs>
              <w:spacing w:before="60" w:after="60"/>
              <w:rPr>
                <w:color w:val="00B050"/>
                <w:sz w:val="20"/>
                <w:szCs w:val="20"/>
              </w:rPr>
            </w:pPr>
            <w:r w:rsidRPr="00326064">
              <w:rPr>
                <w:sz w:val="20"/>
                <w:szCs w:val="20"/>
              </w:rPr>
              <w:t>Position and organization:</w:t>
            </w:r>
            <w:r w:rsidR="00850F9B">
              <w:rPr>
                <w:sz w:val="20"/>
                <w:szCs w:val="20"/>
              </w:rPr>
              <w:t xml:space="preserve"> </w:t>
            </w:r>
            <w:r w:rsidR="00850F9B">
              <w:rPr>
                <w:color w:val="00B050"/>
                <w:sz w:val="20"/>
                <w:szCs w:val="20"/>
              </w:rPr>
              <w:t xml:space="preserve">Assistant Deputy Administrator for International Phytosanitary Standards </w:t>
            </w:r>
          </w:p>
          <w:p w14:paraId="21172ED7" w14:textId="116C9F13" w:rsidR="00850F9B" w:rsidRPr="00137D68" w:rsidRDefault="000B32EC" w:rsidP="00850F9B">
            <w:pPr>
              <w:tabs>
                <w:tab w:val="right" w:leader="dot" w:pos="9480"/>
              </w:tabs>
              <w:spacing w:before="60" w:after="60"/>
              <w:rPr>
                <w:sz w:val="20"/>
                <w:szCs w:val="20"/>
              </w:rPr>
            </w:pPr>
            <w:r w:rsidRPr="00326064">
              <w:rPr>
                <w:sz w:val="20"/>
                <w:szCs w:val="20"/>
              </w:rPr>
              <w:t>Mailing address:</w:t>
            </w:r>
            <w:r w:rsidR="00850F9B" w:rsidRPr="006B5BD5">
              <w:rPr>
                <w:color w:val="00B050"/>
                <w:sz w:val="20"/>
                <w:szCs w:val="20"/>
              </w:rPr>
              <w:t xml:space="preserve"> 1400 Independence Ave SW, Washington, DC 20250, USA</w:t>
            </w:r>
          </w:p>
          <w:p w14:paraId="70B8A3B8"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766DAD92" w14:textId="1391F538"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850F9B" w:rsidRPr="006B5BD5">
              <w:rPr>
                <w:color w:val="00B050"/>
                <w:sz w:val="20"/>
                <w:szCs w:val="20"/>
              </w:rPr>
              <w:t xml:space="preserve"> +1 202 799 7159</w:t>
            </w:r>
            <w:r w:rsidRPr="00326064">
              <w:rPr>
                <w:sz w:val="20"/>
                <w:szCs w:val="20"/>
              </w:rPr>
              <w:tab/>
              <w:t>Fax:</w:t>
            </w:r>
            <w:r w:rsidR="00850F9B">
              <w:rPr>
                <w:sz w:val="20"/>
                <w:szCs w:val="20"/>
              </w:rPr>
              <w:t xml:space="preserve"> </w:t>
            </w:r>
            <w:r w:rsidR="00850F9B" w:rsidRPr="006B5BD5">
              <w:rPr>
                <w:color w:val="00B050"/>
                <w:sz w:val="20"/>
                <w:szCs w:val="20"/>
              </w:rPr>
              <w:t>+1 202 690 0472</w:t>
            </w:r>
            <w:r w:rsidRPr="00326064">
              <w:rPr>
                <w:sz w:val="20"/>
                <w:szCs w:val="20"/>
              </w:rPr>
              <w:tab/>
            </w:r>
          </w:p>
          <w:p w14:paraId="68A8B13F" w14:textId="7697F51E" w:rsidR="000B32EC" w:rsidRPr="00326064" w:rsidRDefault="000B32EC" w:rsidP="00551ED4">
            <w:pPr>
              <w:tabs>
                <w:tab w:val="right" w:leader="dot" w:pos="9480"/>
              </w:tabs>
              <w:spacing w:before="60" w:after="60"/>
              <w:rPr>
                <w:sz w:val="20"/>
                <w:szCs w:val="20"/>
              </w:rPr>
            </w:pPr>
            <w:r w:rsidRPr="00326064">
              <w:rPr>
                <w:sz w:val="20"/>
                <w:szCs w:val="20"/>
              </w:rPr>
              <w:t>E-mail:</w:t>
            </w:r>
            <w:r w:rsidR="00850F9B">
              <w:rPr>
                <w:sz w:val="20"/>
                <w:szCs w:val="20"/>
              </w:rPr>
              <w:t xml:space="preserve"> </w:t>
            </w:r>
            <w:r w:rsidR="00850F9B" w:rsidRPr="006B5BD5">
              <w:rPr>
                <w:color w:val="00B050"/>
                <w:sz w:val="20"/>
                <w:szCs w:val="20"/>
              </w:rPr>
              <w:t>John.K.Greifer@aphis.usda.gov</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0C8811C8" w:rsidR="00E96D9B" w:rsidRPr="00EE39DD" w:rsidRDefault="0067537B" w:rsidP="0067537B">
            <w:pPr>
              <w:rPr>
                <w:sz w:val="20"/>
                <w:szCs w:val="20"/>
              </w:rPr>
            </w:pPr>
            <w:r w:rsidRPr="00EE39DD">
              <w:rPr>
                <w:bCs/>
                <w:sz w:val="20"/>
                <w:szCs w:val="20"/>
              </w:rPr>
              <w:t>[</w:t>
            </w:r>
            <w:r w:rsidR="00282809" w:rsidRPr="00033A96">
              <w:rPr>
                <w:bCs/>
                <w:sz w:val="20"/>
                <w:szCs w:val="20"/>
              </w:rPr>
              <w:t>X</w:t>
            </w:r>
            <w:r w:rsidRPr="00282809">
              <w:rPr>
                <w:bCs/>
                <w:color w:val="00B050"/>
                <w:sz w:val="20"/>
                <w:szCs w:val="20"/>
              </w:rPr>
              <w:t>_</w:t>
            </w:r>
            <w:r w:rsidRPr="00EE39DD">
              <w:rPr>
                <w:bCs/>
                <w:sz w:val="20"/>
                <w:szCs w:val="20"/>
              </w:rPr>
              <w:t>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lastRenderedPageBreak/>
              <w:t>A. New ISPM:</w:t>
            </w:r>
          </w:p>
          <w:p w14:paraId="6C7FB33E" w14:textId="3D7905AF"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6251727C" w:rsidR="000B32EC" w:rsidRPr="00326064" w:rsidRDefault="000B32EC" w:rsidP="00551ED4">
            <w:pPr>
              <w:rPr>
                <w:sz w:val="20"/>
                <w:szCs w:val="20"/>
              </w:rPr>
            </w:pPr>
            <w:r w:rsidRPr="00326064">
              <w:rPr>
                <w:bCs/>
                <w:sz w:val="20"/>
                <w:szCs w:val="20"/>
              </w:rPr>
              <w:t>[_]</w:t>
            </w:r>
            <w:r w:rsidRPr="00326064">
              <w:rPr>
                <w:sz w:val="20"/>
                <w:szCs w:val="20"/>
              </w:rPr>
              <w:t xml:space="preserve"> Supplement</w:t>
            </w:r>
          </w:p>
          <w:p w14:paraId="1C23F80D" w14:textId="57BA2018" w:rsidR="000B32EC" w:rsidRPr="00326064" w:rsidRDefault="000B32EC" w:rsidP="00551ED4">
            <w:pPr>
              <w:ind w:left="423" w:hanging="423"/>
              <w:rPr>
                <w:sz w:val="20"/>
                <w:szCs w:val="20"/>
              </w:rPr>
            </w:pPr>
            <w:r w:rsidRPr="00326064">
              <w:rPr>
                <w:bCs/>
                <w:sz w:val="20"/>
                <w:szCs w:val="20"/>
              </w:rPr>
              <w:t>[</w:t>
            </w:r>
            <w:r w:rsidR="00544322">
              <w:rPr>
                <w:bCs/>
                <w:sz w:val="20"/>
                <w:szCs w:val="20"/>
              </w:rPr>
              <w:t>X</w:t>
            </w:r>
            <w:r w:rsidRPr="00326064">
              <w:rPr>
                <w:bCs/>
                <w:sz w:val="20"/>
                <w:szCs w:val="20"/>
              </w:rPr>
              <w:t>]</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14:paraId="0BA47B85" w14:textId="77777777" w:rsidTr="00563FA2">
        <w:trPr>
          <w:trHeight w:val="828"/>
          <w:jc w:val="center"/>
        </w:trPr>
        <w:tc>
          <w:tcPr>
            <w:tcW w:w="5000" w:type="pct"/>
          </w:tcPr>
          <w:p w14:paraId="4A0998B0" w14:textId="18E34E49" w:rsidR="005E6F6B" w:rsidRPr="00033A96"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r w:rsidR="00282809">
              <w:rPr>
                <w:b/>
                <w:sz w:val="20"/>
                <w:szCs w:val="20"/>
                <w:u w:val="single"/>
              </w:rPr>
              <w:t xml:space="preserve"> </w:t>
            </w:r>
            <w:r w:rsidR="00B045D6" w:rsidRPr="00033A96">
              <w:rPr>
                <w:i/>
                <w:sz w:val="20"/>
                <w:szCs w:val="20"/>
              </w:rPr>
              <w:t>Criteria for the determination of host status for fruit flies based on available information</w:t>
            </w:r>
            <w:r w:rsidR="00544322">
              <w:rPr>
                <w:i/>
                <w:sz w:val="20"/>
                <w:szCs w:val="20"/>
              </w:rPr>
              <w:t xml:space="preserve"> (Annex to ISPM 37).</w:t>
            </w:r>
          </w:p>
          <w:p w14:paraId="306AC8C2" w14:textId="23F0E3AA" w:rsidR="00282809" w:rsidRDefault="00282809" w:rsidP="00E96D9B">
            <w:pPr>
              <w:rPr>
                <w:b/>
                <w:sz w:val="20"/>
                <w:szCs w:val="20"/>
                <w:u w:val="single"/>
              </w:rPr>
            </w:pP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7E437010" w:rsidR="005E6F6B" w:rsidRPr="00EE39DD" w:rsidRDefault="005E6F6B" w:rsidP="005E6F6B">
            <w:pPr>
              <w:rPr>
                <w:sz w:val="20"/>
                <w:szCs w:val="20"/>
              </w:rPr>
            </w:pPr>
            <w:r w:rsidRPr="00EE39DD">
              <w:rPr>
                <w:sz w:val="20"/>
                <w:szCs w:val="20"/>
              </w:rPr>
              <w:t xml:space="preserve"> </w:t>
            </w:r>
            <w:r w:rsidRPr="00EE39DD">
              <w:rPr>
                <w:bCs/>
                <w:sz w:val="20"/>
                <w:szCs w:val="20"/>
              </w:rPr>
              <w:t>[_</w:t>
            </w:r>
            <w:r w:rsidR="004504A9" w:rsidRPr="00033A96">
              <w:rPr>
                <w:bCs/>
                <w:sz w:val="20"/>
                <w:szCs w:val="20"/>
              </w:rPr>
              <w:t>X</w:t>
            </w:r>
            <w:r w:rsidRPr="00EE39DD">
              <w:rPr>
                <w:bCs/>
                <w:sz w:val="20"/>
                <w:szCs w:val="20"/>
              </w:rPr>
              <w:t>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68C3923D" w:rsidR="005E6F6B" w:rsidRPr="004504A9" w:rsidRDefault="005E6F6B" w:rsidP="005E6F6B">
            <w:pPr>
              <w:rPr>
                <w:color w:val="00B050"/>
                <w:sz w:val="20"/>
                <w:szCs w:val="20"/>
              </w:rPr>
            </w:pPr>
            <w:r w:rsidRPr="00EE39DD">
              <w:rPr>
                <w:sz w:val="20"/>
                <w:szCs w:val="20"/>
              </w:rPr>
              <w:t>Comments:</w:t>
            </w:r>
            <w:r w:rsidR="004504A9">
              <w:rPr>
                <w:sz w:val="20"/>
                <w:szCs w:val="20"/>
              </w:rPr>
              <w:t xml:space="preserve"> </w:t>
            </w:r>
            <w:r w:rsidR="00B965EB">
              <w:rPr>
                <w:sz w:val="20"/>
                <w:szCs w:val="20"/>
              </w:rPr>
              <w:t>The IPPC</w:t>
            </w:r>
            <w:r w:rsidR="004504A9" w:rsidRPr="00033A96">
              <w:rPr>
                <w:sz w:val="20"/>
                <w:szCs w:val="20"/>
              </w:rPr>
              <w:t xml:space="preserve"> Framework for </w:t>
            </w:r>
            <w:r w:rsidR="00B965EB">
              <w:rPr>
                <w:sz w:val="20"/>
                <w:szCs w:val="20"/>
              </w:rPr>
              <w:t>Standards</w:t>
            </w:r>
            <w:r w:rsidR="00B965EB" w:rsidRPr="00033A96">
              <w:rPr>
                <w:sz w:val="20"/>
                <w:szCs w:val="20"/>
              </w:rPr>
              <w:t xml:space="preserve"> </w:t>
            </w:r>
            <w:r w:rsidR="004504A9" w:rsidRPr="00033A96">
              <w:rPr>
                <w:sz w:val="20"/>
                <w:szCs w:val="20"/>
              </w:rPr>
              <w:t>and Implementation</w:t>
            </w:r>
            <w:r w:rsidR="00B965EB">
              <w:rPr>
                <w:sz w:val="20"/>
                <w:szCs w:val="20"/>
              </w:rPr>
              <w:t xml:space="preserve"> (</w:t>
            </w:r>
            <w:hyperlink r:id="rId15" w:history="1">
              <w:r w:rsidR="00B965EB" w:rsidRPr="00572663">
                <w:rPr>
                  <w:rStyle w:val="Hyperlink"/>
                  <w:sz w:val="20"/>
                  <w:szCs w:val="20"/>
                </w:rPr>
                <w:t>https://www.ippc.int/en/core-activities/standards-and-implementation/ippc-framework-for-standards-and-implementation/</w:t>
              </w:r>
            </w:hyperlink>
            <w:r w:rsidR="00B965EB">
              <w:rPr>
                <w:sz w:val="20"/>
                <w:szCs w:val="20"/>
              </w:rPr>
              <w:t>) identifies a gap for a conceptual standard on fruit fly host status</w:t>
            </w:r>
            <w:r w:rsidR="00544322">
              <w:rPr>
                <w:sz w:val="20"/>
                <w:szCs w:val="20"/>
              </w:rPr>
              <w:t>. Th</w:t>
            </w:r>
            <w:r w:rsidR="008F38A9">
              <w:rPr>
                <w:sz w:val="20"/>
                <w:szCs w:val="20"/>
              </w:rPr>
              <w:t>is</w:t>
            </w:r>
            <w:r w:rsidR="00B965EB">
              <w:rPr>
                <w:sz w:val="20"/>
                <w:szCs w:val="20"/>
              </w:rPr>
              <w:t xml:space="preserve"> proposed </w:t>
            </w:r>
            <w:r w:rsidR="00544322">
              <w:rPr>
                <w:sz w:val="20"/>
                <w:szCs w:val="20"/>
              </w:rPr>
              <w:t>Annex to ISPM 37 will fill</w:t>
            </w:r>
            <w:r w:rsidR="00B965EB">
              <w:rPr>
                <w:sz w:val="20"/>
                <w:szCs w:val="20"/>
              </w:rPr>
              <w:t xml:space="preserve"> this</w:t>
            </w:r>
            <w:r w:rsidR="00544322">
              <w:rPr>
                <w:sz w:val="20"/>
                <w:szCs w:val="20"/>
              </w:rPr>
              <w:t xml:space="preserve"> gap.</w:t>
            </w:r>
          </w:p>
          <w:p w14:paraId="6CEE5D29" w14:textId="2C70C181" w:rsidR="005E6F6B" w:rsidRPr="00EE39DD" w:rsidRDefault="005E6F6B" w:rsidP="00E96D9B">
            <w:pPr>
              <w:rPr>
                <w:b/>
                <w:sz w:val="20"/>
                <w:szCs w:val="20"/>
                <w:u w:val="single"/>
              </w:rPr>
            </w:pPr>
          </w:p>
        </w:tc>
      </w:tr>
      <w:tr w:rsidR="005E6F6B" w:rsidRPr="007075F6" w14:paraId="1151977E" w14:textId="77777777" w:rsidTr="00563FA2">
        <w:trPr>
          <w:trHeight w:val="828"/>
          <w:jc w:val="center"/>
        </w:trPr>
        <w:tc>
          <w:tcPr>
            <w:tcW w:w="5000" w:type="pct"/>
          </w:tcPr>
          <w:p w14:paraId="4E5082C3" w14:textId="2F80900A" w:rsidR="00AB4F0E" w:rsidRDefault="005E6F6B" w:rsidP="00AB4F0E">
            <w:pPr>
              <w:rPr>
                <w:rFonts w:cs="Times-Roman"/>
                <w:i/>
                <w:szCs w:val="22"/>
              </w:rPr>
            </w:pPr>
            <w:r w:rsidRPr="005E6F6B">
              <w:rPr>
                <w:b/>
                <w:sz w:val="20"/>
                <w:szCs w:val="20"/>
                <w:u w:val="single"/>
              </w:rPr>
              <w:t>8. Featur</w:t>
            </w:r>
            <w:r w:rsidR="00F21E55">
              <w:rPr>
                <w:b/>
                <w:sz w:val="20"/>
                <w:szCs w:val="20"/>
                <w:u w:val="single"/>
              </w:rPr>
              <w:t>ed outcome of standard/implementation resource</w:t>
            </w:r>
            <w:r w:rsidR="00084F7B">
              <w:rPr>
                <w:b/>
                <w:sz w:val="20"/>
                <w:szCs w:val="20"/>
                <w:u w:val="single"/>
              </w:rPr>
              <w:t>:</w:t>
            </w:r>
            <w:r w:rsidR="00F21E55">
              <w:rPr>
                <w:b/>
                <w:sz w:val="20"/>
                <w:szCs w:val="20"/>
                <w:u w:val="single"/>
              </w:rPr>
              <w:t xml:space="preserve"> </w:t>
            </w:r>
            <w:r w:rsidR="00AB4F0E">
              <w:rPr>
                <w:rFonts w:cs="Times-Roman"/>
                <w:i/>
                <w:szCs w:val="22"/>
              </w:rPr>
              <w:t xml:space="preserve"> </w:t>
            </w:r>
            <w:r w:rsidR="00084F7B" w:rsidRPr="00EF3D76">
              <w:rPr>
                <w:rFonts w:cs="Times-Roman"/>
                <w:i/>
                <w:szCs w:val="22"/>
              </w:rPr>
              <w:t xml:space="preserve">The </w:t>
            </w:r>
            <w:r w:rsidR="00C15E8C">
              <w:rPr>
                <w:rFonts w:cs="Times-Roman"/>
                <w:i/>
                <w:szCs w:val="22"/>
              </w:rPr>
              <w:t xml:space="preserve">new </w:t>
            </w:r>
            <w:r w:rsidR="00544322">
              <w:rPr>
                <w:rFonts w:cs="Times-Roman"/>
                <w:i/>
                <w:szCs w:val="22"/>
              </w:rPr>
              <w:t>Annex to ISPM 37</w:t>
            </w:r>
            <w:r w:rsidR="00084F7B" w:rsidRPr="00EF3D76">
              <w:rPr>
                <w:rFonts w:cs="Times-Roman"/>
                <w:i/>
                <w:szCs w:val="22"/>
              </w:rPr>
              <w:t xml:space="preserve"> will provide </w:t>
            </w:r>
            <w:r w:rsidR="00AB4F0E">
              <w:rPr>
                <w:rFonts w:cs="Times-Roman"/>
                <w:i/>
                <w:szCs w:val="22"/>
              </w:rPr>
              <w:t xml:space="preserve">the missing </w:t>
            </w:r>
            <w:r w:rsidR="00084F7B" w:rsidRPr="00EF3D76">
              <w:rPr>
                <w:rFonts w:cs="Times-Roman"/>
                <w:i/>
                <w:szCs w:val="22"/>
              </w:rPr>
              <w:t xml:space="preserve">conceptual guidance and </w:t>
            </w:r>
            <w:r w:rsidR="00AB4F0E">
              <w:rPr>
                <w:rFonts w:cs="Times-Roman"/>
                <w:i/>
                <w:szCs w:val="22"/>
              </w:rPr>
              <w:t xml:space="preserve">will develop </w:t>
            </w:r>
            <w:r w:rsidR="00084F7B" w:rsidRPr="00EF3D76">
              <w:rPr>
                <w:rFonts w:cs="Times-Roman"/>
                <w:i/>
                <w:szCs w:val="22"/>
              </w:rPr>
              <w:t>consistent criteria for evaluating already available information (e.g. scientific literature, NPPO records,</w:t>
            </w:r>
            <w:r w:rsidR="000E1489">
              <w:rPr>
                <w:rFonts w:cs="Times-Roman"/>
                <w:i/>
                <w:szCs w:val="22"/>
              </w:rPr>
              <w:t xml:space="preserve"> </w:t>
            </w:r>
            <w:r w:rsidR="00084F7B" w:rsidRPr="00EF3D76">
              <w:rPr>
                <w:rFonts w:cs="Times-Roman"/>
                <w:i/>
                <w:szCs w:val="22"/>
              </w:rPr>
              <w:t>pest reports</w:t>
            </w:r>
            <w:r w:rsidR="00C15E8C">
              <w:rPr>
                <w:rFonts w:cs="Times-Roman"/>
                <w:i/>
                <w:szCs w:val="22"/>
              </w:rPr>
              <w:t>, etc.</w:t>
            </w:r>
            <w:r w:rsidR="00084F7B" w:rsidRPr="00EF3D76">
              <w:rPr>
                <w:rFonts w:cs="Times-Roman"/>
                <w:i/>
                <w:szCs w:val="22"/>
              </w:rPr>
              <w:t>)</w:t>
            </w:r>
            <w:r w:rsidR="00AB4F0E">
              <w:rPr>
                <w:rFonts w:cs="Times-Roman"/>
                <w:i/>
                <w:szCs w:val="22"/>
              </w:rPr>
              <w:t xml:space="preserve"> for</w:t>
            </w:r>
            <w:r w:rsidR="00084F7B" w:rsidRPr="00EF3D76">
              <w:rPr>
                <w:rFonts w:cs="Times-Roman"/>
                <w:i/>
                <w:szCs w:val="22"/>
              </w:rPr>
              <w:t xml:space="preserve"> determin</w:t>
            </w:r>
            <w:r w:rsidR="00AB4F0E">
              <w:rPr>
                <w:rFonts w:cs="Times-Roman"/>
                <w:i/>
                <w:szCs w:val="22"/>
              </w:rPr>
              <w:t>ing</w:t>
            </w:r>
            <w:r w:rsidR="00084F7B" w:rsidRPr="00EF3D76">
              <w:rPr>
                <w:rFonts w:cs="Times-Roman"/>
                <w:i/>
                <w:szCs w:val="22"/>
              </w:rPr>
              <w:t xml:space="preserve"> the host status for fruit flies</w:t>
            </w:r>
            <w:r w:rsidR="002325BE">
              <w:rPr>
                <w:rFonts w:cs="Times-Roman"/>
                <w:i/>
                <w:szCs w:val="22"/>
              </w:rPr>
              <w:t>,</w:t>
            </w:r>
            <w:r w:rsidR="00084F7B" w:rsidRPr="00EF3D76">
              <w:rPr>
                <w:rFonts w:cs="Times-Roman"/>
                <w:i/>
                <w:szCs w:val="22"/>
              </w:rPr>
              <w:t xml:space="preserve"> without conducting </w:t>
            </w:r>
            <w:r w:rsidR="00AB4F0E">
              <w:rPr>
                <w:rFonts w:cs="Times-Roman"/>
                <w:i/>
                <w:szCs w:val="22"/>
              </w:rPr>
              <w:t xml:space="preserve">any </w:t>
            </w:r>
            <w:r w:rsidR="00084F7B" w:rsidRPr="00EF3D76">
              <w:rPr>
                <w:rFonts w:cs="Times-Roman"/>
                <w:i/>
                <w:szCs w:val="22"/>
              </w:rPr>
              <w:t>experiments</w:t>
            </w:r>
            <w:r w:rsidR="000E1489">
              <w:rPr>
                <w:rFonts w:cs="Times-Roman"/>
                <w:i/>
                <w:szCs w:val="22"/>
              </w:rPr>
              <w:t>.</w:t>
            </w:r>
          </w:p>
          <w:p w14:paraId="080A61AB" w14:textId="72229DC8" w:rsidR="005E6F6B" w:rsidRPr="005E6F6B" w:rsidRDefault="005E6F6B" w:rsidP="00AB4F0E">
            <w:pPr>
              <w:rPr>
                <w:b/>
                <w:sz w:val="20"/>
                <w:szCs w:val="20"/>
                <w:u w:val="single"/>
              </w:rPr>
            </w:pP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4D6D9119" w:rsidR="00563FA2" w:rsidRPr="00084F7B" w:rsidRDefault="002325BE" w:rsidP="002325BE">
            <w:pPr>
              <w:rPr>
                <w:i/>
                <w:sz w:val="20"/>
                <w:szCs w:val="20"/>
              </w:rPr>
            </w:pPr>
            <w:r>
              <w:rPr>
                <w:i/>
                <w:szCs w:val="22"/>
              </w:rPr>
              <w:t xml:space="preserve">A gap in guidance on host status </w:t>
            </w:r>
            <w:r w:rsidR="00B965EB">
              <w:rPr>
                <w:i/>
                <w:szCs w:val="22"/>
              </w:rPr>
              <w:t xml:space="preserve">has been identified in the CPM-12 (2017) version of the Framework, line 25. </w:t>
            </w:r>
            <w:r w:rsidR="00E9219C" w:rsidRPr="00EF3D76">
              <w:rPr>
                <w:i/>
                <w:szCs w:val="22"/>
              </w:rPr>
              <w:t>Th</w:t>
            </w:r>
            <w:r>
              <w:rPr>
                <w:i/>
                <w:szCs w:val="22"/>
              </w:rPr>
              <w:t>e</w:t>
            </w:r>
            <w:r w:rsidR="00E9219C" w:rsidRPr="00EF3D76">
              <w:rPr>
                <w:i/>
                <w:szCs w:val="22"/>
              </w:rPr>
              <w:t xml:space="preserve"> </w:t>
            </w:r>
            <w:r w:rsidR="00B965EB">
              <w:rPr>
                <w:i/>
                <w:szCs w:val="22"/>
              </w:rPr>
              <w:t xml:space="preserve">proposed </w:t>
            </w:r>
            <w:r w:rsidR="00544322">
              <w:rPr>
                <w:i/>
                <w:szCs w:val="22"/>
              </w:rPr>
              <w:t>Annex to ISPM 37</w:t>
            </w:r>
            <w:r w:rsidR="00E9219C" w:rsidRPr="00EF3D76">
              <w:rPr>
                <w:i/>
                <w:szCs w:val="22"/>
              </w:rPr>
              <w:t xml:space="preserve"> w</w:t>
            </w:r>
            <w:r w:rsidR="00084F7B" w:rsidRPr="00EF3D76">
              <w:rPr>
                <w:i/>
                <w:szCs w:val="22"/>
              </w:rPr>
              <w:t xml:space="preserve">ill fill the identified gap for conceptual </w:t>
            </w:r>
            <w:r w:rsidR="00544322">
              <w:rPr>
                <w:i/>
                <w:szCs w:val="22"/>
              </w:rPr>
              <w:t>guidance</w:t>
            </w:r>
            <w:r w:rsidR="00084F7B" w:rsidRPr="00EF3D76">
              <w:rPr>
                <w:i/>
                <w:szCs w:val="22"/>
              </w:rPr>
              <w:t xml:space="preserve"> on fruit fly host status</w:t>
            </w:r>
            <w:r w:rsidR="00084F7B" w:rsidRPr="00084F7B">
              <w:rPr>
                <w:i/>
                <w:sz w:val="20"/>
                <w:szCs w:val="20"/>
              </w:rPr>
              <w:t>.</w:t>
            </w:r>
          </w:p>
        </w:tc>
      </w:tr>
      <w:tr w:rsidR="00563FA2" w:rsidRPr="00326064" w14:paraId="367B04BB" w14:textId="77777777" w:rsidTr="00563FA2">
        <w:trPr>
          <w:trHeight w:val="828"/>
          <w:jc w:val="center"/>
        </w:trPr>
        <w:tc>
          <w:tcPr>
            <w:tcW w:w="5000" w:type="pct"/>
          </w:tcPr>
          <w:p w14:paraId="3586AF08"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r w:rsidR="00084F7B">
              <w:rPr>
                <w:sz w:val="20"/>
                <w:szCs w:val="20"/>
              </w:rPr>
              <w:t xml:space="preserve"> </w:t>
            </w:r>
          </w:p>
          <w:p w14:paraId="5F46B42D" w14:textId="27C039A6" w:rsidR="00084F7B" w:rsidRPr="00EF3D76" w:rsidRDefault="002325BE" w:rsidP="002325BE">
            <w:pPr>
              <w:rPr>
                <w:b/>
                <w:i/>
                <w:szCs w:val="22"/>
                <w:u w:val="single"/>
              </w:rPr>
            </w:pPr>
            <w:r>
              <w:rPr>
                <w:rFonts w:cs="Times-Roman"/>
                <w:i/>
                <w:szCs w:val="22"/>
              </w:rPr>
              <w:t>The</w:t>
            </w:r>
            <w:r w:rsidRPr="00EF3D76">
              <w:rPr>
                <w:rFonts w:cs="Times-Roman"/>
                <w:i/>
                <w:szCs w:val="22"/>
              </w:rPr>
              <w:t xml:space="preserve"> </w:t>
            </w:r>
            <w:r w:rsidR="00B965EB">
              <w:rPr>
                <w:rFonts w:cs="Times-Roman"/>
                <w:i/>
                <w:szCs w:val="22"/>
              </w:rPr>
              <w:t xml:space="preserve">proposed </w:t>
            </w:r>
            <w:r>
              <w:rPr>
                <w:rFonts w:cs="Times-Roman"/>
                <w:i/>
                <w:szCs w:val="22"/>
              </w:rPr>
              <w:t>Annex</w:t>
            </w:r>
            <w:r w:rsidR="00B965EB">
              <w:rPr>
                <w:rFonts w:cs="Times-Roman"/>
                <w:i/>
                <w:szCs w:val="22"/>
              </w:rPr>
              <w:t xml:space="preserve"> will </w:t>
            </w:r>
            <w:r w:rsidR="00084F7B" w:rsidRPr="00EF3D76">
              <w:rPr>
                <w:rFonts w:cs="Times-Roman"/>
                <w:i/>
                <w:szCs w:val="22"/>
              </w:rPr>
              <w:t xml:space="preserve">provide </w:t>
            </w:r>
            <w:r w:rsidR="00EF3D76">
              <w:rPr>
                <w:rFonts w:cs="Times-Roman"/>
                <w:i/>
                <w:szCs w:val="22"/>
              </w:rPr>
              <w:t>criteria on</w:t>
            </w:r>
            <w:r w:rsidR="00084F7B" w:rsidRPr="00EF3D76">
              <w:rPr>
                <w:rFonts w:cs="Times-Roman"/>
                <w:i/>
                <w:szCs w:val="22"/>
              </w:rPr>
              <w:t xml:space="preserve"> </w:t>
            </w:r>
            <w:r w:rsidR="00E9219C" w:rsidRPr="00EF3D76">
              <w:rPr>
                <w:rFonts w:cs="Times-Roman"/>
                <w:i/>
                <w:szCs w:val="22"/>
              </w:rPr>
              <w:t xml:space="preserve">evaluating published </w:t>
            </w:r>
            <w:r w:rsidR="00084F7B" w:rsidRPr="00EF3D76">
              <w:rPr>
                <w:rFonts w:cs="Times-Roman"/>
                <w:i/>
                <w:szCs w:val="22"/>
              </w:rPr>
              <w:t xml:space="preserve">information for consistency in decision-making; </w:t>
            </w:r>
            <w:r w:rsidR="00B965EB">
              <w:rPr>
                <w:rFonts w:cs="Times-Roman"/>
                <w:i/>
                <w:szCs w:val="22"/>
              </w:rPr>
              <w:t xml:space="preserve">and </w:t>
            </w:r>
            <w:r w:rsidR="00084F7B" w:rsidRPr="00EF3D76">
              <w:rPr>
                <w:rFonts w:cs="Times-Roman"/>
                <w:i/>
                <w:szCs w:val="22"/>
              </w:rPr>
              <w:t xml:space="preserve">will harmonize terminology </w:t>
            </w:r>
            <w:r w:rsidR="00EF3D76">
              <w:rPr>
                <w:rFonts w:cs="Times-Roman"/>
                <w:i/>
                <w:szCs w:val="22"/>
              </w:rPr>
              <w:t>for</w:t>
            </w:r>
            <w:r w:rsidR="00084F7B" w:rsidRPr="00EF3D76">
              <w:rPr>
                <w:rFonts w:cs="Times-Roman"/>
                <w:i/>
                <w:szCs w:val="22"/>
              </w:rPr>
              <w:t xml:space="preserve"> host status to fruit flies align</w:t>
            </w:r>
            <w:r>
              <w:rPr>
                <w:rFonts w:cs="Times-Roman"/>
                <w:i/>
                <w:szCs w:val="22"/>
              </w:rPr>
              <w:t>ing</w:t>
            </w:r>
            <w:r w:rsidR="00084F7B" w:rsidRPr="00EF3D76">
              <w:rPr>
                <w:rFonts w:cs="Times-Roman"/>
                <w:i/>
                <w:szCs w:val="22"/>
              </w:rPr>
              <w:t xml:space="preserve"> it with the terms </w:t>
            </w:r>
            <w:r w:rsidR="00544322">
              <w:rPr>
                <w:rFonts w:cs="Times-Roman"/>
                <w:i/>
                <w:szCs w:val="22"/>
              </w:rPr>
              <w:t xml:space="preserve">already </w:t>
            </w:r>
            <w:r w:rsidR="00084F7B" w:rsidRPr="00EF3D76">
              <w:rPr>
                <w:rFonts w:cs="Times-Roman"/>
                <w:i/>
                <w:szCs w:val="22"/>
              </w:rPr>
              <w:t>in ISPM 37</w:t>
            </w:r>
            <w:r w:rsidR="004561AC" w:rsidRPr="00EF3D76">
              <w:rPr>
                <w:rFonts w:cs="Times-Roman"/>
                <w:i/>
                <w:szCs w:val="22"/>
              </w:rPr>
              <w:t>.</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4B87AFD2" w14:textId="3F48E1AD" w:rsidR="00E9219C" w:rsidRPr="00EF3D76" w:rsidRDefault="00310CDB" w:rsidP="00551ED4">
            <w:pPr>
              <w:autoSpaceDE w:val="0"/>
              <w:autoSpaceDN w:val="0"/>
              <w:adjustRightInd w:val="0"/>
              <w:rPr>
                <w:rFonts w:cs="Times-Roman"/>
                <w:szCs w:val="22"/>
              </w:rPr>
            </w:pPr>
            <w:r>
              <w:rPr>
                <w:rFonts w:cs="Times-Roman"/>
                <w:i/>
                <w:szCs w:val="22"/>
              </w:rPr>
              <w:t xml:space="preserve">The </w:t>
            </w:r>
            <w:r w:rsidR="00544322">
              <w:rPr>
                <w:rFonts w:cs="Times-Roman"/>
                <w:i/>
                <w:szCs w:val="22"/>
              </w:rPr>
              <w:t>Annex</w:t>
            </w:r>
            <w:r>
              <w:rPr>
                <w:rFonts w:cs="Times-Roman"/>
                <w:i/>
                <w:szCs w:val="22"/>
              </w:rPr>
              <w:t xml:space="preserve"> </w:t>
            </w:r>
            <w:r w:rsidR="00EA3FC3" w:rsidRPr="00EF3D76">
              <w:rPr>
                <w:rFonts w:cs="Times-Roman"/>
                <w:i/>
                <w:szCs w:val="22"/>
              </w:rPr>
              <w:t xml:space="preserve">will </w:t>
            </w:r>
            <w:r>
              <w:rPr>
                <w:rFonts w:cs="Times-Roman"/>
                <w:i/>
                <w:szCs w:val="22"/>
              </w:rPr>
              <w:t xml:space="preserve">secure common and effective action to prevent introduction and spread of fruit flies by ensuring harmonized approach to </w:t>
            </w:r>
            <w:r w:rsidR="00914A54">
              <w:rPr>
                <w:rFonts w:cs="Times-Roman"/>
                <w:i/>
                <w:szCs w:val="22"/>
              </w:rPr>
              <w:t xml:space="preserve">correctly </w:t>
            </w:r>
            <w:r>
              <w:rPr>
                <w:rFonts w:cs="Times-Roman"/>
                <w:i/>
                <w:szCs w:val="22"/>
              </w:rPr>
              <w:t xml:space="preserve">identifying and regulating their hosts. This will prevent disagreements between NPPOs over which plants (fruits) are hosts for particular fruit flies according to already available information </w:t>
            </w:r>
            <w:r w:rsidR="00EA3FC3" w:rsidRPr="00EF3D76">
              <w:rPr>
                <w:rFonts w:cs="Times-Roman"/>
                <w:i/>
                <w:szCs w:val="22"/>
              </w:rPr>
              <w:t xml:space="preserve">and will assist </w:t>
            </w:r>
            <w:r>
              <w:rPr>
                <w:rFonts w:cs="Times-Roman"/>
                <w:i/>
                <w:szCs w:val="22"/>
              </w:rPr>
              <w:t xml:space="preserve">in safe trade in plants </w:t>
            </w:r>
            <w:r w:rsidR="00EA3FC3" w:rsidRPr="00EF3D76">
              <w:rPr>
                <w:rFonts w:cs="Times-Roman"/>
                <w:i/>
                <w:szCs w:val="22"/>
              </w:rPr>
              <w:t>and plant products.</w:t>
            </w:r>
          </w:p>
          <w:p w14:paraId="16C617AC" w14:textId="77777777" w:rsidR="000B32EC" w:rsidRPr="00E86637" w:rsidRDefault="000B32EC" w:rsidP="00551ED4">
            <w:pPr>
              <w:autoSpaceDE w:val="0"/>
              <w:autoSpaceDN w:val="0"/>
              <w:adjustRightInd w:val="0"/>
              <w:rPr>
                <w:rFonts w:cs="Times-Roman"/>
                <w:sz w:val="18"/>
                <w:szCs w:val="18"/>
              </w:rPr>
            </w:pPr>
          </w:p>
        </w:tc>
      </w:tr>
      <w:tr w:rsidR="000B32EC" w:rsidRPr="00E86637" w14:paraId="6D14D076" w14:textId="77777777" w:rsidTr="00551ED4">
        <w:trPr>
          <w:trHeight w:val="266"/>
          <w:jc w:val="center"/>
        </w:trPr>
        <w:tc>
          <w:tcPr>
            <w:tcW w:w="5000" w:type="pct"/>
          </w:tcPr>
          <w:p w14:paraId="79316130" w14:textId="77777777" w:rsidR="000B32EC" w:rsidRDefault="00167857" w:rsidP="00551ED4">
            <w:pPr>
              <w:autoSpaceDE w:val="0"/>
              <w:autoSpaceDN w:val="0"/>
              <w:adjustRightInd w:val="0"/>
              <w:rPr>
                <w:rFonts w:cs="Times-Roman"/>
                <w:sz w:val="18"/>
                <w:szCs w:val="18"/>
              </w:rPr>
            </w:pPr>
            <w:r w:rsidRPr="00734332">
              <w:rPr>
                <w:rFonts w:cs="Times-Roman"/>
                <w:sz w:val="18"/>
                <w:szCs w:val="18"/>
              </w:rPr>
              <w:t>Linkage to IPPC Strategic Objectives (SOs) and Organizational results demonstrated.</w:t>
            </w:r>
          </w:p>
          <w:p w14:paraId="067DFF86" w14:textId="467559B1" w:rsidR="00734332" w:rsidRPr="00734332" w:rsidRDefault="0092570A" w:rsidP="0092570A">
            <w:pPr>
              <w:autoSpaceDE w:val="0"/>
              <w:autoSpaceDN w:val="0"/>
              <w:adjustRightInd w:val="0"/>
              <w:jc w:val="left"/>
              <w:rPr>
                <w:i/>
                <w:szCs w:val="22"/>
                <w:lang w:val="en-US"/>
              </w:rPr>
            </w:pPr>
            <w:r w:rsidRPr="00734332">
              <w:rPr>
                <w:i/>
                <w:szCs w:val="22"/>
                <w:lang w:val="en-US"/>
              </w:rPr>
              <w:t xml:space="preserve">The </w:t>
            </w:r>
            <w:r w:rsidR="00544322">
              <w:rPr>
                <w:i/>
                <w:szCs w:val="22"/>
                <w:lang w:val="en-US"/>
              </w:rPr>
              <w:t xml:space="preserve">Annex </w:t>
            </w:r>
            <w:r w:rsidRPr="00734332">
              <w:rPr>
                <w:i/>
                <w:szCs w:val="22"/>
                <w:lang w:val="en-US"/>
              </w:rPr>
              <w:t xml:space="preserve">will help </w:t>
            </w:r>
            <w:r w:rsidR="00914A54" w:rsidRPr="00734332">
              <w:rPr>
                <w:i/>
                <w:szCs w:val="22"/>
                <w:lang w:val="en-US"/>
              </w:rPr>
              <w:t>improving</w:t>
            </w:r>
            <w:r w:rsidRPr="00734332">
              <w:rPr>
                <w:i/>
                <w:szCs w:val="22"/>
                <w:lang w:val="en-US"/>
              </w:rPr>
              <w:t xml:space="preserve"> </w:t>
            </w:r>
            <w:r w:rsidR="00914A54" w:rsidRPr="00734332">
              <w:rPr>
                <w:i/>
                <w:szCs w:val="22"/>
                <w:lang w:val="en-US"/>
              </w:rPr>
              <w:t>p</w:t>
            </w:r>
            <w:r w:rsidRPr="00734332">
              <w:rPr>
                <w:i/>
                <w:szCs w:val="22"/>
                <w:lang w:val="en-US"/>
              </w:rPr>
              <w:t xml:space="preserve">hytosanitary capacity </w:t>
            </w:r>
            <w:r w:rsidR="00734332">
              <w:rPr>
                <w:i/>
                <w:szCs w:val="22"/>
                <w:lang w:val="en-US"/>
              </w:rPr>
              <w:t xml:space="preserve">of </w:t>
            </w:r>
            <w:r w:rsidRPr="00734332">
              <w:rPr>
                <w:i/>
                <w:szCs w:val="22"/>
                <w:lang w:val="en-US"/>
              </w:rPr>
              <w:t xml:space="preserve">NPPOs </w:t>
            </w:r>
            <w:r w:rsidR="00734332" w:rsidRPr="00734332">
              <w:rPr>
                <w:i/>
                <w:szCs w:val="22"/>
                <w:lang w:val="en-US"/>
              </w:rPr>
              <w:t xml:space="preserve">in </w:t>
            </w:r>
            <w:r w:rsidRPr="00734332">
              <w:rPr>
                <w:i/>
                <w:szCs w:val="22"/>
                <w:lang w:val="en-US"/>
              </w:rPr>
              <w:t>accomplish</w:t>
            </w:r>
            <w:r w:rsidR="00734332" w:rsidRPr="00734332">
              <w:rPr>
                <w:i/>
                <w:szCs w:val="22"/>
                <w:lang w:val="en-US"/>
              </w:rPr>
              <w:t>ing</w:t>
            </w:r>
            <w:r w:rsidRPr="00734332">
              <w:rPr>
                <w:i/>
                <w:szCs w:val="22"/>
                <w:lang w:val="en-US"/>
              </w:rPr>
              <w:t xml:space="preserve"> main IPPC Strategic Objectives, i.e., protect</w:t>
            </w:r>
            <w:r w:rsidR="00734332" w:rsidRPr="00734332">
              <w:rPr>
                <w:i/>
                <w:szCs w:val="22"/>
                <w:lang w:val="en-US"/>
              </w:rPr>
              <w:t>ing</w:t>
            </w:r>
            <w:r w:rsidRPr="00734332">
              <w:rPr>
                <w:i/>
                <w:szCs w:val="22"/>
                <w:lang w:val="en-US"/>
              </w:rPr>
              <w:t xml:space="preserve"> agriculture and environment fr</w:t>
            </w:r>
            <w:r w:rsidR="00734332">
              <w:rPr>
                <w:i/>
                <w:szCs w:val="22"/>
                <w:lang w:val="en-US"/>
              </w:rPr>
              <w:t>o</w:t>
            </w:r>
            <w:r w:rsidRPr="00734332">
              <w:rPr>
                <w:i/>
                <w:szCs w:val="22"/>
                <w:lang w:val="en-US"/>
              </w:rPr>
              <w:t xml:space="preserve">m </w:t>
            </w:r>
            <w:r w:rsidR="00734332" w:rsidRPr="00734332">
              <w:rPr>
                <w:i/>
                <w:szCs w:val="22"/>
                <w:lang w:val="en-US"/>
              </w:rPr>
              <w:t>introduction</w:t>
            </w:r>
            <w:r w:rsidRPr="00734332">
              <w:rPr>
                <w:i/>
                <w:szCs w:val="22"/>
                <w:lang w:val="en-US"/>
              </w:rPr>
              <w:t xml:space="preserve"> of </w:t>
            </w:r>
            <w:r w:rsidR="00734332" w:rsidRPr="00734332">
              <w:rPr>
                <w:i/>
                <w:szCs w:val="22"/>
                <w:lang w:val="en-US"/>
              </w:rPr>
              <w:t xml:space="preserve">fruit flies; </w:t>
            </w:r>
            <w:r w:rsidRPr="00734332">
              <w:rPr>
                <w:i/>
                <w:szCs w:val="22"/>
                <w:lang w:val="en-US"/>
              </w:rPr>
              <w:t>enhanc</w:t>
            </w:r>
            <w:r w:rsidR="00734332" w:rsidRPr="00734332">
              <w:rPr>
                <w:i/>
                <w:szCs w:val="22"/>
                <w:lang w:val="en-US"/>
              </w:rPr>
              <w:t>ing</w:t>
            </w:r>
            <w:r w:rsidRPr="00734332">
              <w:rPr>
                <w:i/>
                <w:szCs w:val="22"/>
                <w:lang w:val="en-US"/>
              </w:rPr>
              <w:t xml:space="preserve"> food security </w:t>
            </w:r>
            <w:r w:rsidR="00734332" w:rsidRPr="00734332">
              <w:rPr>
                <w:i/>
                <w:szCs w:val="22"/>
                <w:lang w:val="en-US"/>
              </w:rPr>
              <w:t xml:space="preserve">by </w:t>
            </w:r>
            <w:r w:rsidRPr="00734332">
              <w:rPr>
                <w:i/>
                <w:szCs w:val="22"/>
                <w:lang w:val="en-US"/>
              </w:rPr>
              <w:t xml:space="preserve">preventing </w:t>
            </w:r>
            <w:r w:rsidR="00734332" w:rsidRPr="00734332">
              <w:rPr>
                <w:i/>
                <w:szCs w:val="22"/>
                <w:lang w:val="en-US"/>
              </w:rPr>
              <w:t>fruit flies’</w:t>
            </w:r>
            <w:r w:rsidRPr="00734332">
              <w:rPr>
                <w:i/>
                <w:szCs w:val="22"/>
                <w:lang w:val="en-US"/>
              </w:rPr>
              <w:t xml:space="preserve"> spread</w:t>
            </w:r>
            <w:r w:rsidR="00734332" w:rsidRPr="00734332">
              <w:rPr>
                <w:i/>
                <w:szCs w:val="22"/>
                <w:lang w:val="en-US"/>
              </w:rPr>
              <w:t xml:space="preserve"> and</w:t>
            </w:r>
            <w:r w:rsidRPr="00734332">
              <w:rPr>
                <w:i/>
                <w:szCs w:val="22"/>
                <w:lang w:val="en-US"/>
              </w:rPr>
              <w:t xml:space="preserve"> </w:t>
            </w:r>
            <w:r w:rsidR="00734332" w:rsidRPr="00734332">
              <w:rPr>
                <w:i/>
                <w:szCs w:val="22"/>
                <w:lang w:val="en-US"/>
              </w:rPr>
              <w:t>by</w:t>
            </w:r>
            <w:r w:rsidRPr="00734332">
              <w:rPr>
                <w:i/>
                <w:szCs w:val="22"/>
                <w:lang w:val="en-US"/>
              </w:rPr>
              <w:t xml:space="preserve"> facilitat</w:t>
            </w:r>
            <w:r w:rsidR="00734332" w:rsidRPr="00734332">
              <w:rPr>
                <w:i/>
                <w:szCs w:val="22"/>
                <w:lang w:val="en-US"/>
              </w:rPr>
              <w:t>ing</w:t>
            </w:r>
            <w:r w:rsidRPr="00734332">
              <w:rPr>
                <w:i/>
                <w:szCs w:val="22"/>
                <w:lang w:val="en-US"/>
              </w:rPr>
              <w:t xml:space="preserve"> safe trade in commodities that </w:t>
            </w:r>
            <w:r w:rsidR="00734332" w:rsidRPr="00734332">
              <w:rPr>
                <w:i/>
                <w:szCs w:val="22"/>
                <w:lang w:val="en-US"/>
              </w:rPr>
              <w:t xml:space="preserve">are scientifically </w:t>
            </w:r>
            <w:r w:rsidR="00CA152E" w:rsidRPr="00734332">
              <w:rPr>
                <w:i/>
                <w:szCs w:val="22"/>
                <w:lang w:val="en-US"/>
              </w:rPr>
              <w:t>confirmed</w:t>
            </w:r>
            <w:r w:rsidR="00734332" w:rsidRPr="00734332">
              <w:rPr>
                <w:i/>
                <w:szCs w:val="22"/>
                <w:lang w:val="en-US"/>
              </w:rPr>
              <w:t xml:space="preserve"> </w:t>
            </w:r>
            <w:r w:rsidR="00734332">
              <w:rPr>
                <w:i/>
                <w:szCs w:val="22"/>
                <w:lang w:val="en-US"/>
              </w:rPr>
              <w:t xml:space="preserve">to be not suitable </w:t>
            </w:r>
            <w:r w:rsidR="00CA152E">
              <w:rPr>
                <w:i/>
                <w:szCs w:val="22"/>
                <w:lang w:val="en-US"/>
              </w:rPr>
              <w:t>hosts</w:t>
            </w:r>
            <w:r w:rsidR="00734332" w:rsidRPr="00734332">
              <w:rPr>
                <w:i/>
                <w:szCs w:val="22"/>
                <w:lang w:val="en-US"/>
              </w:rPr>
              <w:t xml:space="preserve"> for</w:t>
            </w:r>
            <w:r w:rsidRPr="00734332">
              <w:rPr>
                <w:i/>
                <w:szCs w:val="22"/>
                <w:lang w:val="en-US"/>
              </w:rPr>
              <w:t xml:space="preserve"> fruit flies</w:t>
            </w:r>
            <w:r w:rsidR="00734332" w:rsidRPr="00734332">
              <w:rPr>
                <w:i/>
                <w:szCs w:val="22"/>
                <w:lang w:val="en-US"/>
              </w:rPr>
              <w:t xml:space="preserve">. </w:t>
            </w:r>
          </w:p>
          <w:p w14:paraId="766A74EE" w14:textId="77777777" w:rsidR="000B32EC" w:rsidRPr="00E86637" w:rsidRDefault="000B32EC" w:rsidP="00551ED4">
            <w:pPr>
              <w:autoSpaceDE w:val="0"/>
              <w:autoSpaceDN w:val="0"/>
              <w:adjustRightInd w:val="0"/>
              <w:rPr>
                <w:rFonts w:cs="Times-Roman"/>
                <w:sz w:val="18"/>
                <w:szCs w:val="18"/>
              </w:rPr>
            </w:pPr>
          </w:p>
        </w:tc>
      </w:tr>
      <w:tr w:rsidR="000B32EC" w:rsidRPr="00E86637" w14:paraId="385E5870" w14:textId="77777777" w:rsidTr="00551ED4">
        <w:trPr>
          <w:trHeight w:val="283"/>
          <w:jc w:val="center"/>
        </w:trPr>
        <w:tc>
          <w:tcPr>
            <w:tcW w:w="5000" w:type="pct"/>
          </w:tcPr>
          <w:p w14:paraId="528E1E66" w14:textId="29265FEB"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063B39D5" w14:textId="56AA7246" w:rsidR="00106181" w:rsidRPr="00914A54" w:rsidRDefault="00106181" w:rsidP="00106181">
            <w:pPr>
              <w:rPr>
                <w:i/>
                <w:szCs w:val="22"/>
              </w:rPr>
            </w:pPr>
            <w:r w:rsidRPr="00914A54">
              <w:rPr>
                <w:i/>
                <w:szCs w:val="22"/>
              </w:rPr>
              <w:t xml:space="preserve">The </w:t>
            </w:r>
            <w:r w:rsidR="00544322">
              <w:rPr>
                <w:i/>
                <w:szCs w:val="22"/>
              </w:rPr>
              <w:t>Annex</w:t>
            </w:r>
            <w:r w:rsidRPr="00914A54">
              <w:rPr>
                <w:i/>
                <w:szCs w:val="22"/>
              </w:rPr>
              <w:t xml:space="preserve"> on host status for fruit flies is based on already available information and should be no more technically complex or more difficult to implement than </w:t>
            </w:r>
            <w:r w:rsidR="00544322">
              <w:rPr>
                <w:i/>
                <w:szCs w:val="22"/>
              </w:rPr>
              <w:t xml:space="preserve">any </w:t>
            </w:r>
            <w:r w:rsidRPr="00914A54">
              <w:rPr>
                <w:i/>
                <w:szCs w:val="22"/>
              </w:rPr>
              <w:t>existing concept standards</w:t>
            </w:r>
            <w:r w:rsidR="00544322">
              <w:rPr>
                <w:i/>
                <w:szCs w:val="22"/>
              </w:rPr>
              <w:t xml:space="preserve"> or other guidance</w:t>
            </w:r>
            <w:r w:rsidRPr="00914A54">
              <w:rPr>
                <w:i/>
                <w:szCs w:val="22"/>
              </w:rPr>
              <w:t>. Th</w:t>
            </w:r>
            <w:r w:rsidR="00544322">
              <w:rPr>
                <w:i/>
                <w:szCs w:val="22"/>
              </w:rPr>
              <w:t>is</w:t>
            </w:r>
            <w:r w:rsidRPr="00914A54">
              <w:rPr>
                <w:i/>
                <w:szCs w:val="22"/>
              </w:rPr>
              <w:t xml:space="preserve"> </w:t>
            </w:r>
            <w:r w:rsidR="00544322">
              <w:rPr>
                <w:i/>
                <w:szCs w:val="22"/>
              </w:rPr>
              <w:t>Annex</w:t>
            </w:r>
            <w:r w:rsidRPr="00914A54">
              <w:rPr>
                <w:i/>
                <w:szCs w:val="22"/>
              </w:rPr>
              <w:t xml:space="preserve"> is of particular benefit globally where historic host records have led to host status uncertainty and debate amongst NPPOs.</w:t>
            </w:r>
          </w:p>
          <w:p w14:paraId="4498E38C" w14:textId="16D8622E" w:rsidR="00167857" w:rsidRPr="00E86637" w:rsidRDefault="00106181" w:rsidP="00106181">
            <w:pPr>
              <w:rPr>
                <w:rFonts w:cs="Times-Bold"/>
                <w:bCs/>
                <w:sz w:val="20"/>
                <w:szCs w:val="20"/>
                <w:u w:val="single"/>
              </w:rPr>
            </w:pPr>
            <w:r w:rsidRPr="00E86637">
              <w:rPr>
                <w:rFonts w:cs="Times-Bold"/>
                <w:bCs/>
                <w:sz w:val="20"/>
                <w:szCs w:val="20"/>
                <w:u w:val="single"/>
              </w:rPr>
              <w:t xml:space="preserve"> </w:t>
            </w:r>
          </w:p>
        </w:tc>
      </w:tr>
      <w:tr w:rsidR="000B32EC" w:rsidRPr="00E86637" w14:paraId="145ED092" w14:textId="77777777" w:rsidTr="00551ED4">
        <w:trPr>
          <w:trHeight w:val="125"/>
          <w:jc w:val="center"/>
        </w:trPr>
        <w:tc>
          <w:tcPr>
            <w:tcW w:w="5000" w:type="pct"/>
          </w:tcPr>
          <w:p w14:paraId="16738DB7" w14:textId="77777777"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78D154B0" w14:textId="3A66DBCB" w:rsidR="00106181" w:rsidRPr="00914A54" w:rsidRDefault="00106181" w:rsidP="0092570A">
            <w:pPr>
              <w:autoSpaceDE w:val="0"/>
              <w:autoSpaceDN w:val="0"/>
              <w:adjustRightInd w:val="0"/>
              <w:jc w:val="left"/>
              <w:rPr>
                <w:szCs w:val="22"/>
              </w:rPr>
            </w:pPr>
            <w:r w:rsidRPr="00914A54">
              <w:rPr>
                <w:i/>
                <w:szCs w:val="22"/>
              </w:rPr>
              <w:t>Numerous published information on fruit fly host status is used by NPPOs to implement existing ISPMs related to PRA, PFA, designing import</w:t>
            </w:r>
            <w:r w:rsidR="008F38A9">
              <w:rPr>
                <w:i/>
                <w:szCs w:val="22"/>
              </w:rPr>
              <w:t xml:space="preserve"> and</w:t>
            </w:r>
            <w:r w:rsidRPr="00914A54">
              <w:rPr>
                <w:i/>
                <w:szCs w:val="22"/>
              </w:rPr>
              <w:t xml:space="preserve"> export programs, eradication, surveys, pest records, and much more. There </w:t>
            </w:r>
            <w:r w:rsidR="00641DD6">
              <w:rPr>
                <w:i/>
                <w:szCs w:val="22"/>
              </w:rPr>
              <w:t xml:space="preserve">is </w:t>
            </w:r>
            <w:r w:rsidRPr="00914A54">
              <w:rPr>
                <w:i/>
                <w:szCs w:val="22"/>
              </w:rPr>
              <w:t xml:space="preserve">considerable </w:t>
            </w:r>
            <w:r w:rsidR="00641DD6">
              <w:rPr>
                <w:i/>
                <w:szCs w:val="22"/>
              </w:rPr>
              <w:t>inconsistency</w:t>
            </w:r>
            <w:r w:rsidRPr="00914A54">
              <w:rPr>
                <w:i/>
                <w:szCs w:val="22"/>
              </w:rPr>
              <w:t xml:space="preserve"> in interpreting information </w:t>
            </w:r>
            <w:r w:rsidR="00641DD6">
              <w:rPr>
                <w:i/>
                <w:szCs w:val="22"/>
              </w:rPr>
              <w:t xml:space="preserve">that </w:t>
            </w:r>
            <w:r w:rsidRPr="00914A54">
              <w:rPr>
                <w:i/>
                <w:szCs w:val="22"/>
              </w:rPr>
              <w:t xml:space="preserve">often leads to potential disputes between NPPOs. </w:t>
            </w:r>
            <w:r w:rsidR="008F38A9">
              <w:rPr>
                <w:i/>
                <w:szCs w:val="22"/>
              </w:rPr>
              <w:t>Nearly</w:t>
            </w:r>
            <w:r w:rsidR="008F38A9" w:rsidRPr="00914A54">
              <w:rPr>
                <w:i/>
                <w:szCs w:val="22"/>
              </w:rPr>
              <w:t xml:space="preserve"> </w:t>
            </w:r>
            <w:r w:rsidRPr="00914A54">
              <w:rPr>
                <w:i/>
                <w:szCs w:val="22"/>
              </w:rPr>
              <w:t xml:space="preserve">30 terms </w:t>
            </w:r>
            <w:r w:rsidR="00914A54">
              <w:rPr>
                <w:i/>
                <w:szCs w:val="22"/>
              </w:rPr>
              <w:t>could</w:t>
            </w:r>
            <w:r w:rsidRPr="00914A54">
              <w:rPr>
                <w:i/>
                <w:szCs w:val="22"/>
              </w:rPr>
              <w:t xml:space="preserve"> be found in the literature describing host status</w:t>
            </w:r>
            <w:r w:rsidR="00914A54">
              <w:rPr>
                <w:i/>
                <w:szCs w:val="22"/>
              </w:rPr>
              <w:t>, e.g.,</w:t>
            </w:r>
            <w:r w:rsidRPr="00914A54">
              <w:rPr>
                <w:i/>
                <w:szCs w:val="22"/>
              </w:rPr>
              <w:t xml:space="preserve"> preferred host, rare host, field host, primary host, secondary host, experimental host, reproductive host. Instead of using a plethora of ambiguous and inconsistent terms, the international phytosanitary community needs to harmonize them</w:t>
            </w:r>
            <w:r w:rsidR="00550BD8" w:rsidRPr="00914A54">
              <w:rPr>
                <w:i/>
                <w:szCs w:val="22"/>
              </w:rPr>
              <w:t>,</w:t>
            </w:r>
            <w:r w:rsidRPr="00914A54">
              <w:rPr>
                <w:i/>
                <w:szCs w:val="22"/>
              </w:rPr>
              <w:t xml:space="preserve"> aligning with the terms </w:t>
            </w:r>
            <w:r w:rsidR="00544322">
              <w:rPr>
                <w:i/>
                <w:szCs w:val="22"/>
              </w:rPr>
              <w:t xml:space="preserve">already </w:t>
            </w:r>
            <w:r w:rsidRPr="00914A54">
              <w:rPr>
                <w:i/>
                <w:szCs w:val="22"/>
              </w:rPr>
              <w:t xml:space="preserve">in ISPM 37. </w:t>
            </w:r>
            <w:r w:rsidR="00550BD8" w:rsidRPr="00914A54">
              <w:rPr>
                <w:i/>
                <w:szCs w:val="22"/>
              </w:rPr>
              <w:t>C</w:t>
            </w:r>
            <w:r w:rsidRPr="00914A54">
              <w:rPr>
                <w:i/>
                <w:szCs w:val="22"/>
              </w:rPr>
              <w:t xml:space="preserve">onsistent and transparent criteria for listing </w:t>
            </w:r>
            <w:r w:rsidR="00550BD8" w:rsidRPr="00914A54">
              <w:rPr>
                <w:i/>
                <w:szCs w:val="22"/>
              </w:rPr>
              <w:t xml:space="preserve">and interpretation </w:t>
            </w:r>
            <w:r w:rsidRPr="00914A54">
              <w:rPr>
                <w:i/>
                <w:szCs w:val="22"/>
              </w:rPr>
              <w:t>fruit fly host</w:t>
            </w:r>
            <w:r w:rsidR="00CA152E">
              <w:rPr>
                <w:i/>
                <w:szCs w:val="22"/>
              </w:rPr>
              <w:t xml:space="preserve"> </w:t>
            </w:r>
            <w:r w:rsidRPr="00914A54">
              <w:rPr>
                <w:i/>
                <w:szCs w:val="22"/>
              </w:rPr>
              <w:t>s</w:t>
            </w:r>
            <w:r w:rsidR="00CA152E">
              <w:rPr>
                <w:i/>
                <w:szCs w:val="22"/>
              </w:rPr>
              <w:t>tatus</w:t>
            </w:r>
            <w:r w:rsidRPr="00914A54">
              <w:rPr>
                <w:i/>
                <w:szCs w:val="22"/>
              </w:rPr>
              <w:t xml:space="preserve"> based on available information should be developed being crucial for preventing future trade challenges over whether a particular fruit fly should be regulated by NPPOs on different hosts. </w:t>
            </w:r>
          </w:p>
          <w:p w14:paraId="6A1074D4" w14:textId="77777777" w:rsidR="000B32EC" w:rsidRPr="00F56C25" w:rsidRDefault="000B32EC" w:rsidP="00551ED4">
            <w:pPr>
              <w:autoSpaceDE w:val="0"/>
              <w:autoSpaceDN w:val="0"/>
              <w:adjustRightInd w:val="0"/>
              <w:rPr>
                <w:rFonts w:cs="Times-Roman"/>
                <w:sz w:val="18"/>
                <w:szCs w:val="18"/>
              </w:rPr>
            </w:pP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53BEDF2B" w14:textId="023D88B6" w:rsidR="0092570A" w:rsidRPr="00914A54" w:rsidRDefault="00914A54" w:rsidP="0092570A">
            <w:pPr>
              <w:autoSpaceDE w:val="0"/>
              <w:autoSpaceDN w:val="0"/>
              <w:adjustRightInd w:val="0"/>
              <w:rPr>
                <w:rFonts w:cs="Times-Roman"/>
                <w:i/>
                <w:szCs w:val="22"/>
              </w:rPr>
            </w:pPr>
            <w:r w:rsidRPr="00914A54">
              <w:rPr>
                <w:i/>
                <w:szCs w:val="22"/>
              </w:rPr>
              <w:t>Plentiful</w:t>
            </w:r>
            <w:r w:rsidR="0092570A" w:rsidRPr="00914A54">
              <w:rPr>
                <w:i/>
                <w:szCs w:val="22"/>
              </w:rPr>
              <w:t xml:space="preserve"> scientific, historical, technical information and expertise are all readily available</w:t>
            </w:r>
            <w:r>
              <w:rPr>
                <w:i/>
                <w:szCs w:val="22"/>
              </w:rPr>
              <w:t xml:space="preserve"> globally</w:t>
            </w:r>
            <w:r w:rsidR="0092570A" w:rsidRPr="00914A54">
              <w:rPr>
                <w:i/>
                <w:szCs w:val="22"/>
              </w:rPr>
              <w:t>.</w:t>
            </w:r>
          </w:p>
          <w:p w14:paraId="46D1EBD0" w14:textId="77777777" w:rsidR="00167857" w:rsidRPr="00E86637" w:rsidRDefault="00167857" w:rsidP="00167857">
            <w:pPr>
              <w:autoSpaceDE w:val="0"/>
              <w:autoSpaceDN w:val="0"/>
              <w:adjustRightInd w:val="0"/>
              <w:rPr>
                <w:sz w:val="18"/>
                <w:szCs w:val="18"/>
              </w:rPr>
            </w:pPr>
          </w:p>
          <w:p w14:paraId="7E5076FB" w14:textId="77777777" w:rsidR="000B32EC" w:rsidRPr="00E86637" w:rsidRDefault="000B32EC" w:rsidP="00551ED4">
            <w:pPr>
              <w:autoSpaceDE w:val="0"/>
              <w:autoSpaceDN w:val="0"/>
              <w:adjustRightInd w:val="0"/>
              <w:rPr>
                <w:rFonts w:cs="Times-Roman"/>
                <w:sz w:val="18"/>
                <w:szCs w:val="18"/>
              </w:rPr>
            </w:pPr>
          </w:p>
        </w:tc>
      </w:tr>
    </w:tbl>
    <w:p w14:paraId="1D2301C8" w14:textId="7B8ACDA4" w:rsidR="000B32EC" w:rsidRDefault="000B32EC" w:rsidP="000B32EC"/>
    <w:tbl>
      <w:tblPr>
        <w:tblpPr w:leftFromText="180" w:rightFromText="180" w:vertAnchor="text" w:tblpXSpec="center"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15"/>
      </w:tblGrid>
      <w:tr w:rsidR="000B32EC" w:rsidRPr="00E86637" w14:paraId="491C0EF3" w14:textId="77777777" w:rsidTr="00544322">
        <w:trPr>
          <w:trHeight w:val="388"/>
        </w:trPr>
        <w:tc>
          <w:tcPr>
            <w:tcW w:w="9715"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544322">
        <w:trPr>
          <w:trHeight w:val="668"/>
        </w:trPr>
        <w:tc>
          <w:tcPr>
            <w:tcW w:w="9715"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lastRenderedPageBreak/>
              <w:t>Supporting criteria (Practical)</w:t>
            </w:r>
          </w:p>
          <w:p w14:paraId="5D6BAB8C" w14:textId="460C6E29" w:rsidR="00167857"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r w:rsidR="00D10BC4">
              <w:rPr>
                <w:sz w:val="18"/>
                <w:szCs w:val="18"/>
              </w:rPr>
              <w:t>.</w:t>
            </w:r>
          </w:p>
          <w:p w14:paraId="37F6BACE" w14:textId="170ACA2C" w:rsidR="00D10BC4" w:rsidRPr="00CA152E" w:rsidRDefault="00D10BC4" w:rsidP="00D10BC4">
            <w:pPr>
              <w:autoSpaceDE w:val="0"/>
              <w:autoSpaceDN w:val="0"/>
              <w:adjustRightInd w:val="0"/>
              <w:rPr>
                <w:i/>
                <w:sz w:val="18"/>
                <w:szCs w:val="18"/>
              </w:rPr>
            </w:pPr>
            <w:r w:rsidRPr="00CA152E">
              <w:rPr>
                <w:i/>
                <w:sz w:val="18"/>
                <w:szCs w:val="18"/>
              </w:rPr>
              <w:t>Development of a</w:t>
            </w:r>
            <w:r w:rsidR="00237E51" w:rsidRPr="00CA152E">
              <w:rPr>
                <w:i/>
                <w:sz w:val="18"/>
                <w:szCs w:val="18"/>
              </w:rPr>
              <w:t xml:space="preserve"> regional NAPPO standard commenced several years ago but currently is on hold due to insufficient funding. </w:t>
            </w:r>
          </w:p>
          <w:p w14:paraId="401E4537" w14:textId="0F694369" w:rsidR="000B32EC" w:rsidRPr="00D10BC4" w:rsidRDefault="00167857" w:rsidP="00D10BC4">
            <w:pPr>
              <w:pStyle w:val="ListParagraph"/>
              <w:numPr>
                <w:ilvl w:val="0"/>
                <w:numId w:val="6"/>
              </w:numPr>
              <w:autoSpaceDE w:val="0"/>
              <w:autoSpaceDN w:val="0"/>
              <w:adjustRightInd w:val="0"/>
              <w:rPr>
                <w:sz w:val="18"/>
                <w:szCs w:val="18"/>
              </w:rPr>
            </w:pPr>
            <w:r w:rsidRPr="00D10BC4">
              <w:rPr>
                <w:sz w:val="18"/>
                <w:szCs w:val="18"/>
              </w:rPr>
              <w:t xml:space="preserve">Availability of expertise needed to develop the proposed standard and/or implementation resource. </w:t>
            </w:r>
          </w:p>
          <w:p w14:paraId="06A114F8" w14:textId="6A40E7E3" w:rsidR="00D10BC4" w:rsidRPr="00D10BC4" w:rsidRDefault="00D10BC4" w:rsidP="00544322">
            <w:pPr>
              <w:autoSpaceDE w:val="0"/>
              <w:autoSpaceDN w:val="0"/>
              <w:adjustRightInd w:val="0"/>
              <w:rPr>
                <w:sz w:val="18"/>
                <w:szCs w:val="18"/>
              </w:rPr>
            </w:pPr>
            <w:r w:rsidRPr="00CA152E">
              <w:rPr>
                <w:i/>
                <w:sz w:val="18"/>
                <w:szCs w:val="18"/>
              </w:rPr>
              <w:t xml:space="preserve">Information on how to develop a harmonized approach to the problem and </w:t>
            </w:r>
            <w:r w:rsidR="00544322">
              <w:rPr>
                <w:i/>
                <w:sz w:val="18"/>
                <w:szCs w:val="18"/>
              </w:rPr>
              <w:t xml:space="preserve">available </w:t>
            </w:r>
            <w:r w:rsidR="00471C87" w:rsidRPr="00CA152E">
              <w:rPr>
                <w:i/>
                <w:sz w:val="18"/>
                <w:szCs w:val="18"/>
              </w:rPr>
              <w:t>found in other regions, e.g., APPPC, EPPO</w:t>
            </w:r>
            <w:r w:rsidR="008218E9" w:rsidRPr="00CA152E">
              <w:rPr>
                <w:i/>
                <w:sz w:val="18"/>
                <w:szCs w:val="18"/>
              </w:rPr>
              <w:t>.</w:t>
            </w:r>
            <w:r w:rsidR="00471C87" w:rsidRPr="00CA152E">
              <w:rPr>
                <w:i/>
                <w:sz w:val="18"/>
                <w:szCs w:val="18"/>
              </w:rPr>
              <w:t xml:space="preserve"> </w:t>
            </w:r>
          </w:p>
        </w:tc>
      </w:tr>
      <w:tr w:rsidR="000B32EC" w:rsidRPr="00E86637" w14:paraId="49A459F1" w14:textId="77777777" w:rsidTr="00544322">
        <w:trPr>
          <w:trHeight w:val="869"/>
        </w:trPr>
        <w:tc>
          <w:tcPr>
            <w:tcW w:w="9715"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0D8B7B82" w14:textId="13FAC225" w:rsidR="001C1544" w:rsidRPr="001C1544" w:rsidRDefault="001C1544" w:rsidP="00082335">
            <w:pPr>
              <w:tabs>
                <w:tab w:val="left" w:pos="720"/>
              </w:tabs>
              <w:ind w:left="388"/>
              <w:rPr>
                <w:sz w:val="18"/>
                <w:szCs w:val="18"/>
              </w:rPr>
            </w:pPr>
            <w:r w:rsidRPr="00A6471F">
              <w:rPr>
                <w:i/>
                <w:sz w:val="18"/>
                <w:szCs w:val="18"/>
              </w:rPr>
              <w:t xml:space="preserve">This </w:t>
            </w:r>
            <w:r w:rsidR="00544322">
              <w:rPr>
                <w:i/>
                <w:sz w:val="18"/>
                <w:szCs w:val="18"/>
              </w:rPr>
              <w:t xml:space="preserve">Annex </w:t>
            </w:r>
            <w:r w:rsidRPr="00A6471F">
              <w:rPr>
                <w:i/>
                <w:sz w:val="18"/>
                <w:szCs w:val="18"/>
              </w:rPr>
              <w:t xml:space="preserve">could have a tremendous </w:t>
            </w:r>
            <w:r>
              <w:rPr>
                <w:i/>
                <w:sz w:val="18"/>
                <w:szCs w:val="18"/>
              </w:rPr>
              <w:t xml:space="preserve">global </w:t>
            </w:r>
            <w:r w:rsidRPr="00A6471F">
              <w:rPr>
                <w:i/>
                <w:sz w:val="18"/>
                <w:szCs w:val="18"/>
              </w:rPr>
              <w:t>effect on all fruits and vegetables in trade</w:t>
            </w:r>
            <w:r>
              <w:rPr>
                <w:i/>
                <w:sz w:val="18"/>
                <w:szCs w:val="18"/>
              </w:rPr>
              <w:t xml:space="preserve"> that </w:t>
            </w:r>
            <w:r w:rsidR="00544322">
              <w:rPr>
                <w:i/>
                <w:sz w:val="18"/>
                <w:szCs w:val="18"/>
              </w:rPr>
              <w:t xml:space="preserve">are </w:t>
            </w:r>
            <w:r>
              <w:rPr>
                <w:i/>
                <w:sz w:val="18"/>
                <w:szCs w:val="18"/>
              </w:rPr>
              <w:t xml:space="preserve">potential </w:t>
            </w:r>
            <w:r w:rsidR="00544322">
              <w:rPr>
                <w:i/>
                <w:sz w:val="18"/>
                <w:szCs w:val="18"/>
              </w:rPr>
              <w:t>hosts of fruit flies</w:t>
            </w:r>
            <w:r>
              <w:rPr>
                <w:i/>
                <w:sz w:val="18"/>
                <w:szCs w:val="18"/>
              </w:rPr>
              <w:t>.</w:t>
            </w:r>
          </w:p>
          <w:p w14:paraId="7526A4ED" w14:textId="6318336D" w:rsidR="000B32EC"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r w:rsidR="001C1544">
              <w:rPr>
                <w:sz w:val="18"/>
                <w:szCs w:val="18"/>
              </w:rPr>
              <w:t xml:space="preserve"> </w:t>
            </w:r>
          </w:p>
          <w:p w14:paraId="62A0B09D" w14:textId="3A1DCF9A" w:rsidR="001C1544" w:rsidRPr="00471C87" w:rsidRDefault="00CA152E" w:rsidP="00544322">
            <w:pPr>
              <w:tabs>
                <w:tab w:val="left" w:pos="720"/>
              </w:tabs>
              <w:ind w:left="360"/>
              <w:rPr>
                <w:sz w:val="18"/>
                <w:szCs w:val="18"/>
              </w:rPr>
            </w:pPr>
            <w:r>
              <w:rPr>
                <w:i/>
                <w:sz w:val="18"/>
                <w:szCs w:val="18"/>
              </w:rPr>
              <w:t xml:space="preserve">There is a </w:t>
            </w:r>
            <w:r w:rsidR="001C1544">
              <w:rPr>
                <w:i/>
                <w:sz w:val="18"/>
                <w:szCs w:val="18"/>
              </w:rPr>
              <w:t xml:space="preserve">likely </w:t>
            </w:r>
            <w:r>
              <w:rPr>
                <w:i/>
                <w:sz w:val="18"/>
                <w:szCs w:val="18"/>
              </w:rPr>
              <w:t xml:space="preserve">increase in new trade opportunities </w:t>
            </w:r>
            <w:r w:rsidR="001C1544">
              <w:rPr>
                <w:i/>
                <w:sz w:val="18"/>
                <w:szCs w:val="18"/>
              </w:rPr>
              <w:t xml:space="preserve">after the </w:t>
            </w:r>
            <w:r w:rsidR="00544322">
              <w:rPr>
                <w:i/>
                <w:sz w:val="18"/>
                <w:szCs w:val="18"/>
              </w:rPr>
              <w:t xml:space="preserve">Annex </w:t>
            </w:r>
            <w:r w:rsidR="001C1544">
              <w:rPr>
                <w:i/>
                <w:sz w:val="18"/>
                <w:szCs w:val="18"/>
              </w:rPr>
              <w:t>development, particularly w</w:t>
            </w:r>
            <w:r w:rsidR="001C1544" w:rsidRPr="00A6471F">
              <w:rPr>
                <w:i/>
                <w:sz w:val="18"/>
                <w:szCs w:val="18"/>
              </w:rPr>
              <w:t>here commodities may have been denied importation into a country due to old or erroneous information in the literature</w:t>
            </w:r>
            <w:r w:rsidR="001C1544">
              <w:rPr>
                <w:sz w:val="18"/>
                <w:szCs w:val="18"/>
              </w:rPr>
              <w:t>.</w:t>
            </w:r>
          </w:p>
        </w:tc>
      </w:tr>
      <w:tr w:rsidR="000B32EC" w:rsidRPr="00E86637" w14:paraId="4674F40F" w14:textId="77777777" w:rsidTr="00544322">
        <w:trPr>
          <w:trHeight w:val="781"/>
        </w:trPr>
        <w:tc>
          <w:tcPr>
            <w:tcW w:w="9715"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Default="00167857" w:rsidP="008141B0">
            <w:pPr>
              <w:pStyle w:val="ListParagraph"/>
              <w:numPr>
                <w:ilvl w:val="0"/>
                <w:numId w:val="10"/>
              </w:numPr>
              <w:tabs>
                <w:tab w:val="left" w:pos="720"/>
              </w:tabs>
              <w:jc w:val="left"/>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7008B7E4" w14:textId="4171C16D" w:rsidR="00276B62" w:rsidRPr="00C83F07" w:rsidRDefault="00C83F07" w:rsidP="008141B0">
            <w:pPr>
              <w:tabs>
                <w:tab w:val="left" w:pos="720"/>
              </w:tabs>
              <w:jc w:val="left"/>
              <w:rPr>
                <w:i/>
                <w:sz w:val="18"/>
                <w:szCs w:val="18"/>
              </w:rPr>
            </w:pPr>
            <w:r w:rsidRPr="00C83F07">
              <w:rPr>
                <w:i/>
                <w:sz w:val="18"/>
                <w:szCs w:val="18"/>
              </w:rPr>
              <w:t xml:space="preserve">The </w:t>
            </w:r>
            <w:r w:rsidR="00544322">
              <w:rPr>
                <w:i/>
                <w:sz w:val="18"/>
                <w:szCs w:val="18"/>
              </w:rPr>
              <w:t>Annex</w:t>
            </w:r>
            <w:r w:rsidRPr="00C83F07">
              <w:rPr>
                <w:i/>
                <w:sz w:val="18"/>
                <w:szCs w:val="18"/>
              </w:rPr>
              <w:t xml:space="preserve"> will</w:t>
            </w:r>
            <w:r w:rsidR="00CA152E">
              <w:rPr>
                <w:i/>
                <w:sz w:val="18"/>
                <w:szCs w:val="18"/>
              </w:rPr>
              <w:t xml:space="preserve"> </w:t>
            </w:r>
            <w:r w:rsidR="008141B0">
              <w:rPr>
                <w:i/>
                <w:sz w:val="18"/>
                <w:szCs w:val="18"/>
              </w:rPr>
              <w:t>lead to</w:t>
            </w:r>
            <w:r w:rsidR="009827A1">
              <w:rPr>
                <w:i/>
                <w:sz w:val="18"/>
                <w:szCs w:val="18"/>
              </w:rPr>
              <w:t xml:space="preserve"> </w:t>
            </w:r>
            <w:r w:rsidR="00CA152E">
              <w:rPr>
                <w:i/>
                <w:sz w:val="18"/>
                <w:szCs w:val="18"/>
              </w:rPr>
              <w:t>reduc</w:t>
            </w:r>
            <w:r w:rsidR="008141B0">
              <w:rPr>
                <w:i/>
                <w:sz w:val="18"/>
                <w:szCs w:val="18"/>
              </w:rPr>
              <w:t>t</w:t>
            </w:r>
            <w:r w:rsidR="00CA152E">
              <w:rPr>
                <w:i/>
                <w:sz w:val="18"/>
                <w:szCs w:val="18"/>
              </w:rPr>
              <w:t>i</w:t>
            </w:r>
            <w:r w:rsidR="008141B0">
              <w:rPr>
                <w:i/>
                <w:sz w:val="18"/>
                <w:szCs w:val="18"/>
              </w:rPr>
              <w:t>ons of</w:t>
            </w:r>
            <w:r w:rsidR="00CA152E">
              <w:rPr>
                <w:i/>
                <w:sz w:val="18"/>
                <w:szCs w:val="18"/>
              </w:rPr>
              <w:t xml:space="preserve"> </w:t>
            </w:r>
            <w:r>
              <w:rPr>
                <w:i/>
                <w:sz w:val="18"/>
                <w:szCs w:val="18"/>
              </w:rPr>
              <w:t xml:space="preserve">unjustified </w:t>
            </w:r>
            <w:r w:rsidR="00CA152E">
              <w:rPr>
                <w:i/>
                <w:sz w:val="18"/>
                <w:szCs w:val="18"/>
              </w:rPr>
              <w:t>p</w:t>
            </w:r>
            <w:r>
              <w:rPr>
                <w:i/>
                <w:sz w:val="18"/>
                <w:szCs w:val="18"/>
              </w:rPr>
              <w:t xml:space="preserve">hytosanitary measures, including </w:t>
            </w:r>
            <w:r w:rsidRPr="00C83F07">
              <w:rPr>
                <w:i/>
                <w:sz w:val="18"/>
                <w:szCs w:val="18"/>
              </w:rPr>
              <w:t>MB fumigation for fruit and vegetable commodities that are non-hosts or conditional hosts of the fruit flies</w:t>
            </w:r>
            <w:r>
              <w:rPr>
                <w:i/>
                <w:sz w:val="18"/>
                <w:szCs w:val="18"/>
              </w:rPr>
              <w:t>.</w:t>
            </w:r>
          </w:p>
          <w:p w14:paraId="7D42F4E8" w14:textId="77777777" w:rsidR="008141B0" w:rsidRDefault="00167857" w:rsidP="008141B0">
            <w:pPr>
              <w:pStyle w:val="ListParagraph"/>
              <w:numPr>
                <w:ilvl w:val="0"/>
                <w:numId w:val="10"/>
              </w:numPr>
              <w:tabs>
                <w:tab w:val="left" w:pos="720"/>
              </w:tabs>
              <w:jc w:val="left"/>
              <w:rPr>
                <w:sz w:val="18"/>
                <w:szCs w:val="18"/>
              </w:rPr>
            </w:pPr>
            <w:r w:rsidRPr="00F56C25">
              <w:rPr>
                <w:sz w:val="18"/>
                <w:szCs w:val="18"/>
              </w:rPr>
              <w:t>Utility in the management of non-indigenous species which are pests of plants (such as some invasive alien species).</w:t>
            </w:r>
          </w:p>
          <w:p w14:paraId="5BC4C4B2" w14:textId="0CBA559B" w:rsidR="00C83F07" w:rsidRPr="008141B0" w:rsidRDefault="00C83F07" w:rsidP="008141B0">
            <w:pPr>
              <w:pStyle w:val="ListParagraph"/>
              <w:tabs>
                <w:tab w:val="left" w:pos="720"/>
              </w:tabs>
              <w:ind w:hanging="720"/>
              <w:jc w:val="left"/>
              <w:rPr>
                <w:sz w:val="18"/>
                <w:szCs w:val="18"/>
              </w:rPr>
            </w:pPr>
            <w:r w:rsidRPr="008141B0">
              <w:rPr>
                <w:i/>
                <w:sz w:val="18"/>
                <w:szCs w:val="18"/>
              </w:rPr>
              <w:t>It will allow for more accurate PRAs and better host regulations during eradication programs.</w:t>
            </w:r>
          </w:p>
          <w:p w14:paraId="6F75C38C" w14:textId="77777777" w:rsidR="000B32EC" w:rsidRDefault="00167857" w:rsidP="008141B0">
            <w:pPr>
              <w:pStyle w:val="ListParagraph"/>
              <w:numPr>
                <w:ilvl w:val="0"/>
                <w:numId w:val="10"/>
              </w:numPr>
              <w:tabs>
                <w:tab w:val="left" w:pos="720"/>
              </w:tabs>
              <w:jc w:val="left"/>
              <w:rPr>
                <w:sz w:val="18"/>
                <w:szCs w:val="18"/>
              </w:rPr>
            </w:pPr>
            <w:r w:rsidRPr="00F56C25">
              <w:rPr>
                <w:sz w:val="18"/>
                <w:szCs w:val="18"/>
              </w:rPr>
              <w:t>Contribution to the protection of the environment, through the protection of wild flora, and their habitats and ecosystems, and of agricultural biodiversity.</w:t>
            </w:r>
          </w:p>
          <w:p w14:paraId="0A0A413A" w14:textId="4872BB0A" w:rsidR="00C83F07" w:rsidRPr="00CA152E" w:rsidRDefault="00C83F07" w:rsidP="00544322">
            <w:pPr>
              <w:tabs>
                <w:tab w:val="left" w:pos="720"/>
              </w:tabs>
              <w:jc w:val="left"/>
              <w:rPr>
                <w:i/>
                <w:sz w:val="18"/>
                <w:szCs w:val="18"/>
              </w:rPr>
            </w:pPr>
            <w:r w:rsidRPr="00CA152E">
              <w:rPr>
                <w:i/>
                <w:sz w:val="18"/>
                <w:szCs w:val="18"/>
              </w:rPr>
              <w:t xml:space="preserve">The </w:t>
            </w:r>
            <w:r w:rsidR="00544322">
              <w:rPr>
                <w:i/>
                <w:sz w:val="18"/>
                <w:szCs w:val="18"/>
              </w:rPr>
              <w:t>Annex</w:t>
            </w:r>
            <w:r w:rsidRPr="00CA152E">
              <w:rPr>
                <w:i/>
                <w:sz w:val="18"/>
                <w:szCs w:val="18"/>
              </w:rPr>
              <w:t xml:space="preserve"> will </w:t>
            </w:r>
            <w:r w:rsidR="00C946C8">
              <w:rPr>
                <w:i/>
                <w:sz w:val="18"/>
                <w:szCs w:val="18"/>
              </w:rPr>
              <w:t>contribute to</w:t>
            </w:r>
            <w:r w:rsidRPr="00CA152E">
              <w:rPr>
                <w:i/>
                <w:sz w:val="18"/>
                <w:szCs w:val="18"/>
              </w:rPr>
              <w:t xml:space="preserve"> protection of ag</w:t>
            </w:r>
            <w:r w:rsidR="004977B4">
              <w:rPr>
                <w:i/>
                <w:sz w:val="18"/>
                <w:szCs w:val="18"/>
              </w:rPr>
              <w:t>roeco</w:t>
            </w:r>
            <w:r w:rsidR="00C946C8">
              <w:rPr>
                <w:i/>
                <w:sz w:val="18"/>
                <w:szCs w:val="18"/>
              </w:rPr>
              <w:t>systems,</w:t>
            </w:r>
            <w:r w:rsidRPr="00CA152E">
              <w:rPr>
                <w:i/>
                <w:sz w:val="18"/>
                <w:szCs w:val="18"/>
              </w:rPr>
              <w:t xml:space="preserve"> natural </w:t>
            </w:r>
            <w:r w:rsidR="00100203" w:rsidRPr="00CA152E">
              <w:rPr>
                <w:i/>
                <w:sz w:val="18"/>
                <w:szCs w:val="18"/>
              </w:rPr>
              <w:t>resources</w:t>
            </w:r>
            <w:r w:rsidRPr="00CA152E">
              <w:rPr>
                <w:i/>
                <w:sz w:val="18"/>
                <w:szCs w:val="18"/>
              </w:rPr>
              <w:t xml:space="preserve"> and biodiversity </w:t>
            </w:r>
            <w:r w:rsidR="00100203" w:rsidRPr="00CA152E">
              <w:rPr>
                <w:i/>
                <w:sz w:val="18"/>
                <w:szCs w:val="18"/>
              </w:rPr>
              <w:t>by</w:t>
            </w:r>
            <w:r w:rsidRPr="00CA152E">
              <w:rPr>
                <w:i/>
                <w:sz w:val="18"/>
                <w:szCs w:val="18"/>
              </w:rPr>
              <w:t xml:space="preserve"> accurate assessment of the host status to fruit flies </w:t>
            </w:r>
            <w:r w:rsidR="008141B0">
              <w:rPr>
                <w:i/>
                <w:sz w:val="18"/>
                <w:szCs w:val="18"/>
              </w:rPr>
              <w:t xml:space="preserve">leading to </w:t>
            </w:r>
            <w:r w:rsidRPr="00CA152E">
              <w:rPr>
                <w:i/>
                <w:sz w:val="18"/>
                <w:szCs w:val="18"/>
              </w:rPr>
              <w:t>preventi</w:t>
            </w:r>
            <w:r w:rsidR="008141B0">
              <w:rPr>
                <w:i/>
                <w:sz w:val="18"/>
                <w:szCs w:val="18"/>
              </w:rPr>
              <w:t>o</w:t>
            </w:r>
            <w:r w:rsidRPr="00CA152E">
              <w:rPr>
                <w:i/>
                <w:sz w:val="18"/>
                <w:szCs w:val="18"/>
              </w:rPr>
              <w:t>n</w:t>
            </w:r>
            <w:r w:rsidR="008141B0">
              <w:rPr>
                <w:i/>
                <w:sz w:val="18"/>
                <w:szCs w:val="18"/>
              </w:rPr>
              <w:t xml:space="preserve"> of</w:t>
            </w:r>
            <w:r w:rsidRPr="00CA152E">
              <w:rPr>
                <w:i/>
                <w:sz w:val="18"/>
                <w:szCs w:val="18"/>
              </w:rPr>
              <w:t xml:space="preserve"> pest introductions </w:t>
            </w:r>
            <w:r w:rsidR="008141B0">
              <w:rPr>
                <w:i/>
                <w:sz w:val="18"/>
                <w:szCs w:val="18"/>
              </w:rPr>
              <w:t xml:space="preserve">and </w:t>
            </w:r>
            <w:r w:rsidR="00100203" w:rsidRPr="00CA152E">
              <w:rPr>
                <w:i/>
                <w:sz w:val="18"/>
                <w:szCs w:val="18"/>
              </w:rPr>
              <w:t xml:space="preserve">limiting </w:t>
            </w:r>
            <w:r w:rsidRPr="00CA152E">
              <w:rPr>
                <w:i/>
                <w:sz w:val="18"/>
                <w:szCs w:val="18"/>
              </w:rPr>
              <w:t xml:space="preserve">application of </w:t>
            </w:r>
            <w:r w:rsidR="00100203" w:rsidRPr="00CA152E">
              <w:rPr>
                <w:i/>
                <w:sz w:val="18"/>
                <w:szCs w:val="18"/>
              </w:rPr>
              <w:t>pesticides.</w:t>
            </w:r>
          </w:p>
        </w:tc>
      </w:tr>
      <w:tr w:rsidR="000B32EC" w:rsidRPr="00E86637" w14:paraId="3DA37076" w14:textId="77777777" w:rsidTr="00544322">
        <w:trPr>
          <w:trHeight w:val="1988"/>
        </w:trPr>
        <w:tc>
          <w:tcPr>
            <w:tcW w:w="9715"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Default="00167857" w:rsidP="004C5228">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69DC996F" w14:textId="15F6B5D9" w:rsidR="002A5F18" w:rsidRDefault="002A5F18" w:rsidP="002A5F18">
            <w:pPr>
              <w:tabs>
                <w:tab w:val="left" w:pos="720"/>
              </w:tabs>
              <w:rPr>
                <w:sz w:val="18"/>
                <w:szCs w:val="18"/>
              </w:rPr>
            </w:pPr>
            <w:r>
              <w:rPr>
                <w:i/>
                <w:sz w:val="18"/>
                <w:szCs w:val="18"/>
              </w:rPr>
              <w:t>Development of a</w:t>
            </w:r>
            <w:r w:rsidRPr="00F26D9F">
              <w:rPr>
                <w:i/>
                <w:sz w:val="18"/>
                <w:szCs w:val="18"/>
              </w:rPr>
              <w:t xml:space="preserve"> NAPPO </w:t>
            </w:r>
            <w:r>
              <w:rPr>
                <w:i/>
                <w:sz w:val="18"/>
                <w:szCs w:val="18"/>
              </w:rPr>
              <w:t xml:space="preserve">standard on the same topic is currently on hold due to funding shortage. </w:t>
            </w:r>
            <w:r w:rsidRPr="00F26D9F">
              <w:rPr>
                <w:i/>
                <w:sz w:val="18"/>
                <w:szCs w:val="18"/>
              </w:rPr>
              <w:t>NAPPO</w:t>
            </w:r>
            <w:r>
              <w:rPr>
                <w:i/>
                <w:sz w:val="18"/>
                <w:szCs w:val="18"/>
              </w:rPr>
              <w:t xml:space="preserve"> and</w:t>
            </w:r>
            <w:r w:rsidRPr="00F26D9F">
              <w:rPr>
                <w:i/>
                <w:sz w:val="18"/>
                <w:szCs w:val="18"/>
              </w:rPr>
              <w:t xml:space="preserve"> APPPC have also adopted standards related to host status determinations</w:t>
            </w:r>
            <w:r>
              <w:rPr>
                <w:i/>
                <w:sz w:val="18"/>
                <w:szCs w:val="18"/>
              </w:rPr>
              <w:t>, similar to ISPM 37</w:t>
            </w:r>
            <w:r w:rsidR="00082335">
              <w:rPr>
                <w:i/>
                <w:sz w:val="18"/>
                <w:szCs w:val="18"/>
              </w:rPr>
              <w:t>,</w:t>
            </w:r>
            <w:r w:rsidRPr="00F26D9F">
              <w:rPr>
                <w:i/>
                <w:sz w:val="18"/>
                <w:szCs w:val="18"/>
              </w:rPr>
              <w:t xml:space="preserve"> which are based on research protocols, not on available evidence. </w:t>
            </w:r>
            <w:r>
              <w:rPr>
                <w:i/>
                <w:sz w:val="18"/>
                <w:szCs w:val="18"/>
              </w:rPr>
              <w:t xml:space="preserve">The SC identified the need for a conceptual </w:t>
            </w:r>
            <w:r w:rsidR="00544322">
              <w:rPr>
                <w:i/>
                <w:sz w:val="18"/>
                <w:szCs w:val="18"/>
              </w:rPr>
              <w:t>guidance</w:t>
            </w:r>
            <w:r>
              <w:rPr>
                <w:i/>
                <w:sz w:val="18"/>
                <w:szCs w:val="18"/>
              </w:rPr>
              <w:t xml:space="preserve"> on the </w:t>
            </w:r>
            <w:r w:rsidR="00544322">
              <w:rPr>
                <w:i/>
                <w:sz w:val="18"/>
                <w:szCs w:val="18"/>
              </w:rPr>
              <w:t xml:space="preserve">host status of plants to </w:t>
            </w:r>
            <w:r>
              <w:rPr>
                <w:i/>
                <w:sz w:val="18"/>
                <w:szCs w:val="18"/>
              </w:rPr>
              <w:t xml:space="preserve">fruit flies based on the existing information. </w:t>
            </w:r>
          </w:p>
          <w:p w14:paraId="24673ED7" w14:textId="7824A7EE" w:rsidR="00167857" w:rsidRDefault="00167857" w:rsidP="004C5228">
            <w:pPr>
              <w:pStyle w:val="ListParagraph"/>
              <w:numPr>
                <w:ilvl w:val="0"/>
                <w:numId w:val="12"/>
              </w:numPr>
              <w:tabs>
                <w:tab w:val="left" w:pos="720"/>
              </w:tabs>
              <w:rPr>
                <w:sz w:val="18"/>
                <w:szCs w:val="18"/>
              </w:rPr>
            </w:pPr>
            <w:r w:rsidRPr="002A5F18">
              <w:rPr>
                <w:sz w:val="18"/>
                <w:szCs w:val="18"/>
              </w:rPr>
              <w:t>Frequency with which the issue to be addressed, as identified in the submission emerges as a source of trade disruption (e.g. disputes or need for repeated bilateral discussions, number of times per year trade is disrupted).</w:t>
            </w:r>
          </w:p>
          <w:p w14:paraId="7A879AF4" w14:textId="1793DF9A" w:rsidR="00225898" w:rsidRPr="00225898" w:rsidRDefault="00225898" w:rsidP="00225898">
            <w:pPr>
              <w:tabs>
                <w:tab w:val="left" w:pos="720"/>
              </w:tabs>
              <w:rPr>
                <w:sz w:val="18"/>
                <w:szCs w:val="18"/>
              </w:rPr>
            </w:pPr>
            <w:r w:rsidRPr="00F26D9F">
              <w:rPr>
                <w:i/>
                <w:sz w:val="18"/>
                <w:szCs w:val="18"/>
              </w:rPr>
              <w:t xml:space="preserve">Determination of host status </w:t>
            </w:r>
            <w:r>
              <w:rPr>
                <w:i/>
                <w:sz w:val="18"/>
                <w:szCs w:val="18"/>
              </w:rPr>
              <w:t xml:space="preserve">for fruit flies </w:t>
            </w:r>
            <w:r w:rsidRPr="00F26D9F">
              <w:rPr>
                <w:i/>
                <w:sz w:val="18"/>
                <w:szCs w:val="18"/>
              </w:rPr>
              <w:t xml:space="preserve">is a frequent source of disagreement and trade disruption between contracting parties. Harmonized criteria for determining host status based on available evidence would expedite </w:t>
            </w:r>
            <w:r>
              <w:rPr>
                <w:i/>
                <w:sz w:val="18"/>
                <w:szCs w:val="18"/>
              </w:rPr>
              <w:t>consensus</w:t>
            </w:r>
            <w:r w:rsidRPr="00F26D9F">
              <w:rPr>
                <w:i/>
                <w:sz w:val="18"/>
                <w:szCs w:val="18"/>
              </w:rPr>
              <w:t xml:space="preserve"> and thereby expedite trade. Laboratory studies </w:t>
            </w:r>
            <w:r w:rsidR="00544322">
              <w:rPr>
                <w:i/>
                <w:sz w:val="18"/>
                <w:szCs w:val="18"/>
              </w:rPr>
              <w:t xml:space="preserve">are </w:t>
            </w:r>
            <w:r w:rsidRPr="00F26D9F">
              <w:rPr>
                <w:i/>
                <w:sz w:val="18"/>
                <w:szCs w:val="18"/>
              </w:rPr>
              <w:t>often not feasible due to time and resource constraints</w:t>
            </w:r>
            <w:r>
              <w:rPr>
                <w:i/>
                <w:sz w:val="18"/>
                <w:szCs w:val="18"/>
              </w:rPr>
              <w:t>, while wealth of published information is readily available for analysis</w:t>
            </w:r>
            <w:r w:rsidRPr="00F26D9F">
              <w:rPr>
                <w:i/>
                <w:sz w:val="18"/>
                <w:szCs w:val="18"/>
              </w:rPr>
              <w:t>.</w:t>
            </w:r>
          </w:p>
          <w:p w14:paraId="27E27794" w14:textId="77777777" w:rsidR="00167857" w:rsidRDefault="00167857" w:rsidP="004C5228">
            <w:pPr>
              <w:pStyle w:val="ListParagraph"/>
              <w:numPr>
                <w:ilvl w:val="0"/>
                <w:numId w:val="12"/>
              </w:numPr>
              <w:tabs>
                <w:tab w:val="left" w:pos="720"/>
              </w:tabs>
              <w:rPr>
                <w:sz w:val="18"/>
                <w:szCs w:val="18"/>
              </w:rPr>
            </w:pPr>
            <w:r w:rsidRPr="00F56C25">
              <w:rPr>
                <w:sz w:val="18"/>
                <w:szCs w:val="18"/>
              </w:rPr>
              <w:t>Relevance and utility to developing countries.</w:t>
            </w:r>
          </w:p>
          <w:p w14:paraId="624D9B2D" w14:textId="34AB0659" w:rsidR="00225898" w:rsidRPr="00225898" w:rsidRDefault="00544322" w:rsidP="00082335">
            <w:pPr>
              <w:autoSpaceDE w:val="0"/>
              <w:autoSpaceDN w:val="0"/>
              <w:adjustRightInd w:val="0"/>
              <w:rPr>
                <w:sz w:val="18"/>
                <w:szCs w:val="18"/>
              </w:rPr>
            </w:pPr>
            <w:r>
              <w:rPr>
                <w:rFonts w:cs="Times-Roman"/>
                <w:i/>
                <w:sz w:val="18"/>
                <w:szCs w:val="18"/>
              </w:rPr>
              <w:t>This guidance is r</w:t>
            </w:r>
            <w:r w:rsidR="00225898" w:rsidRPr="00F26D9F">
              <w:rPr>
                <w:rFonts w:cs="Times-Roman"/>
                <w:i/>
                <w:sz w:val="18"/>
                <w:szCs w:val="18"/>
              </w:rPr>
              <w:t>elevant and useful to both developed and developing countries</w:t>
            </w:r>
            <w:r w:rsidR="00225898" w:rsidRPr="00F26D9F">
              <w:rPr>
                <w:rFonts w:cs="Times-Roman"/>
                <w:sz w:val="18"/>
                <w:szCs w:val="18"/>
              </w:rPr>
              <w:t xml:space="preserve">. </w:t>
            </w:r>
            <w:r w:rsidRPr="00544322">
              <w:rPr>
                <w:rFonts w:cs="Times-Roman"/>
                <w:i/>
                <w:sz w:val="18"/>
                <w:szCs w:val="18"/>
              </w:rPr>
              <w:t xml:space="preserve">It </w:t>
            </w:r>
            <w:r>
              <w:rPr>
                <w:rFonts w:cs="Times-Roman"/>
                <w:sz w:val="18"/>
                <w:szCs w:val="18"/>
              </w:rPr>
              <w:t>s</w:t>
            </w:r>
            <w:r w:rsidR="00225898" w:rsidRPr="00F26D9F">
              <w:rPr>
                <w:rFonts w:cs="Times-Roman"/>
                <w:i/>
                <w:sz w:val="18"/>
                <w:szCs w:val="18"/>
              </w:rPr>
              <w:t>hould be of particular benefit to developing countries who may lack funding or trained personnel to undertake laboratory studies to determine host status.</w:t>
            </w:r>
          </w:p>
          <w:p w14:paraId="36122875" w14:textId="77777777" w:rsidR="00167857" w:rsidRDefault="00167857" w:rsidP="004C5228">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53416C68" w14:textId="6AEE97E0" w:rsidR="00225898" w:rsidRPr="00F26D9F" w:rsidRDefault="00544322" w:rsidP="00225898">
            <w:pPr>
              <w:autoSpaceDE w:val="0"/>
              <w:autoSpaceDN w:val="0"/>
              <w:adjustRightInd w:val="0"/>
              <w:rPr>
                <w:rFonts w:cs="Times-Roman"/>
                <w:sz w:val="18"/>
                <w:szCs w:val="18"/>
              </w:rPr>
            </w:pPr>
            <w:r>
              <w:rPr>
                <w:i/>
                <w:sz w:val="18"/>
                <w:szCs w:val="18"/>
              </w:rPr>
              <w:t>It could be applied to a w</w:t>
            </w:r>
            <w:r w:rsidR="00225898" w:rsidRPr="00F26D9F">
              <w:rPr>
                <w:i/>
                <w:sz w:val="18"/>
                <w:szCs w:val="18"/>
              </w:rPr>
              <w:t>ide range of countries</w:t>
            </w:r>
            <w:r w:rsidR="00082335">
              <w:rPr>
                <w:i/>
                <w:sz w:val="18"/>
                <w:szCs w:val="18"/>
              </w:rPr>
              <w:t xml:space="preserve">, </w:t>
            </w:r>
            <w:r w:rsidR="00225898" w:rsidRPr="00F26D9F">
              <w:rPr>
                <w:i/>
                <w:sz w:val="18"/>
                <w:szCs w:val="18"/>
              </w:rPr>
              <w:t>pests</w:t>
            </w:r>
            <w:r w:rsidR="00082335">
              <w:rPr>
                <w:i/>
                <w:sz w:val="18"/>
                <w:szCs w:val="18"/>
              </w:rPr>
              <w:t xml:space="preserve">, and </w:t>
            </w:r>
            <w:r w:rsidR="00225898" w:rsidRPr="00F26D9F">
              <w:rPr>
                <w:i/>
                <w:sz w:val="18"/>
                <w:szCs w:val="18"/>
              </w:rPr>
              <w:t>commodities.</w:t>
            </w:r>
            <w:r>
              <w:rPr>
                <w:i/>
                <w:sz w:val="18"/>
                <w:szCs w:val="18"/>
              </w:rPr>
              <w:t xml:space="preserve"> </w:t>
            </w:r>
          </w:p>
          <w:p w14:paraId="71A6D31D" w14:textId="77777777" w:rsidR="00167857" w:rsidRDefault="00167857" w:rsidP="004C5228">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4A08326F" w14:textId="3810A91A" w:rsidR="00225898" w:rsidRPr="00F26D9F" w:rsidRDefault="00544322" w:rsidP="00225898">
            <w:pPr>
              <w:tabs>
                <w:tab w:val="left" w:pos="720"/>
              </w:tabs>
              <w:rPr>
                <w:sz w:val="18"/>
                <w:szCs w:val="18"/>
              </w:rPr>
            </w:pPr>
            <w:r>
              <w:rPr>
                <w:i/>
                <w:sz w:val="18"/>
                <w:szCs w:val="18"/>
              </w:rPr>
              <w:t>The guidance will p</w:t>
            </w:r>
            <w:r w:rsidR="00225898" w:rsidRPr="00F26D9F">
              <w:rPr>
                <w:i/>
                <w:sz w:val="18"/>
                <w:szCs w:val="18"/>
              </w:rPr>
              <w:t>rovide a broad foundation to address host status determinations and</w:t>
            </w:r>
            <w:r w:rsidR="00225898" w:rsidRPr="00F26D9F">
              <w:rPr>
                <w:sz w:val="18"/>
                <w:szCs w:val="18"/>
              </w:rPr>
              <w:t xml:space="preserve"> c</w:t>
            </w:r>
            <w:r w:rsidR="00225898" w:rsidRPr="00F26D9F">
              <w:rPr>
                <w:i/>
                <w:sz w:val="18"/>
                <w:szCs w:val="18"/>
              </w:rPr>
              <w:t>omplements other ISPMs relating to PRA (ISPM</w:t>
            </w:r>
            <w:r w:rsidR="00082335">
              <w:rPr>
                <w:i/>
                <w:sz w:val="18"/>
                <w:szCs w:val="18"/>
              </w:rPr>
              <w:t>s</w:t>
            </w:r>
            <w:r w:rsidR="00225898" w:rsidRPr="00F26D9F">
              <w:rPr>
                <w:i/>
                <w:sz w:val="18"/>
                <w:szCs w:val="18"/>
              </w:rPr>
              <w:t xml:space="preserve"> 2 and 11),</w:t>
            </w:r>
            <w:r w:rsidR="00225898">
              <w:rPr>
                <w:i/>
                <w:sz w:val="18"/>
                <w:szCs w:val="18"/>
              </w:rPr>
              <w:t xml:space="preserve"> surveillance and </w:t>
            </w:r>
            <w:r w:rsidR="00225898" w:rsidRPr="00F26D9F">
              <w:rPr>
                <w:i/>
                <w:sz w:val="18"/>
                <w:szCs w:val="18"/>
              </w:rPr>
              <w:t>pest status (ISPM</w:t>
            </w:r>
            <w:r w:rsidR="00082335">
              <w:rPr>
                <w:i/>
                <w:sz w:val="18"/>
                <w:szCs w:val="18"/>
              </w:rPr>
              <w:t>s</w:t>
            </w:r>
            <w:r w:rsidR="00225898">
              <w:rPr>
                <w:i/>
                <w:sz w:val="18"/>
                <w:szCs w:val="18"/>
              </w:rPr>
              <w:t xml:space="preserve"> 6 and </w:t>
            </w:r>
            <w:r w:rsidR="00225898" w:rsidRPr="00F26D9F">
              <w:rPr>
                <w:i/>
                <w:sz w:val="18"/>
                <w:szCs w:val="18"/>
              </w:rPr>
              <w:t>8)</w:t>
            </w:r>
            <w:r w:rsidR="00225898">
              <w:rPr>
                <w:i/>
                <w:sz w:val="18"/>
                <w:szCs w:val="18"/>
              </w:rPr>
              <w:t>,</w:t>
            </w:r>
            <w:r w:rsidR="00225898" w:rsidRPr="00F26D9F">
              <w:rPr>
                <w:i/>
                <w:sz w:val="18"/>
                <w:szCs w:val="18"/>
              </w:rPr>
              <w:t xml:space="preserve"> </w:t>
            </w:r>
            <w:r>
              <w:rPr>
                <w:i/>
                <w:sz w:val="18"/>
                <w:szCs w:val="18"/>
              </w:rPr>
              <w:t>p</w:t>
            </w:r>
            <w:r w:rsidR="00225898" w:rsidRPr="00F26D9F">
              <w:rPr>
                <w:i/>
                <w:sz w:val="18"/>
                <w:szCs w:val="18"/>
              </w:rPr>
              <w:t>est reporting (ISPM 17)</w:t>
            </w:r>
            <w:r w:rsidR="00225898">
              <w:rPr>
                <w:i/>
                <w:sz w:val="18"/>
                <w:szCs w:val="18"/>
              </w:rPr>
              <w:t>, systems approaches (ISPM 14)</w:t>
            </w:r>
            <w:r>
              <w:rPr>
                <w:i/>
                <w:sz w:val="18"/>
                <w:szCs w:val="18"/>
              </w:rPr>
              <w:t>,</w:t>
            </w:r>
            <w:r w:rsidR="00225898">
              <w:rPr>
                <w:i/>
                <w:sz w:val="18"/>
                <w:szCs w:val="18"/>
              </w:rPr>
              <w:t xml:space="preserve"> and to a full suite of fruit fly ISPMs</w:t>
            </w:r>
            <w:r w:rsidR="00225898" w:rsidRPr="00F26D9F">
              <w:rPr>
                <w:i/>
                <w:sz w:val="18"/>
                <w:szCs w:val="18"/>
              </w:rPr>
              <w:t>.</w:t>
            </w:r>
          </w:p>
          <w:p w14:paraId="27FDEBBC" w14:textId="77777777" w:rsidR="00167857" w:rsidRDefault="00167857" w:rsidP="004C5228">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249D2C07" w14:textId="61E1BD82" w:rsidR="004C5228" w:rsidRPr="00F26D9F" w:rsidRDefault="004C5228" w:rsidP="004C5228">
            <w:pPr>
              <w:tabs>
                <w:tab w:val="left" w:pos="720"/>
              </w:tabs>
              <w:rPr>
                <w:b/>
                <w:i/>
                <w:sz w:val="18"/>
                <w:szCs w:val="18"/>
                <w:u w:val="single"/>
              </w:rPr>
            </w:pPr>
            <w:r w:rsidRPr="00F26D9F">
              <w:rPr>
                <w:i/>
                <w:sz w:val="18"/>
                <w:szCs w:val="18"/>
              </w:rPr>
              <w:t xml:space="preserve">This </w:t>
            </w:r>
            <w:r w:rsidR="00544322">
              <w:rPr>
                <w:i/>
                <w:sz w:val="18"/>
                <w:szCs w:val="18"/>
              </w:rPr>
              <w:t>guidance</w:t>
            </w:r>
            <w:r w:rsidR="00C5262A">
              <w:rPr>
                <w:i/>
                <w:sz w:val="18"/>
                <w:szCs w:val="18"/>
              </w:rPr>
              <w:t xml:space="preserve"> can </w:t>
            </w:r>
            <w:r w:rsidR="00544322">
              <w:rPr>
                <w:i/>
                <w:sz w:val="18"/>
                <w:szCs w:val="18"/>
              </w:rPr>
              <w:t>evolve into a</w:t>
            </w:r>
            <w:r w:rsidRPr="00F26D9F">
              <w:rPr>
                <w:i/>
                <w:sz w:val="18"/>
                <w:szCs w:val="18"/>
              </w:rPr>
              <w:t xml:space="preserve"> foundation </w:t>
            </w:r>
            <w:r w:rsidR="00C5262A">
              <w:rPr>
                <w:i/>
                <w:sz w:val="18"/>
                <w:szCs w:val="18"/>
              </w:rPr>
              <w:t xml:space="preserve">for </w:t>
            </w:r>
            <w:r w:rsidRPr="00F26D9F">
              <w:rPr>
                <w:i/>
                <w:sz w:val="18"/>
                <w:szCs w:val="18"/>
              </w:rPr>
              <w:t>address</w:t>
            </w:r>
            <w:r w:rsidR="00C5262A">
              <w:rPr>
                <w:i/>
                <w:sz w:val="18"/>
                <w:szCs w:val="18"/>
              </w:rPr>
              <w:t>ing</w:t>
            </w:r>
            <w:r w:rsidRPr="00F26D9F">
              <w:rPr>
                <w:i/>
                <w:sz w:val="18"/>
                <w:szCs w:val="18"/>
              </w:rPr>
              <w:t xml:space="preserve"> fundamental concepts related to host status determination </w:t>
            </w:r>
            <w:r>
              <w:rPr>
                <w:i/>
                <w:sz w:val="18"/>
                <w:szCs w:val="18"/>
              </w:rPr>
              <w:t xml:space="preserve">based on the available information. It could be further </w:t>
            </w:r>
            <w:r w:rsidR="0055043C">
              <w:rPr>
                <w:i/>
                <w:sz w:val="18"/>
                <w:szCs w:val="18"/>
              </w:rPr>
              <w:t xml:space="preserve">be </w:t>
            </w:r>
            <w:r>
              <w:rPr>
                <w:i/>
                <w:sz w:val="18"/>
                <w:szCs w:val="18"/>
              </w:rPr>
              <w:t>developed to apply the same concept and utility to</w:t>
            </w:r>
            <w:r w:rsidRPr="00F26D9F">
              <w:rPr>
                <w:i/>
                <w:sz w:val="18"/>
                <w:szCs w:val="18"/>
              </w:rPr>
              <w:t xml:space="preserve"> the broadest range of potential</w:t>
            </w:r>
            <w:r>
              <w:rPr>
                <w:i/>
                <w:sz w:val="18"/>
                <w:szCs w:val="18"/>
              </w:rPr>
              <w:t xml:space="preserve"> plant </w:t>
            </w:r>
            <w:r w:rsidRPr="00F26D9F">
              <w:rPr>
                <w:i/>
                <w:sz w:val="18"/>
                <w:szCs w:val="18"/>
              </w:rPr>
              <w:t xml:space="preserve">pests, </w:t>
            </w:r>
            <w:r w:rsidR="0055043C">
              <w:rPr>
                <w:i/>
                <w:sz w:val="18"/>
                <w:szCs w:val="18"/>
              </w:rPr>
              <w:t>i.e., other arthropods and pathogens</w:t>
            </w:r>
            <w:r>
              <w:rPr>
                <w:i/>
                <w:sz w:val="18"/>
                <w:szCs w:val="18"/>
              </w:rPr>
              <w:t>.</w:t>
            </w:r>
          </w:p>
          <w:p w14:paraId="6579E32B" w14:textId="77777777" w:rsidR="000B32EC" w:rsidRDefault="00167857" w:rsidP="004C5228">
            <w:pPr>
              <w:pStyle w:val="ListParagraph"/>
              <w:numPr>
                <w:ilvl w:val="0"/>
                <w:numId w:val="12"/>
              </w:numPr>
              <w:tabs>
                <w:tab w:val="left" w:pos="720"/>
              </w:tabs>
              <w:rPr>
                <w:sz w:val="18"/>
                <w:szCs w:val="18"/>
              </w:rPr>
            </w:pPr>
            <w:r w:rsidRPr="00F56C25">
              <w:rPr>
                <w:sz w:val="18"/>
                <w:szCs w:val="18"/>
              </w:rPr>
              <w:t>Urgent need for the standard and/or implementation resource.</w:t>
            </w:r>
          </w:p>
          <w:p w14:paraId="1A8BE402" w14:textId="6225F110" w:rsidR="004C5228" w:rsidRPr="00F26D9F" w:rsidRDefault="004778E2" w:rsidP="004C5228">
            <w:pPr>
              <w:tabs>
                <w:tab w:val="left" w:pos="720"/>
              </w:tabs>
              <w:rPr>
                <w:i/>
                <w:sz w:val="18"/>
                <w:szCs w:val="18"/>
              </w:rPr>
            </w:pPr>
            <w:r>
              <w:rPr>
                <w:i/>
                <w:sz w:val="18"/>
                <w:szCs w:val="18"/>
              </w:rPr>
              <w:t xml:space="preserve">A gap </w:t>
            </w:r>
            <w:r w:rsidR="004C5228">
              <w:rPr>
                <w:i/>
                <w:sz w:val="18"/>
                <w:szCs w:val="18"/>
              </w:rPr>
              <w:t>identified in the Framework for standards and Implementation</w:t>
            </w:r>
            <w:r>
              <w:rPr>
                <w:i/>
                <w:sz w:val="18"/>
                <w:szCs w:val="18"/>
              </w:rPr>
              <w:t xml:space="preserve"> explains the p</w:t>
            </w:r>
            <w:r w:rsidRPr="00F26D9F">
              <w:rPr>
                <w:i/>
                <w:sz w:val="18"/>
                <w:szCs w:val="18"/>
              </w:rPr>
              <w:t xml:space="preserve">ressing need for </w:t>
            </w:r>
            <w:r>
              <w:rPr>
                <w:i/>
                <w:sz w:val="18"/>
                <w:szCs w:val="18"/>
              </w:rPr>
              <w:t xml:space="preserve">the </w:t>
            </w:r>
            <w:r w:rsidR="0055043C">
              <w:rPr>
                <w:i/>
                <w:sz w:val="18"/>
                <w:szCs w:val="18"/>
              </w:rPr>
              <w:t>Supplement</w:t>
            </w:r>
            <w:r w:rsidR="004C5228">
              <w:rPr>
                <w:i/>
                <w:sz w:val="18"/>
                <w:szCs w:val="18"/>
              </w:rPr>
              <w:t>.</w:t>
            </w:r>
          </w:p>
          <w:p w14:paraId="534949DC" w14:textId="77777777" w:rsidR="004C5228" w:rsidRPr="004C5228" w:rsidRDefault="004C5228" w:rsidP="004C5228">
            <w:pPr>
              <w:tabs>
                <w:tab w:val="left" w:pos="720"/>
              </w:tabs>
              <w:rPr>
                <w:sz w:val="18"/>
                <w:szCs w:val="18"/>
              </w:rPr>
            </w:pPr>
          </w:p>
        </w:tc>
      </w:tr>
      <w:tr w:rsidR="000B32EC" w:rsidRPr="00326064" w14:paraId="211E0E03" w14:textId="77777777" w:rsidTr="00544322">
        <w:trPr>
          <w:trHeight w:val="529"/>
        </w:trPr>
        <w:tc>
          <w:tcPr>
            <w:tcW w:w="9715"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lastRenderedPageBreak/>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bl>
    <w:p w14:paraId="0A9F9616" w14:textId="01CC3A58" w:rsidR="00873E1C" w:rsidRDefault="00873E1C"/>
    <w:p w14:paraId="12E6EFD4" w14:textId="77777777" w:rsidR="00402675" w:rsidRDefault="00402675">
      <w:bookmarkStart w:id="16" w:name="_GoBack"/>
      <w:bookmarkEnd w:id="16"/>
    </w:p>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FD01BE" w:rsidRPr="00326064" w14:paraId="04D042B9" w14:textId="77777777" w:rsidTr="00FD01BE">
        <w:trPr>
          <w:trHeight w:val="832"/>
        </w:trPr>
        <w:tc>
          <w:tcPr>
            <w:tcW w:w="9786" w:type="dxa"/>
            <w:tcMar>
              <w:top w:w="28" w:type="dxa"/>
              <w:bottom w:w="57" w:type="dxa"/>
            </w:tcMar>
          </w:tcPr>
          <w:p w14:paraId="50686B86" w14:textId="723C33E4" w:rsidR="00FD01BE" w:rsidRDefault="00FD01BE" w:rsidP="00CA5BBE">
            <w:pPr>
              <w:autoSpaceDE w:val="0"/>
              <w:autoSpaceDN w:val="0"/>
              <w:adjustRightInd w:val="0"/>
              <w:rPr>
                <w:b/>
                <w:bCs/>
                <w:sz w:val="18"/>
                <w:szCs w:val="18"/>
              </w:rPr>
            </w:pPr>
            <w:r w:rsidRPr="00FB32A9">
              <w:rPr>
                <w:rFonts w:cs="Times-Bold"/>
                <w:b/>
                <w:bCs/>
                <w:sz w:val="18"/>
                <w:szCs w:val="18"/>
                <w:u w:val="single"/>
              </w:rPr>
              <w:lastRenderedPageBreak/>
              <w:t>Literature review</w:t>
            </w:r>
            <w:r w:rsidRPr="00FB32A9">
              <w:rPr>
                <w:rStyle w:val="IPPFootnoteRedChar"/>
                <w:rFonts w:eastAsia="MS Mincho"/>
              </w:rPr>
              <w:footnoteReference w:id="3"/>
            </w:r>
            <w:r w:rsidRPr="00FB32A9">
              <w:rPr>
                <w:rStyle w:val="IPPFootnoteRedChar"/>
                <w:rFonts w:eastAsia="MS Mincho"/>
              </w:rPr>
              <w:t xml:space="preserve"> </w:t>
            </w:r>
            <w:r w:rsidRPr="00FB32A9">
              <w:rPr>
                <w:rFonts w:cs="Times-Bold"/>
                <w:sz w:val="18"/>
                <w:szCs w:val="18"/>
              </w:rPr>
              <w:t>(</w:t>
            </w:r>
            <w:r w:rsidRPr="00FB32A9">
              <w:rPr>
                <w:bCs/>
                <w:sz w:val="18"/>
                <w:szCs w:val="18"/>
              </w:rPr>
              <w:t xml:space="preserve">This section will provide a </w:t>
            </w:r>
            <w:r w:rsidRPr="00FB32A9">
              <w:rPr>
                <w:b/>
                <w:bCs/>
                <w:sz w:val="18"/>
                <w:szCs w:val="18"/>
              </w:rPr>
              <w:t>summary of the topic</w:t>
            </w:r>
            <w:r w:rsidRPr="00FB32A9">
              <w:rPr>
                <w:bCs/>
                <w:sz w:val="18"/>
                <w:szCs w:val="18"/>
              </w:rPr>
              <w:t xml:space="preserve"> based on scientific and technical publications, including a referenced </w:t>
            </w:r>
            <w:r w:rsidRPr="00FB32A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14:paraId="64EFFA15" w14:textId="77777777" w:rsidR="00FB32A9" w:rsidRDefault="00FB32A9" w:rsidP="00FB32A9">
            <w:pPr>
              <w:tabs>
                <w:tab w:val="left" w:pos="720"/>
              </w:tabs>
              <w:ind w:left="567" w:hanging="567"/>
              <w:rPr>
                <w:rFonts w:cs="Times-Bold"/>
                <w:bCs/>
                <w:i/>
                <w:sz w:val="18"/>
                <w:szCs w:val="18"/>
              </w:rPr>
            </w:pPr>
          </w:p>
          <w:p w14:paraId="237438D6" w14:textId="77777777" w:rsidR="00FB32A9" w:rsidRPr="00175938" w:rsidRDefault="00FB32A9" w:rsidP="00FB32A9">
            <w:pPr>
              <w:tabs>
                <w:tab w:val="left" w:pos="720"/>
              </w:tabs>
              <w:ind w:left="567" w:hanging="567"/>
              <w:rPr>
                <w:rFonts w:cs="Times-Bold"/>
                <w:bCs/>
                <w:i/>
                <w:sz w:val="18"/>
                <w:szCs w:val="18"/>
              </w:rPr>
            </w:pPr>
            <w:r w:rsidRPr="00175938">
              <w:rPr>
                <w:rFonts w:cs="Times-Bold"/>
                <w:bCs/>
                <w:i/>
                <w:sz w:val="18"/>
                <w:szCs w:val="18"/>
              </w:rPr>
              <w:t xml:space="preserve">Aluja, M., and R. L. Mangan. 2008. Fruit fly (Diptera: Tephritidae) host status determination: critical conceptual, methodological, and regulatory considerations. Ann. Rev. Entomol. 53: 473–502. </w:t>
            </w:r>
          </w:p>
          <w:p w14:paraId="0F450FF2" w14:textId="77777777" w:rsidR="00FB32A9" w:rsidRDefault="00FB32A9" w:rsidP="00FB32A9">
            <w:pPr>
              <w:tabs>
                <w:tab w:val="left" w:pos="720"/>
              </w:tabs>
              <w:ind w:left="567" w:hanging="567"/>
              <w:rPr>
                <w:rFonts w:cs="Times-Bold"/>
                <w:bCs/>
                <w:i/>
                <w:sz w:val="18"/>
                <w:szCs w:val="18"/>
              </w:rPr>
            </w:pPr>
            <w:r w:rsidRPr="00175938">
              <w:rPr>
                <w:rFonts w:cs="Times-Bold"/>
                <w:bCs/>
                <w:i/>
                <w:sz w:val="18"/>
                <w:szCs w:val="18"/>
              </w:rPr>
              <w:t>Cowley, Baker and Harte.  1992.  Definition and determination of host status for multivoltine fruit fly (Diptera: Tephritidae) species.  Journal of Economic Entomology.  85(2): 312-317.</w:t>
            </w:r>
          </w:p>
          <w:p w14:paraId="572C1244" w14:textId="6781660B" w:rsidR="00FB32A9" w:rsidRDefault="00FB32A9" w:rsidP="00FB32A9">
            <w:pPr>
              <w:autoSpaceDE w:val="0"/>
              <w:autoSpaceDN w:val="0"/>
              <w:adjustRightInd w:val="0"/>
              <w:rPr>
                <w:b/>
                <w:bCs/>
                <w:sz w:val="18"/>
                <w:szCs w:val="18"/>
              </w:rPr>
            </w:pPr>
            <w:r w:rsidRPr="00FB756E">
              <w:rPr>
                <w:rFonts w:cs="Times-Bold"/>
                <w:bCs/>
                <w:sz w:val="18"/>
                <w:szCs w:val="18"/>
              </w:rPr>
              <w:t xml:space="preserve">USDA APHIS PPQ. </w:t>
            </w:r>
            <w:r w:rsidRPr="00FB756E">
              <w:rPr>
                <w:rFonts w:cs="Times-Bold"/>
                <w:bCs/>
                <w:i/>
                <w:sz w:val="18"/>
                <w:szCs w:val="18"/>
              </w:rPr>
              <w:t xml:space="preserve"> Guidelines for plant pest risk assessment of imported fruit and vegetable commodities. Supplement 3. Host status.</w:t>
            </w:r>
          </w:p>
          <w:p w14:paraId="12B6AB24" w14:textId="2C5BF86B" w:rsidR="00714FB0" w:rsidRPr="00E86637" w:rsidRDefault="00714FB0" w:rsidP="00CA5BBE">
            <w:pPr>
              <w:autoSpaceDE w:val="0"/>
              <w:autoSpaceDN w:val="0"/>
              <w:adjustRightInd w:val="0"/>
              <w:rPr>
                <w:rFonts w:cs="Times-Bold"/>
                <w:b/>
                <w:bCs/>
                <w:sz w:val="18"/>
                <w:szCs w:val="18"/>
                <w:u w:val="single"/>
              </w:rPr>
            </w:pP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6"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7777777"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119ACC69" w14:textId="77777777" w:rsidR="00100EFA" w:rsidRDefault="00100EFA" w:rsidP="000B32EC">
      <w:pPr>
        <w:tabs>
          <w:tab w:val="left" w:pos="2640"/>
          <w:tab w:val="left" w:pos="5103"/>
          <w:tab w:val="left" w:pos="5520"/>
        </w:tabs>
        <w:rPr>
          <w:sz w:val="20"/>
          <w:szCs w:val="20"/>
        </w:rPr>
      </w:pPr>
    </w:p>
    <w:p w14:paraId="7AA08BD8" w14:textId="77777777" w:rsidR="00100EFA" w:rsidRDefault="00100EFA" w:rsidP="000B32EC">
      <w:pPr>
        <w:tabs>
          <w:tab w:val="left" w:pos="2640"/>
          <w:tab w:val="left" w:pos="5103"/>
          <w:tab w:val="left" w:pos="5520"/>
        </w:tabs>
        <w:rPr>
          <w:sz w:val="20"/>
          <w:szCs w:val="20"/>
        </w:rPr>
      </w:pPr>
    </w:p>
    <w:p w14:paraId="7C21C40B" w14:textId="77777777" w:rsidR="00100EFA" w:rsidRDefault="00100EFA" w:rsidP="000B32EC">
      <w:pPr>
        <w:tabs>
          <w:tab w:val="left" w:pos="2640"/>
          <w:tab w:val="left" w:pos="5103"/>
          <w:tab w:val="left" w:pos="5520"/>
        </w:tabs>
        <w:rPr>
          <w:sz w:val="20"/>
          <w:szCs w:val="20"/>
        </w:rPr>
      </w:pPr>
    </w:p>
    <w:p w14:paraId="366ACD76" w14:textId="77777777" w:rsidR="00100EFA" w:rsidRDefault="00100EFA" w:rsidP="000B32EC">
      <w:pPr>
        <w:tabs>
          <w:tab w:val="left" w:pos="2640"/>
          <w:tab w:val="left" w:pos="5103"/>
          <w:tab w:val="left" w:pos="5520"/>
        </w:tabs>
        <w:rPr>
          <w:sz w:val="20"/>
          <w:szCs w:val="20"/>
        </w:rPr>
      </w:pPr>
    </w:p>
    <w:p w14:paraId="3A58FE43" w14:textId="031F1461" w:rsidR="00100EFA" w:rsidRDefault="00100EFA">
      <w:pPr>
        <w:spacing w:after="160" w:line="259" w:lineRule="auto"/>
        <w:jc w:val="left"/>
        <w:rPr>
          <w:sz w:val="20"/>
          <w:szCs w:val="20"/>
        </w:rPr>
      </w:pPr>
      <w:r>
        <w:rPr>
          <w:sz w:val="20"/>
          <w:szCs w:val="20"/>
        </w:rPr>
        <w:br w:type="page"/>
      </w:r>
    </w:p>
    <w:p w14:paraId="74660A86" w14:textId="77777777" w:rsidR="00195FBB" w:rsidRPr="00C92A7A" w:rsidRDefault="00195FBB" w:rsidP="00195FBB">
      <w:pPr>
        <w:spacing w:before="120"/>
        <w:rPr>
          <w:b/>
          <w:bCs/>
        </w:rPr>
      </w:pPr>
      <w:r w:rsidRPr="00C92A7A">
        <w:rPr>
          <w:b/>
          <w:bCs/>
        </w:rPr>
        <w:lastRenderedPageBreak/>
        <w:t xml:space="preserve">DRAFT SPECIFICATION FOR ISPM: </w:t>
      </w:r>
      <w:r w:rsidRPr="00435C3F">
        <w:rPr>
          <w:b/>
          <w:sz w:val="24"/>
        </w:rPr>
        <w:t>Criteria for the determination of host status for fruit flies based on available information</w:t>
      </w:r>
      <w:r w:rsidRPr="00C92A7A">
        <w:rPr>
          <w:b/>
          <w:bCs/>
        </w:rPr>
        <w:t xml:space="preserve"> ([</w:t>
      </w:r>
      <w:r>
        <w:rPr>
          <w:b/>
          <w:bCs/>
        </w:rPr>
        <w:t>Topic n</w:t>
      </w:r>
      <w:r w:rsidRPr="00C92A7A">
        <w:rPr>
          <w:b/>
          <w:bCs/>
        </w:rPr>
        <w:t>o.])</w:t>
      </w:r>
    </w:p>
    <w:p w14:paraId="09AEA940" w14:textId="77777777" w:rsidR="00195FBB" w:rsidRDefault="00195FBB" w:rsidP="00195FBB">
      <w:pPr>
        <w:pStyle w:val="IPPSubheadSpace"/>
      </w:pPr>
    </w:p>
    <w:p w14:paraId="63989616" w14:textId="53B78FCA" w:rsidR="00195FBB" w:rsidRPr="0004626B" w:rsidRDefault="00195FBB" w:rsidP="001A76A6">
      <w:pPr>
        <w:pStyle w:val="IPPSubheadSpace"/>
        <w:rPr>
          <w:color w:val="0070C0"/>
          <w:szCs w:val="18"/>
        </w:rPr>
      </w:pPr>
      <w: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195FBB" w:rsidRPr="00802481" w14:paraId="1DBFBE41" w14:textId="77777777" w:rsidTr="00A05B52">
        <w:trPr>
          <w:trHeight w:val="286"/>
        </w:trPr>
        <w:tc>
          <w:tcPr>
            <w:tcW w:w="9039" w:type="dxa"/>
            <w:gridSpan w:val="2"/>
          </w:tcPr>
          <w:p w14:paraId="6FC2C300" w14:textId="77777777" w:rsidR="00195FBB" w:rsidRPr="003C1891" w:rsidRDefault="00195FBB" w:rsidP="00A05B52">
            <w:pPr>
              <w:pStyle w:val="IPPArialTable"/>
              <w:rPr>
                <w:szCs w:val="18"/>
              </w:rPr>
            </w:pPr>
            <w:r w:rsidRPr="003C1891">
              <w:rPr>
                <w:szCs w:val="18"/>
              </w:rPr>
              <w:t>This is not an official part of the specification and it will be modified by the IPPC Secretariat after approval</w:t>
            </w:r>
          </w:p>
        </w:tc>
      </w:tr>
      <w:tr w:rsidR="00195FBB" w:rsidRPr="00802481" w14:paraId="2D318FE1" w14:textId="77777777" w:rsidTr="00A05B52">
        <w:trPr>
          <w:trHeight w:val="286"/>
        </w:trPr>
        <w:tc>
          <w:tcPr>
            <w:tcW w:w="2273" w:type="dxa"/>
          </w:tcPr>
          <w:p w14:paraId="5FF282C7" w14:textId="77777777" w:rsidR="00195FBB" w:rsidRPr="003C1891" w:rsidRDefault="00195FBB" w:rsidP="00A05B52">
            <w:pPr>
              <w:pStyle w:val="IPPArialTable"/>
              <w:rPr>
                <w:b/>
                <w:bCs/>
                <w:szCs w:val="18"/>
              </w:rPr>
            </w:pPr>
            <w:r w:rsidRPr="003C1891">
              <w:rPr>
                <w:b/>
                <w:bCs/>
                <w:szCs w:val="18"/>
              </w:rPr>
              <w:t>Date of this document</w:t>
            </w:r>
          </w:p>
        </w:tc>
        <w:tc>
          <w:tcPr>
            <w:tcW w:w="6766" w:type="dxa"/>
          </w:tcPr>
          <w:p w14:paraId="758FEAD9" w14:textId="77777777" w:rsidR="00195FBB" w:rsidRPr="003C1891" w:rsidRDefault="00195FBB" w:rsidP="00A05B52">
            <w:pPr>
              <w:pStyle w:val="IPPArialTable"/>
              <w:rPr>
                <w:szCs w:val="18"/>
              </w:rPr>
            </w:pPr>
            <w:r w:rsidRPr="003C1891">
              <w:rPr>
                <w:szCs w:val="18"/>
              </w:rPr>
              <w:t>[</w:t>
            </w:r>
            <w:r>
              <w:rPr>
                <w:szCs w:val="18"/>
              </w:rPr>
              <w:t>2018-08-23</w:t>
            </w:r>
            <w:r w:rsidRPr="003C1891">
              <w:rPr>
                <w:szCs w:val="18"/>
              </w:rPr>
              <w:t>]</w:t>
            </w:r>
          </w:p>
        </w:tc>
      </w:tr>
      <w:tr w:rsidR="00195FBB" w:rsidRPr="00802481" w14:paraId="15824899" w14:textId="77777777" w:rsidTr="00A05B52">
        <w:trPr>
          <w:trHeight w:val="286"/>
        </w:trPr>
        <w:tc>
          <w:tcPr>
            <w:tcW w:w="2273" w:type="dxa"/>
          </w:tcPr>
          <w:p w14:paraId="616966C1" w14:textId="77777777" w:rsidR="00195FBB" w:rsidRPr="003C1891" w:rsidRDefault="00195FBB" w:rsidP="00A05B52">
            <w:pPr>
              <w:pStyle w:val="IPPArialTable"/>
              <w:rPr>
                <w:b/>
                <w:bCs/>
                <w:szCs w:val="18"/>
              </w:rPr>
            </w:pPr>
            <w:r w:rsidRPr="003C1891">
              <w:rPr>
                <w:b/>
                <w:bCs/>
                <w:szCs w:val="18"/>
              </w:rPr>
              <w:t>Document category</w:t>
            </w:r>
          </w:p>
        </w:tc>
        <w:tc>
          <w:tcPr>
            <w:tcW w:w="6766" w:type="dxa"/>
          </w:tcPr>
          <w:p w14:paraId="2397E6E9" w14:textId="77777777" w:rsidR="00195FBB" w:rsidRPr="00C92A7A" w:rsidRDefault="00195FBB" w:rsidP="00A05B52">
            <w:pPr>
              <w:pStyle w:val="IPPNormal"/>
              <w:rPr>
                <w:rFonts w:ascii="Arial" w:hAnsi="Arial"/>
                <w:color w:val="0070C0"/>
                <w:sz w:val="18"/>
                <w:szCs w:val="18"/>
              </w:rPr>
            </w:pPr>
            <w:r w:rsidRPr="002B777A">
              <w:rPr>
                <w:rFonts w:ascii="Arial" w:hAnsi="Arial"/>
                <w:sz w:val="18"/>
                <w:szCs w:val="18"/>
              </w:rPr>
              <w:t>Draft specification for an ISPM</w:t>
            </w:r>
          </w:p>
        </w:tc>
      </w:tr>
      <w:tr w:rsidR="00195FBB" w:rsidRPr="00802481" w14:paraId="2B045D42" w14:textId="77777777" w:rsidTr="00A05B52">
        <w:trPr>
          <w:trHeight w:val="299"/>
        </w:trPr>
        <w:tc>
          <w:tcPr>
            <w:tcW w:w="2273" w:type="dxa"/>
          </w:tcPr>
          <w:p w14:paraId="4227C1CA" w14:textId="77777777" w:rsidR="00195FBB" w:rsidRPr="003C1891" w:rsidRDefault="00195FBB" w:rsidP="00A05B52">
            <w:pPr>
              <w:pStyle w:val="IPPArialTable"/>
              <w:rPr>
                <w:b/>
                <w:bCs/>
                <w:szCs w:val="18"/>
              </w:rPr>
            </w:pPr>
            <w:r w:rsidRPr="003C1891">
              <w:rPr>
                <w:b/>
                <w:bCs/>
                <w:szCs w:val="18"/>
              </w:rPr>
              <w:t>Current document stage</w:t>
            </w:r>
          </w:p>
        </w:tc>
        <w:tc>
          <w:tcPr>
            <w:tcW w:w="6766" w:type="dxa"/>
          </w:tcPr>
          <w:p w14:paraId="0A4242AB" w14:textId="77777777" w:rsidR="00195FBB" w:rsidRPr="00C92A7A" w:rsidRDefault="00195FBB" w:rsidP="00A05B52">
            <w:pPr>
              <w:pStyle w:val="IPPNormal"/>
              <w:rPr>
                <w:rFonts w:ascii="Arial" w:hAnsi="Arial"/>
                <w:color w:val="0070C0"/>
                <w:sz w:val="18"/>
                <w:szCs w:val="18"/>
              </w:rPr>
            </w:pPr>
          </w:p>
        </w:tc>
      </w:tr>
      <w:tr w:rsidR="00195FBB" w:rsidRPr="00802481" w14:paraId="5C4AC1F7" w14:textId="77777777" w:rsidTr="00A05B52">
        <w:trPr>
          <w:trHeight w:val="491"/>
        </w:trPr>
        <w:tc>
          <w:tcPr>
            <w:tcW w:w="2273" w:type="dxa"/>
          </w:tcPr>
          <w:p w14:paraId="617A7D39" w14:textId="77777777" w:rsidR="00195FBB" w:rsidRPr="003C1891" w:rsidRDefault="00195FBB" w:rsidP="00A05B52">
            <w:pPr>
              <w:pStyle w:val="IPPArialTable"/>
              <w:rPr>
                <w:b/>
                <w:bCs/>
                <w:szCs w:val="18"/>
              </w:rPr>
            </w:pPr>
            <w:r w:rsidRPr="003C1891">
              <w:rPr>
                <w:b/>
                <w:bCs/>
                <w:szCs w:val="18"/>
              </w:rPr>
              <w:t>Major stages</w:t>
            </w:r>
          </w:p>
        </w:tc>
        <w:tc>
          <w:tcPr>
            <w:tcW w:w="6766" w:type="dxa"/>
          </w:tcPr>
          <w:p w14:paraId="3322E227" w14:textId="77777777" w:rsidR="00195FBB" w:rsidRPr="00851D2D" w:rsidRDefault="00195FBB" w:rsidP="00A05B52">
            <w:pPr>
              <w:pStyle w:val="IPPNormal"/>
              <w:rPr>
                <w:rFonts w:ascii="Arial" w:hAnsi="Arial"/>
                <w:color w:val="0070C0"/>
                <w:sz w:val="18"/>
              </w:rPr>
            </w:pPr>
          </w:p>
        </w:tc>
      </w:tr>
      <w:tr w:rsidR="00195FBB" w:rsidRPr="00802481" w14:paraId="16B8CC79" w14:textId="77777777" w:rsidTr="00A05B52">
        <w:trPr>
          <w:trHeight w:val="491"/>
        </w:trPr>
        <w:tc>
          <w:tcPr>
            <w:tcW w:w="2273" w:type="dxa"/>
          </w:tcPr>
          <w:p w14:paraId="3B000BBB" w14:textId="77777777" w:rsidR="00195FBB" w:rsidRPr="003C1891" w:rsidRDefault="00195FBB" w:rsidP="00A05B52">
            <w:pPr>
              <w:pStyle w:val="IPPArialTable"/>
              <w:rPr>
                <w:b/>
                <w:bCs/>
                <w:szCs w:val="18"/>
              </w:rPr>
            </w:pPr>
            <w:r w:rsidRPr="003C1891">
              <w:rPr>
                <w:b/>
                <w:bCs/>
                <w:szCs w:val="18"/>
              </w:rPr>
              <w:t>Steward history</w:t>
            </w:r>
          </w:p>
        </w:tc>
        <w:tc>
          <w:tcPr>
            <w:tcW w:w="6766" w:type="dxa"/>
          </w:tcPr>
          <w:p w14:paraId="0BCEC719" w14:textId="77777777" w:rsidR="00195FBB" w:rsidRPr="00C92A7A" w:rsidRDefault="00195FBB" w:rsidP="00A05B52">
            <w:pPr>
              <w:pStyle w:val="IPPArialTable"/>
              <w:rPr>
                <w:color w:val="0070C0"/>
                <w:szCs w:val="18"/>
              </w:rPr>
            </w:pPr>
          </w:p>
        </w:tc>
      </w:tr>
      <w:tr w:rsidR="00195FBB" w:rsidRPr="00802481" w14:paraId="1D0FFFBF" w14:textId="77777777" w:rsidTr="00A05B52">
        <w:trPr>
          <w:trHeight w:val="491"/>
        </w:trPr>
        <w:tc>
          <w:tcPr>
            <w:tcW w:w="2273" w:type="dxa"/>
          </w:tcPr>
          <w:p w14:paraId="4A88EEE3" w14:textId="77777777" w:rsidR="00195FBB" w:rsidRPr="003C1891" w:rsidRDefault="00195FBB" w:rsidP="00A05B52">
            <w:pPr>
              <w:pStyle w:val="IPPArialTable"/>
              <w:rPr>
                <w:b/>
                <w:bCs/>
                <w:szCs w:val="18"/>
              </w:rPr>
            </w:pPr>
            <w:r w:rsidRPr="003C1891">
              <w:rPr>
                <w:b/>
                <w:bCs/>
                <w:szCs w:val="18"/>
              </w:rPr>
              <w:t>Notes</w:t>
            </w:r>
          </w:p>
        </w:tc>
        <w:tc>
          <w:tcPr>
            <w:tcW w:w="6766" w:type="dxa"/>
          </w:tcPr>
          <w:p w14:paraId="02414566" w14:textId="77777777" w:rsidR="00195FBB" w:rsidRPr="00C92A7A" w:rsidDel="00685537" w:rsidRDefault="00195FBB" w:rsidP="00A05B52">
            <w:pPr>
              <w:pStyle w:val="IPPNormal"/>
              <w:rPr>
                <w:rFonts w:ascii="Arial" w:hAnsi="Arial"/>
                <w:color w:val="0070C0"/>
                <w:sz w:val="18"/>
                <w:szCs w:val="18"/>
              </w:rPr>
            </w:pPr>
          </w:p>
        </w:tc>
      </w:tr>
    </w:tbl>
    <w:p w14:paraId="09D303E1" w14:textId="77777777" w:rsidR="00195FBB" w:rsidRDefault="00195FBB" w:rsidP="00195FBB">
      <w:pPr>
        <w:pStyle w:val="IPPSubheadSpace"/>
        <w:ind w:left="0" w:firstLine="0"/>
      </w:pPr>
    </w:p>
    <w:p w14:paraId="7F488FC6" w14:textId="77777777" w:rsidR="00195FBB" w:rsidRDefault="00195FBB" w:rsidP="00195FBB">
      <w:pPr>
        <w:pStyle w:val="IPPSubheadSpace"/>
        <w:ind w:left="0" w:firstLine="0"/>
      </w:pPr>
      <w:r>
        <w:t>Title</w:t>
      </w:r>
    </w:p>
    <w:p w14:paraId="1DC0923F" w14:textId="1A07F78F" w:rsidR="00195FBB" w:rsidRPr="0004626B" w:rsidRDefault="00195FBB" w:rsidP="00195FBB">
      <w:pPr>
        <w:pStyle w:val="IPPNormal"/>
        <w:numPr>
          <w:ilvl w:val="0"/>
          <w:numId w:val="25"/>
        </w:numPr>
        <w:ind w:left="0" w:hanging="567"/>
      </w:pPr>
      <w:r w:rsidRPr="00435C3F">
        <w:rPr>
          <w:i/>
          <w:szCs w:val="22"/>
        </w:rPr>
        <w:t>Criteria for the determination of host status for fruit flies based on available information</w:t>
      </w:r>
      <w:r w:rsidR="0055043C">
        <w:rPr>
          <w:i/>
          <w:szCs w:val="22"/>
        </w:rPr>
        <w:t xml:space="preserve"> (Annex to ISPM 37)</w:t>
      </w:r>
      <w:r>
        <w:rPr>
          <w:lang w:val="en-AU"/>
        </w:rPr>
        <w:t>.</w:t>
      </w:r>
    </w:p>
    <w:p w14:paraId="7FB74357" w14:textId="66F4009A" w:rsidR="00195FBB" w:rsidRPr="005125C2" w:rsidRDefault="00195FBB" w:rsidP="00195FBB">
      <w:pPr>
        <w:pStyle w:val="IPPSubheadSpace"/>
      </w:pPr>
      <w:r>
        <w:t xml:space="preserve">Reason for the annex to the </w:t>
      </w:r>
      <w:r w:rsidRPr="005125C2">
        <w:t>standard</w:t>
      </w:r>
    </w:p>
    <w:p w14:paraId="5F496E6D" w14:textId="6A4835A1" w:rsidR="00195FBB" w:rsidRDefault="00195FBB" w:rsidP="00195FBB">
      <w:pPr>
        <w:pStyle w:val="IPPNormal"/>
        <w:numPr>
          <w:ilvl w:val="0"/>
          <w:numId w:val="25"/>
        </w:numPr>
        <w:ind w:left="0" w:hanging="567"/>
        <w:contextualSpacing/>
      </w:pPr>
      <w:r w:rsidRPr="0042364F">
        <w:t xml:space="preserve">Numerous published information on fruit fly host status is used by </w:t>
      </w:r>
      <w:r w:rsidR="008F38A9" w:rsidRPr="0042364F">
        <w:t>national plant protection organizations (</w:t>
      </w:r>
      <w:r w:rsidRPr="0042364F">
        <w:t>NPPOs</w:t>
      </w:r>
      <w:r w:rsidR="008F38A9" w:rsidRPr="0042364F">
        <w:t>)</w:t>
      </w:r>
      <w:r w:rsidRPr="0042364F">
        <w:t xml:space="preserve"> to implement existing </w:t>
      </w:r>
      <w:r w:rsidR="008F38A9" w:rsidRPr="0042364F">
        <w:t>international standards for phytosanitary measures (</w:t>
      </w:r>
      <w:r w:rsidRPr="0042364F">
        <w:t>ISPMs</w:t>
      </w:r>
      <w:r w:rsidR="008F38A9" w:rsidRPr="0042364F">
        <w:t>)</w:t>
      </w:r>
      <w:r w:rsidRPr="0042364F">
        <w:t xml:space="preserve"> related to </w:t>
      </w:r>
      <w:r w:rsidR="008F38A9" w:rsidRPr="0042364F">
        <w:t>pest risk analysis (</w:t>
      </w:r>
      <w:r w:rsidRPr="0042364F">
        <w:t>PRA</w:t>
      </w:r>
      <w:r w:rsidR="008F38A9" w:rsidRPr="0042364F">
        <w:t>)</w:t>
      </w:r>
      <w:r w:rsidRPr="0042364F">
        <w:t xml:space="preserve">, </w:t>
      </w:r>
      <w:r w:rsidR="008F38A9" w:rsidRPr="0042364F">
        <w:t>pest free areas (</w:t>
      </w:r>
      <w:r w:rsidRPr="0042364F">
        <w:t>PFA</w:t>
      </w:r>
      <w:r w:rsidR="008F38A9" w:rsidRPr="0042364F">
        <w:t>)</w:t>
      </w:r>
      <w:r w:rsidRPr="0042364F">
        <w:t>, designing import</w:t>
      </w:r>
      <w:r w:rsidR="008F38A9" w:rsidRPr="0042364F">
        <w:t xml:space="preserve"> and </w:t>
      </w:r>
      <w:r w:rsidRPr="0042364F">
        <w:t xml:space="preserve">export programs, eradication, surveys, pest records, </w:t>
      </w:r>
      <w:r w:rsidR="008F38A9" w:rsidRPr="0042364F">
        <w:t>etc</w:t>
      </w:r>
      <w:r w:rsidRPr="0042364F">
        <w:t xml:space="preserve">. There is considerable inconsistency in interpreting published information that often leads to potential disputes between NPPOs. </w:t>
      </w:r>
      <w:r w:rsidR="008F38A9" w:rsidRPr="0042364F">
        <w:t xml:space="preserve">Nearly </w:t>
      </w:r>
      <w:r w:rsidRPr="0042364F">
        <w:t xml:space="preserve">30 terms could be found in the literature describing host status, e.g., preferred host, rare host, field host, primary host, secondary host, experimental host, reproductive host. Instead of using a plethora of ambiguous and inconsistent terms, the international phytosanitary community </w:t>
      </w:r>
      <w:r w:rsidR="008F38A9" w:rsidRPr="0042364F">
        <w:t>should</w:t>
      </w:r>
      <w:r w:rsidRPr="0042364F">
        <w:t xml:space="preserve"> harmonize them, aligning with the terms in ISPM 37. Consistent and transparent criteria for listing </w:t>
      </w:r>
      <w:r w:rsidR="00F41C11" w:rsidRPr="0042364F">
        <w:t xml:space="preserve">fruit fly hosts </w:t>
      </w:r>
      <w:r w:rsidRPr="0042364F">
        <w:t xml:space="preserve">and </w:t>
      </w:r>
      <w:r w:rsidR="00F41C11" w:rsidRPr="0042364F">
        <w:t xml:space="preserve">for </w:t>
      </w:r>
      <w:r w:rsidRPr="0042364F">
        <w:t xml:space="preserve">interpretation </w:t>
      </w:r>
      <w:r w:rsidR="00F41C11" w:rsidRPr="0042364F">
        <w:t xml:space="preserve">of </w:t>
      </w:r>
      <w:r w:rsidRPr="0042364F">
        <w:t>host</w:t>
      </w:r>
      <w:r w:rsidR="00F41C11" w:rsidRPr="0042364F">
        <w:t xml:space="preserve"> status</w:t>
      </w:r>
      <w:r w:rsidRPr="0042364F">
        <w:t xml:space="preserve"> based on available information should be developed</w:t>
      </w:r>
      <w:r w:rsidR="00F41C11" w:rsidRPr="0042364F">
        <w:t>. This will be</w:t>
      </w:r>
      <w:r w:rsidRPr="0042364F">
        <w:t xml:space="preserve"> crucial for preventing future trade challenges over whether a particular fruit fly should be regulated by NPPOs on different hosts. </w:t>
      </w:r>
    </w:p>
    <w:p w14:paraId="1F1E43EF" w14:textId="77777777" w:rsidR="00195FBB" w:rsidRDefault="00195FBB" w:rsidP="00195FBB">
      <w:pPr>
        <w:pStyle w:val="IPPSubheadSpace"/>
        <w:contextualSpacing/>
      </w:pPr>
      <w:r w:rsidRPr="00EE4B6B">
        <w:t xml:space="preserve">Scope </w:t>
      </w:r>
    </w:p>
    <w:p w14:paraId="76A5FB4F" w14:textId="448E07B8" w:rsidR="00195FBB" w:rsidRDefault="00195FBB" w:rsidP="00195FBB">
      <w:pPr>
        <w:pStyle w:val="IPPNormal"/>
        <w:numPr>
          <w:ilvl w:val="0"/>
          <w:numId w:val="25"/>
        </w:numPr>
        <w:ind w:left="0" w:hanging="567"/>
        <w:contextualSpacing/>
      </w:pPr>
      <w:r w:rsidRPr="0042364F">
        <w:t xml:space="preserve">This </w:t>
      </w:r>
      <w:r w:rsidR="0055043C" w:rsidRPr="0042364F">
        <w:t>Annex</w:t>
      </w:r>
      <w:r w:rsidRPr="0042364F">
        <w:t xml:space="preserve"> outlines criteria and provides guidelines for their consistent application when interpreting host status of fruits and vegetables to fruit flies based on already existing evidence. This </w:t>
      </w:r>
      <w:r w:rsidR="0055043C" w:rsidRPr="0042364F">
        <w:t>Annex</w:t>
      </w:r>
      <w:r w:rsidRPr="0042364F">
        <w:t xml:space="preserve"> applies to all commodities in global trade that can be potential hosts for fruit flies. </w:t>
      </w:r>
    </w:p>
    <w:p w14:paraId="58A6F950" w14:textId="77777777" w:rsidR="00195FBB" w:rsidRDefault="00195FBB" w:rsidP="00195FBB">
      <w:pPr>
        <w:pStyle w:val="IPPSubheadSpace"/>
        <w:contextualSpacing/>
      </w:pPr>
      <w:r>
        <w:t>P</w:t>
      </w:r>
      <w:r w:rsidRPr="00EE4B6B">
        <w:t>urpose</w:t>
      </w:r>
    </w:p>
    <w:p w14:paraId="4C7A1C7C" w14:textId="1EC14FC2" w:rsidR="00195FBB" w:rsidRPr="0042364F" w:rsidRDefault="00195FBB" w:rsidP="0042364F">
      <w:pPr>
        <w:pStyle w:val="IPPNormal"/>
        <w:numPr>
          <w:ilvl w:val="0"/>
          <w:numId w:val="25"/>
        </w:numPr>
        <w:ind w:left="0" w:hanging="567"/>
        <w:contextualSpacing/>
      </w:pPr>
      <w:r w:rsidRPr="0042364F">
        <w:t xml:space="preserve">The </w:t>
      </w:r>
      <w:r w:rsidR="0055043C" w:rsidRPr="0042364F">
        <w:t>Annex</w:t>
      </w:r>
      <w:r w:rsidRPr="0042364F">
        <w:t xml:space="preserve"> will provide conceptual guidance and consistent criteria for evaluating already available information (e.g. scientific literature, NPPO records, pest reports) to determine the host status for fruit flies, without conducting new experiments. These harmonized criteria will improve consistency in decision-making and will align multiples terms broadly used for host status assessments with those adopted in ISPM 37.</w:t>
      </w:r>
    </w:p>
    <w:p w14:paraId="03A398F1" w14:textId="77777777" w:rsidR="00195FBB" w:rsidRDefault="00195FBB" w:rsidP="00195FBB">
      <w:pPr>
        <w:pStyle w:val="IPPSubheadSpace"/>
        <w:ind w:left="0" w:firstLine="0"/>
        <w:contextualSpacing/>
      </w:pPr>
      <w:r w:rsidRPr="00EE4B6B">
        <w:t>Tasks</w:t>
      </w:r>
    </w:p>
    <w:p w14:paraId="362F0B80" w14:textId="77777777" w:rsidR="00195FBB" w:rsidRPr="00A6108C" w:rsidRDefault="00195FBB" w:rsidP="00195FBB">
      <w:pPr>
        <w:pStyle w:val="IPPNormal"/>
        <w:numPr>
          <w:ilvl w:val="0"/>
          <w:numId w:val="25"/>
        </w:numPr>
        <w:ind w:left="0" w:hanging="567"/>
      </w:pPr>
      <w:r w:rsidRPr="00A6108C">
        <w:t xml:space="preserve">The expert drafting group </w:t>
      </w:r>
      <w:r>
        <w:rPr>
          <w:lang w:val="en-AU"/>
        </w:rPr>
        <w:t xml:space="preserve">(EDG) </w:t>
      </w:r>
      <w:r w:rsidRPr="00A6108C">
        <w:t>should undertake the following tasks:</w:t>
      </w:r>
    </w:p>
    <w:p w14:paraId="45D8FEF2" w14:textId="77777777" w:rsidR="00195FBB" w:rsidRPr="00561DB4" w:rsidRDefault="00195FBB" w:rsidP="00195FBB">
      <w:pPr>
        <w:numPr>
          <w:ilvl w:val="0"/>
          <w:numId w:val="26"/>
        </w:numPr>
        <w:tabs>
          <w:tab w:val="left" w:pos="720"/>
        </w:tabs>
        <w:rPr>
          <w:rFonts w:cs="Times-Bold"/>
          <w:bCs/>
          <w:szCs w:val="22"/>
        </w:rPr>
      </w:pPr>
      <w:r w:rsidRPr="00561DB4">
        <w:rPr>
          <w:rFonts w:cs="Times-Bold"/>
          <w:bCs/>
          <w:szCs w:val="22"/>
        </w:rPr>
        <w:t>Examin</w:t>
      </w:r>
      <w:r>
        <w:rPr>
          <w:rFonts w:cs="Times-Bold"/>
          <w:bCs/>
          <w:szCs w:val="22"/>
        </w:rPr>
        <w:t>e</w:t>
      </w:r>
      <w:r w:rsidRPr="00561DB4">
        <w:rPr>
          <w:rFonts w:cs="Times-Bold"/>
          <w:bCs/>
          <w:szCs w:val="22"/>
        </w:rPr>
        <w:t xml:space="preserve"> existing documentation related to determin</w:t>
      </w:r>
      <w:r>
        <w:rPr>
          <w:rFonts w:cs="Times-Bold"/>
          <w:bCs/>
          <w:szCs w:val="22"/>
        </w:rPr>
        <w:t>ation of</w:t>
      </w:r>
      <w:r w:rsidRPr="00561DB4">
        <w:rPr>
          <w:rFonts w:cs="Times-Bold"/>
          <w:bCs/>
          <w:szCs w:val="22"/>
        </w:rPr>
        <w:t xml:space="preserve"> host status for </w:t>
      </w:r>
      <w:r>
        <w:rPr>
          <w:rFonts w:cs="Times-Bold"/>
          <w:bCs/>
          <w:szCs w:val="22"/>
        </w:rPr>
        <w:t>fruit flies</w:t>
      </w:r>
      <w:r w:rsidRPr="00561DB4">
        <w:rPr>
          <w:rFonts w:cs="Times-Bold"/>
          <w:bCs/>
          <w:szCs w:val="22"/>
        </w:rPr>
        <w:t xml:space="preserve"> (see references)</w:t>
      </w:r>
      <w:r>
        <w:rPr>
          <w:rFonts w:cs="Times-Bold"/>
          <w:bCs/>
          <w:szCs w:val="22"/>
        </w:rPr>
        <w:t>.</w:t>
      </w:r>
    </w:p>
    <w:p w14:paraId="30B974C3" w14:textId="644435A2" w:rsidR="00195FBB" w:rsidRPr="00561DB4" w:rsidRDefault="00195FBB" w:rsidP="00195FBB">
      <w:pPr>
        <w:numPr>
          <w:ilvl w:val="0"/>
          <w:numId w:val="26"/>
        </w:numPr>
        <w:tabs>
          <w:tab w:val="left" w:pos="720"/>
        </w:tabs>
        <w:rPr>
          <w:rFonts w:cs="Times-Bold"/>
          <w:bCs/>
          <w:szCs w:val="22"/>
        </w:rPr>
      </w:pPr>
      <w:r w:rsidRPr="00561DB4">
        <w:rPr>
          <w:rFonts w:cs="Times-Bold"/>
          <w:bCs/>
          <w:szCs w:val="22"/>
        </w:rPr>
        <w:lastRenderedPageBreak/>
        <w:t xml:space="preserve">Identify different types of </w:t>
      </w:r>
      <w:r>
        <w:rPr>
          <w:rFonts w:cs="Times-Bold"/>
          <w:bCs/>
          <w:szCs w:val="22"/>
        </w:rPr>
        <w:t>fruit fly</w:t>
      </w:r>
      <w:r w:rsidRPr="00561DB4">
        <w:rPr>
          <w:rFonts w:cs="Times-Bold"/>
          <w:bCs/>
          <w:szCs w:val="22"/>
        </w:rPr>
        <w:t xml:space="preserve">-host interactions </w:t>
      </w:r>
      <w:r>
        <w:rPr>
          <w:rFonts w:cs="Times-Bold"/>
          <w:bCs/>
          <w:szCs w:val="22"/>
        </w:rPr>
        <w:t xml:space="preserve">and related terminology </w:t>
      </w:r>
      <w:r w:rsidRPr="00561DB4">
        <w:rPr>
          <w:rFonts w:cs="Times-Bold"/>
          <w:bCs/>
          <w:szCs w:val="22"/>
        </w:rPr>
        <w:t>recognized in scientific and regulatory literature (e.g. host, non-host, conditional host, natural host, non-natural host, reproductive host, alternate host)</w:t>
      </w:r>
      <w:r>
        <w:rPr>
          <w:rFonts w:cs="Times-Bold"/>
          <w:bCs/>
          <w:szCs w:val="22"/>
        </w:rPr>
        <w:t>.</w:t>
      </w:r>
    </w:p>
    <w:p w14:paraId="55C1376D" w14:textId="27CA7998" w:rsidR="00195FBB" w:rsidRDefault="00195FBB" w:rsidP="00195FBB">
      <w:pPr>
        <w:numPr>
          <w:ilvl w:val="0"/>
          <w:numId w:val="26"/>
        </w:numPr>
        <w:tabs>
          <w:tab w:val="left" w:pos="720"/>
        </w:tabs>
        <w:rPr>
          <w:rFonts w:cs="Times-Bold"/>
          <w:bCs/>
          <w:szCs w:val="22"/>
        </w:rPr>
      </w:pPr>
      <w:r w:rsidRPr="00561DB4">
        <w:rPr>
          <w:rFonts w:cs="Times-Bold"/>
          <w:bCs/>
          <w:szCs w:val="22"/>
        </w:rPr>
        <w:t xml:space="preserve">Identify the most relevant types of </w:t>
      </w:r>
      <w:r>
        <w:rPr>
          <w:rFonts w:cs="Times-Bold"/>
          <w:bCs/>
          <w:szCs w:val="22"/>
        </w:rPr>
        <w:t>fruit fly</w:t>
      </w:r>
      <w:r w:rsidRPr="00561DB4">
        <w:rPr>
          <w:rFonts w:cs="Times-Bold"/>
          <w:bCs/>
          <w:szCs w:val="22"/>
        </w:rPr>
        <w:t xml:space="preserve">-host interactions and the specific conditions that determine host status (e.g. conditions related to conditional hosts, non-hosts, natural hosts) and </w:t>
      </w:r>
      <w:r>
        <w:rPr>
          <w:rFonts w:cs="Times-Bold"/>
          <w:bCs/>
          <w:szCs w:val="22"/>
        </w:rPr>
        <w:t xml:space="preserve">align those with the categories in ISPM 37; </w:t>
      </w:r>
      <w:r w:rsidRPr="00561DB4">
        <w:rPr>
          <w:rFonts w:cs="Times-Bold"/>
          <w:bCs/>
          <w:szCs w:val="22"/>
        </w:rPr>
        <w:t>propose new categories if appropriate.</w:t>
      </w:r>
    </w:p>
    <w:p w14:paraId="70784196" w14:textId="1DA78BB8" w:rsidR="00195FBB" w:rsidRPr="00561DB4" w:rsidRDefault="00195FBB" w:rsidP="00195FBB">
      <w:pPr>
        <w:numPr>
          <w:ilvl w:val="0"/>
          <w:numId w:val="26"/>
        </w:numPr>
        <w:tabs>
          <w:tab w:val="left" w:pos="720"/>
        </w:tabs>
        <w:rPr>
          <w:rFonts w:cs="Times-Bold"/>
          <w:bCs/>
          <w:szCs w:val="22"/>
        </w:rPr>
      </w:pPr>
      <w:r w:rsidRPr="00561DB4">
        <w:rPr>
          <w:rFonts w:cs="Times-Bold"/>
          <w:bCs/>
          <w:szCs w:val="22"/>
        </w:rPr>
        <w:t>Describ</w:t>
      </w:r>
      <w:r>
        <w:rPr>
          <w:rFonts w:cs="Times-Bold"/>
          <w:bCs/>
          <w:szCs w:val="22"/>
        </w:rPr>
        <w:t>e</w:t>
      </w:r>
      <w:r w:rsidRPr="00561DB4">
        <w:rPr>
          <w:rFonts w:cs="Times-Bold"/>
          <w:bCs/>
          <w:szCs w:val="22"/>
        </w:rPr>
        <w:t xml:space="preserve"> key criteria that can be used to evaluate </w:t>
      </w:r>
      <w:r>
        <w:rPr>
          <w:rFonts w:cs="Times-Bold"/>
          <w:bCs/>
          <w:szCs w:val="22"/>
        </w:rPr>
        <w:t>fruit fly</w:t>
      </w:r>
      <w:r w:rsidRPr="00561DB4">
        <w:rPr>
          <w:rFonts w:cs="Times-Bold"/>
          <w:bCs/>
          <w:szCs w:val="22"/>
        </w:rPr>
        <w:t xml:space="preserve">-host interactions </w:t>
      </w:r>
      <w:r>
        <w:rPr>
          <w:rFonts w:cs="Times-Bold"/>
          <w:bCs/>
          <w:szCs w:val="22"/>
        </w:rPr>
        <w:t xml:space="preserve">based on published evidence </w:t>
      </w:r>
      <w:r w:rsidRPr="00561DB4">
        <w:rPr>
          <w:rFonts w:cs="Times-Bold"/>
          <w:bCs/>
          <w:szCs w:val="22"/>
        </w:rPr>
        <w:t xml:space="preserve">(e.g. what specific information </w:t>
      </w:r>
      <w:r w:rsidR="00082335">
        <w:rPr>
          <w:rFonts w:cs="Times-Bold"/>
          <w:bCs/>
          <w:szCs w:val="22"/>
        </w:rPr>
        <w:t>and</w:t>
      </w:r>
      <w:r w:rsidRPr="00561DB4">
        <w:rPr>
          <w:rFonts w:cs="Times-Bold"/>
          <w:bCs/>
          <w:szCs w:val="22"/>
        </w:rPr>
        <w:t xml:space="preserve"> criteria is needed to determine whether a </w:t>
      </w:r>
      <w:r>
        <w:rPr>
          <w:rFonts w:cs="Times-Bold"/>
          <w:bCs/>
          <w:szCs w:val="22"/>
        </w:rPr>
        <w:t>plant</w:t>
      </w:r>
      <w:r w:rsidRPr="00561DB4">
        <w:rPr>
          <w:rFonts w:cs="Times-Bold"/>
          <w:bCs/>
          <w:szCs w:val="22"/>
        </w:rPr>
        <w:t xml:space="preserve"> is truly a host for a </w:t>
      </w:r>
      <w:r>
        <w:rPr>
          <w:rFonts w:cs="Times-Bold"/>
          <w:bCs/>
          <w:szCs w:val="22"/>
        </w:rPr>
        <w:t>fruit fly</w:t>
      </w:r>
      <w:r w:rsidRPr="00561DB4">
        <w:rPr>
          <w:rFonts w:cs="Times-Bold"/>
          <w:bCs/>
          <w:szCs w:val="22"/>
        </w:rPr>
        <w:t>)</w:t>
      </w:r>
      <w:r w:rsidR="00F41C11">
        <w:rPr>
          <w:rFonts w:cs="Times-Bold"/>
          <w:bCs/>
          <w:szCs w:val="22"/>
        </w:rPr>
        <w:t>.</w:t>
      </w:r>
    </w:p>
    <w:p w14:paraId="50791466" w14:textId="60FDF9A8" w:rsidR="00195FBB" w:rsidRDefault="00195FBB" w:rsidP="00195FBB">
      <w:pPr>
        <w:numPr>
          <w:ilvl w:val="0"/>
          <w:numId w:val="26"/>
        </w:numPr>
        <w:tabs>
          <w:tab w:val="left" w:pos="720"/>
        </w:tabs>
        <w:rPr>
          <w:rFonts w:cs="Times-Bold"/>
          <w:bCs/>
          <w:szCs w:val="22"/>
        </w:rPr>
      </w:pPr>
      <w:r w:rsidRPr="00561DB4">
        <w:rPr>
          <w:rFonts w:cs="Times-Bold"/>
          <w:bCs/>
          <w:szCs w:val="22"/>
        </w:rPr>
        <w:t>Recommend</w:t>
      </w:r>
      <w:r>
        <w:rPr>
          <w:rFonts w:cs="Times-Bold"/>
          <w:bCs/>
          <w:szCs w:val="22"/>
        </w:rPr>
        <w:t xml:space="preserve"> </w:t>
      </w:r>
      <w:r w:rsidRPr="00561DB4">
        <w:rPr>
          <w:rFonts w:cs="Times-Bold"/>
          <w:bCs/>
          <w:szCs w:val="22"/>
        </w:rPr>
        <w:t xml:space="preserve">specific criteria and terminology for describing hosts in </w:t>
      </w:r>
      <w:r w:rsidR="00F41C11">
        <w:rPr>
          <w:rFonts w:cs="Times-Bold"/>
          <w:bCs/>
          <w:szCs w:val="22"/>
        </w:rPr>
        <w:t>p</w:t>
      </w:r>
      <w:r>
        <w:rPr>
          <w:rFonts w:cs="Times-Bold"/>
          <w:bCs/>
          <w:szCs w:val="22"/>
        </w:rPr>
        <w:t>hytosanitary literature, i.e., RPPO</w:t>
      </w:r>
      <w:r w:rsidRPr="00561DB4">
        <w:rPr>
          <w:rFonts w:cs="Times-Bold"/>
          <w:bCs/>
          <w:szCs w:val="22"/>
        </w:rPr>
        <w:t xml:space="preserve"> standards,</w:t>
      </w:r>
      <w:r>
        <w:rPr>
          <w:rFonts w:cs="Times-Bold"/>
          <w:bCs/>
          <w:szCs w:val="22"/>
        </w:rPr>
        <w:t xml:space="preserve"> </w:t>
      </w:r>
      <w:r w:rsidRPr="00561DB4">
        <w:rPr>
          <w:rFonts w:cs="Times-Bold"/>
          <w:bCs/>
          <w:szCs w:val="22"/>
        </w:rPr>
        <w:t>NPPO documents (e.g. PRAs, surveillance protocols, etc.)</w:t>
      </w:r>
      <w:r>
        <w:rPr>
          <w:rFonts w:cs="Times-Bold"/>
          <w:bCs/>
          <w:szCs w:val="22"/>
        </w:rPr>
        <w:t>,</w:t>
      </w:r>
      <w:r w:rsidRPr="00561DB4">
        <w:rPr>
          <w:rFonts w:cs="Times-Bold"/>
          <w:bCs/>
          <w:szCs w:val="22"/>
        </w:rPr>
        <w:t xml:space="preserve"> and regulations</w:t>
      </w:r>
      <w:r w:rsidR="00055C04">
        <w:rPr>
          <w:rFonts w:cs="Times-Bold"/>
          <w:bCs/>
          <w:szCs w:val="22"/>
        </w:rPr>
        <w:t>, reflecting on task No.3.</w:t>
      </w:r>
    </w:p>
    <w:p w14:paraId="1F1D3E51" w14:textId="0AB47700" w:rsidR="00195FBB" w:rsidRPr="00DF7172" w:rsidRDefault="00195FBB" w:rsidP="00195FBB">
      <w:pPr>
        <w:numPr>
          <w:ilvl w:val="0"/>
          <w:numId w:val="26"/>
        </w:numPr>
        <w:tabs>
          <w:tab w:val="left" w:pos="720"/>
        </w:tabs>
        <w:rPr>
          <w:rFonts w:cs="Times-Bold"/>
          <w:bCs/>
          <w:szCs w:val="22"/>
        </w:rPr>
      </w:pPr>
      <w:r>
        <w:t>C</w:t>
      </w:r>
      <w:r w:rsidRPr="00A6108C">
        <w:t xml:space="preserve">onsider whether the </w:t>
      </w:r>
      <w:r w:rsidR="0055043C">
        <w:t>Annex</w:t>
      </w:r>
      <w:r w:rsidRPr="00A6108C">
        <w:t xml:space="preserve"> could affect in a specific way (positively or negatively) the protection of biodiversity and the environment. If this is the case, the impact should be identified, addressed and clarified in the draft</w:t>
      </w:r>
      <w:r>
        <w:t>.</w:t>
      </w:r>
    </w:p>
    <w:p w14:paraId="3FEC630C" w14:textId="3BE6830E" w:rsidR="00195FBB" w:rsidRPr="00B60DDB" w:rsidRDefault="00195FBB" w:rsidP="0042364F">
      <w:pPr>
        <w:pStyle w:val="IPPNumberedList"/>
        <w:numPr>
          <w:ilvl w:val="0"/>
          <w:numId w:val="26"/>
        </w:numPr>
        <w:spacing w:after="180"/>
      </w:pPr>
      <w:r w:rsidRPr="001443B2">
        <w:t xml:space="preserve">Consider implementation of the </w:t>
      </w:r>
      <w:r w:rsidR="0055043C">
        <w:t>Annex</w:t>
      </w:r>
      <w:r w:rsidRPr="001443B2">
        <w:t xml:space="preserve"> by contracting parties and identify potential operational and technical implementation issues. Provide information and possible recommendations on these issues to the S</w:t>
      </w:r>
      <w:r>
        <w:t xml:space="preserve">tandards </w:t>
      </w:r>
      <w:r w:rsidRPr="001443B2">
        <w:t>C</w:t>
      </w:r>
      <w:r>
        <w:t>ommittee (SC)</w:t>
      </w:r>
      <w:r w:rsidRPr="001443B2">
        <w:t>.</w:t>
      </w:r>
      <w:r w:rsidRPr="00B60DDB">
        <w:rPr>
          <w:highlight w:val="yellow"/>
        </w:rPr>
        <w:t xml:space="preserve"> </w:t>
      </w:r>
    </w:p>
    <w:p w14:paraId="2CE6F448" w14:textId="77777777" w:rsidR="00195FBB" w:rsidRPr="00502985" w:rsidRDefault="00195FBB" w:rsidP="00195FBB">
      <w:pPr>
        <w:pStyle w:val="IPPSubheadSpace"/>
      </w:pPr>
      <w:r w:rsidRPr="00502985">
        <w:t>Provision of resources</w:t>
      </w:r>
      <w:r w:rsidRPr="0081699F">
        <w:rPr>
          <w:color w:val="76923C"/>
        </w:rPr>
        <w:t xml:space="preserve"> </w:t>
      </w:r>
    </w:p>
    <w:p w14:paraId="333634BD" w14:textId="77777777" w:rsidR="00195FBB" w:rsidRDefault="00195FBB" w:rsidP="00195FBB">
      <w:pPr>
        <w:pStyle w:val="IPPNormal"/>
        <w:numPr>
          <w:ilvl w:val="0"/>
          <w:numId w:val="25"/>
        </w:numPr>
        <w:ind w:left="0" w:hanging="567"/>
      </w:pPr>
      <w:r w:rsidRPr="00947FB3">
        <w:t>Funding for the meeting may be provided from sources other than the regular programme of the IPPC (FAO). As recommended by ICPM-2</w:t>
      </w:r>
      <w:r>
        <w:t> </w:t>
      </w:r>
      <w:r w:rsidRPr="00947FB3">
        <w:t xml:space="preserve">(1999), whenever possible, those participating in standard setting activities voluntarily fund their travel and subsistence to attend meetings. Participants may </w:t>
      </w:r>
      <w:r w:rsidRPr="005125C2">
        <w:t xml:space="preserve">request financial assistance, with the understanding that resources are limited and the priority for financial assistance is given to developing country participants. Please refer to the </w:t>
      </w:r>
      <w:r w:rsidRPr="005125C2">
        <w:rPr>
          <w:i/>
          <w:iCs/>
          <w:szCs w:val="22"/>
        </w:rPr>
        <w:t>Criteria used for prioritizing participants to receive travel assistance to attend meetings organized by the IPPC Secretariat</w:t>
      </w:r>
      <w:r w:rsidRPr="005125C2">
        <w:t xml:space="preserve"> posted on the International Phytosanitary Portal (IPP) (see </w:t>
      </w:r>
      <w:hyperlink r:id="rId17" w:history="1">
        <w:r w:rsidRPr="005125C2">
          <w:rPr>
            <w:rStyle w:val="Hyperlink"/>
          </w:rPr>
          <w:t>https://www.ippc.int/en/core-activities/</w:t>
        </w:r>
      </w:hyperlink>
      <w:r w:rsidRPr="005125C2">
        <w:t>).</w:t>
      </w:r>
    </w:p>
    <w:p w14:paraId="4192148C" w14:textId="77777777" w:rsidR="00195FBB" w:rsidRDefault="00195FBB" w:rsidP="00195FBB">
      <w:pPr>
        <w:pStyle w:val="IPPSubheadSpace"/>
      </w:pPr>
      <w:r>
        <w:t>Collaborator</w:t>
      </w:r>
    </w:p>
    <w:p w14:paraId="1C2B0931" w14:textId="77777777" w:rsidR="00195FBB" w:rsidRDefault="00195FBB" w:rsidP="00195FBB">
      <w:pPr>
        <w:pStyle w:val="IPPNormal"/>
        <w:numPr>
          <w:ilvl w:val="0"/>
          <w:numId w:val="25"/>
        </w:numPr>
        <w:ind w:left="0" w:hanging="567"/>
      </w:pPr>
      <w:r w:rsidRPr="00974A70">
        <w:t>To be determined</w:t>
      </w:r>
      <w:r>
        <w:t>.</w:t>
      </w:r>
    </w:p>
    <w:p w14:paraId="3A0C5778" w14:textId="77777777" w:rsidR="00195FBB" w:rsidRDefault="00195FBB" w:rsidP="00195FBB">
      <w:pPr>
        <w:pStyle w:val="IPPSubheadSpace"/>
      </w:pPr>
      <w:r>
        <w:t>Steward</w:t>
      </w:r>
    </w:p>
    <w:p w14:paraId="0684790E" w14:textId="77777777" w:rsidR="00195FBB" w:rsidRPr="0029569B" w:rsidRDefault="00195FBB" w:rsidP="00195FBB">
      <w:pPr>
        <w:pStyle w:val="IPPNormal"/>
        <w:numPr>
          <w:ilvl w:val="0"/>
          <w:numId w:val="25"/>
        </w:numPr>
        <w:ind w:left="0" w:hanging="567"/>
      </w:pPr>
      <w:r w:rsidRPr="003C40C2">
        <w:t xml:space="preserve">Please refer to the </w:t>
      </w:r>
      <w:r w:rsidRPr="00B60DDB">
        <w:rPr>
          <w:i/>
          <w:iCs/>
        </w:rPr>
        <w:t>List of topics for IPPC standards</w:t>
      </w:r>
      <w:r>
        <w:t xml:space="preserve"> posted on the International Phytosanitary Portal (IPP) (</w:t>
      </w:r>
      <w:r>
        <w:rPr>
          <w:szCs w:val="22"/>
        </w:rPr>
        <w:t xml:space="preserve">see </w:t>
      </w:r>
      <w:r w:rsidRPr="00D87178">
        <w:t>https://www.ippc.int/core-activities/standards-setting/list-topics-ippc-standards</w:t>
      </w:r>
      <w:r>
        <w:rPr>
          <w:szCs w:val="22"/>
        </w:rPr>
        <w:t>)</w:t>
      </w:r>
      <w:r w:rsidRPr="003C40C2">
        <w:t>.</w:t>
      </w:r>
    </w:p>
    <w:p w14:paraId="2324B520" w14:textId="77777777" w:rsidR="00195FBB" w:rsidRDefault="00195FBB" w:rsidP="00195FBB">
      <w:pPr>
        <w:pStyle w:val="IPPSubheadSpace"/>
      </w:pPr>
      <w:r w:rsidRPr="00EE4B6B">
        <w:t>Expertise</w:t>
      </w:r>
      <w:r>
        <w:t xml:space="preserve"> </w:t>
      </w:r>
    </w:p>
    <w:p w14:paraId="237F80AF" w14:textId="115D4032" w:rsidR="0042364F" w:rsidRDefault="0042364F" w:rsidP="00195FBB">
      <w:pPr>
        <w:pStyle w:val="IPPNormal"/>
        <w:numPr>
          <w:ilvl w:val="0"/>
          <w:numId w:val="25"/>
        </w:numPr>
        <w:ind w:left="0" w:hanging="567"/>
      </w:pPr>
      <w:r w:rsidRPr="0042364F">
        <w:t>Pest risk analysis, developing lists of hosts of fruit flies for various reasons (e.g. PRA, surveillance, inspection, standards development).</w:t>
      </w:r>
    </w:p>
    <w:p w14:paraId="7A4CFDB2" w14:textId="77777777" w:rsidR="00195FBB" w:rsidRDefault="00195FBB" w:rsidP="00195FBB">
      <w:pPr>
        <w:pStyle w:val="IPPSubheadSpace"/>
      </w:pPr>
      <w:r w:rsidRPr="00970B6C">
        <w:t>Participants</w:t>
      </w:r>
    </w:p>
    <w:p w14:paraId="79337BCF" w14:textId="27A0E12B" w:rsidR="00195FBB" w:rsidRDefault="00FD75A8" w:rsidP="00195FBB">
      <w:pPr>
        <w:pStyle w:val="IPPNormal"/>
        <w:numPr>
          <w:ilvl w:val="0"/>
          <w:numId w:val="25"/>
        </w:numPr>
        <w:ind w:left="0" w:hanging="567"/>
      </w:pPr>
      <w:r w:rsidRPr="0042364F">
        <w:t>Six</w:t>
      </w:r>
      <w:r w:rsidR="00195FBB" w:rsidRPr="0042364F">
        <w:t xml:space="preserve"> to </w:t>
      </w:r>
      <w:r w:rsidRPr="0042364F">
        <w:t>eight</w:t>
      </w:r>
      <w:r w:rsidR="00195FBB" w:rsidRPr="0042364F">
        <w:t xml:space="preserve"> experts with expertise in pest risk analysis and general entomology, especially in taxonomic groups of Diptera: Tephritidae, with experience in developing lists of hosts of fruit flies for various </w:t>
      </w:r>
      <w:r w:rsidRPr="0042364F">
        <w:t>tasks</w:t>
      </w:r>
      <w:r w:rsidR="00195FBB" w:rsidRPr="0042364F">
        <w:t xml:space="preserve"> (e.g. PRA, surveillance, inspection, </w:t>
      </w:r>
      <w:r w:rsidR="0055043C" w:rsidRPr="0042364F">
        <w:t xml:space="preserve">national/regional/international </w:t>
      </w:r>
      <w:r w:rsidR="00195FBB" w:rsidRPr="0042364F">
        <w:t xml:space="preserve">standards </w:t>
      </w:r>
      <w:r w:rsidR="0055043C" w:rsidRPr="0042364F">
        <w:t xml:space="preserve">on host status </w:t>
      </w:r>
      <w:r w:rsidR="00195FBB" w:rsidRPr="0042364F">
        <w:t>development</w:t>
      </w:r>
      <w:r w:rsidR="0055043C" w:rsidRPr="0042364F">
        <w:t xml:space="preserve"> and implementation</w:t>
      </w:r>
      <w:r w:rsidR="00195FBB" w:rsidRPr="0042364F">
        <w:t>, etc.).</w:t>
      </w:r>
    </w:p>
    <w:p w14:paraId="4721A2B8" w14:textId="77777777" w:rsidR="00195FBB" w:rsidRPr="00C92A7A" w:rsidRDefault="00195FBB" w:rsidP="00195FBB">
      <w:pPr>
        <w:pStyle w:val="IPPSubheadSpace"/>
        <w:rPr>
          <w:color w:val="0070C0"/>
        </w:rPr>
      </w:pPr>
      <w:r>
        <w:t>References</w:t>
      </w:r>
    </w:p>
    <w:p w14:paraId="706C43AF" w14:textId="77777777" w:rsidR="00195FBB" w:rsidRDefault="00195FBB" w:rsidP="00195FBB">
      <w:pPr>
        <w:pStyle w:val="IPPNormal"/>
        <w:numPr>
          <w:ilvl w:val="0"/>
          <w:numId w:val="25"/>
        </w:numPr>
        <w:ind w:left="0" w:hanging="567"/>
      </w:pPr>
      <w:r>
        <w:t>The IPPC, relevant ISPMs and other national, regional and international standards and agreements as may be applicable to the tasks, and discussion papers submitted in relation to this work.</w:t>
      </w:r>
    </w:p>
    <w:p w14:paraId="046D7E6C" w14:textId="77777777" w:rsidR="00195FBB" w:rsidRPr="00351420" w:rsidRDefault="00195FBB" w:rsidP="00082335">
      <w:pPr>
        <w:tabs>
          <w:tab w:val="left" w:pos="720"/>
        </w:tabs>
        <w:ind w:left="720" w:hanging="360"/>
        <w:jc w:val="left"/>
        <w:rPr>
          <w:rFonts w:cs="Times-Bold"/>
          <w:bCs/>
          <w:szCs w:val="22"/>
        </w:rPr>
      </w:pPr>
      <w:r w:rsidRPr="00351420">
        <w:rPr>
          <w:rFonts w:cs="Times-Bold"/>
          <w:bCs/>
          <w:szCs w:val="22"/>
        </w:rPr>
        <w:t>ISPM 2. 2007. Framework for pest risk analysis. Rome, IPPC, FAO.</w:t>
      </w:r>
    </w:p>
    <w:p w14:paraId="7797B3CC" w14:textId="77777777" w:rsidR="00195FBB" w:rsidRPr="00351420" w:rsidRDefault="00195FBB" w:rsidP="00082335">
      <w:pPr>
        <w:tabs>
          <w:tab w:val="left" w:pos="720"/>
        </w:tabs>
        <w:ind w:left="720" w:hanging="360"/>
        <w:jc w:val="left"/>
        <w:rPr>
          <w:rFonts w:cs="Times-Bold"/>
          <w:bCs/>
          <w:szCs w:val="22"/>
        </w:rPr>
      </w:pPr>
      <w:r w:rsidRPr="00351420">
        <w:rPr>
          <w:rFonts w:cs="Times-Bold"/>
          <w:bCs/>
          <w:szCs w:val="22"/>
        </w:rPr>
        <w:t>ISPM 8. 1998. Determination of pest status in an area. Rome, IPPC, FAO.</w:t>
      </w:r>
    </w:p>
    <w:p w14:paraId="11D98CA7" w14:textId="77777777" w:rsidR="00195FBB" w:rsidRPr="00351420" w:rsidRDefault="00195FBB" w:rsidP="00082335">
      <w:pPr>
        <w:tabs>
          <w:tab w:val="left" w:pos="720"/>
        </w:tabs>
        <w:ind w:left="720" w:hanging="360"/>
        <w:jc w:val="left"/>
        <w:rPr>
          <w:rFonts w:cs="Times-Bold"/>
          <w:bCs/>
          <w:szCs w:val="22"/>
        </w:rPr>
      </w:pPr>
      <w:r w:rsidRPr="00351420">
        <w:rPr>
          <w:rFonts w:cs="Times-Bold"/>
          <w:bCs/>
          <w:szCs w:val="22"/>
        </w:rPr>
        <w:t>ISPM 11. 2004. Pest risk analysis for quarantine pests including analysis of environmental risks and living modified organisms.  Rome, IPPC, FAO.</w:t>
      </w:r>
    </w:p>
    <w:p w14:paraId="61F599BD" w14:textId="77777777" w:rsidR="00195FBB" w:rsidRPr="00351420" w:rsidRDefault="00195FBB" w:rsidP="00082335">
      <w:pPr>
        <w:tabs>
          <w:tab w:val="left" w:pos="720"/>
        </w:tabs>
        <w:ind w:left="720" w:hanging="360"/>
        <w:jc w:val="left"/>
        <w:rPr>
          <w:rFonts w:cs="Times-Bold"/>
          <w:bCs/>
          <w:szCs w:val="22"/>
        </w:rPr>
      </w:pPr>
      <w:r w:rsidRPr="00351420">
        <w:rPr>
          <w:rFonts w:cs="Times-Bold"/>
          <w:bCs/>
          <w:szCs w:val="22"/>
        </w:rPr>
        <w:t>ISPM 17. 2002. Pest Reporting. Rome, IPPC, FAO.</w:t>
      </w:r>
    </w:p>
    <w:p w14:paraId="2617D4E8" w14:textId="77777777" w:rsidR="00195FBB" w:rsidRPr="00351420" w:rsidRDefault="00195FBB" w:rsidP="00082335">
      <w:pPr>
        <w:ind w:left="720" w:hanging="360"/>
        <w:jc w:val="left"/>
        <w:rPr>
          <w:rFonts w:cs="Times-Bold"/>
          <w:bCs/>
          <w:szCs w:val="22"/>
        </w:rPr>
      </w:pPr>
      <w:r w:rsidRPr="00351420">
        <w:rPr>
          <w:rFonts w:cs="Times-Bold"/>
          <w:bCs/>
          <w:szCs w:val="22"/>
        </w:rPr>
        <w:t xml:space="preserve">ISPM 37. 2016. Determination of host status of fruit to fruit flies (Tephritidae) </w:t>
      </w:r>
    </w:p>
    <w:p w14:paraId="7B4F9BAC" w14:textId="77777777" w:rsidR="00195FBB" w:rsidRPr="00351420" w:rsidRDefault="00195FBB" w:rsidP="00082335">
      <w:pPr>
        <w:tabs>
          <w:tab w:val="left" w:pos="720"/>
        </w:tabs>
        <w:ind w:left="720" w:hanging="360"/>
        <w:jc w:val="left"/>
        <w:rPr>
          <w:rFonts w:cs="Times-Bold"/>
          <w:bCs/>
          <w:szCs w:val="22"/>
        </w:rPr>
      </w:pPr>
      <w:r w:rsidRPr="00351420">
        <w:rPr>
          <w:rFonts w:cs="Times-Bold"/>
          <w:bCs/>
          <w:szCs w:val="22"/>
        </w:rPr>
        <w:lastRenderedPageBreak/>
        <w:t>RSPM 30. 2008. Guidelines for the determination and designation of host status of a fruit or vegetable for fruit flies (Diptera: Tephritidae). Ottawa, NAPPO.</w:t>
      </w:r>
    </w:p>
    <w:p w14:paraId="38141C0E" w14:textId="77777777" w:rsidR="00195FBB" w:rsidRPr="00351420" w:rsidRDefault="00195FBB" w:rsidP="00082335">
      <w:pPr>
        <w:tabs>
          <w:tab w:val="left" w:pos="720"/>
        </w:tabs>
        <w:ind w:left="720" w:hanging="360"/>
        <w:rPr>
          <w:rFonts w:cs="Times-Bold"/>
          <w:bCs/>
          <w:szCs w:val="22"/>
        </w:rPr>
      </w:pPr>
      <w:r w:rsidRPr="00351420">
        <w:rPr>
          <w:rFonts w:cs="Times-Bold"/>
          <w:bCs/>
          <w:szCs w:val="22"/>
        </w:rPr>
        <w:t xml:space="preserve">Aluja, M., and R. L. Mangan. 2008. Fruit fly (Diptera: Tephritidae) host status determination: critical conceptual, methodological, and regulatory considerations. Ann. Rev. Entomol. 53: 473–502. </w:t>
      </w:r>
    </w:p>
    <w:p w14:paraId="7685279D" w14:textId="69AEA782" w:rsidR="00195FBB" w:rsidRPr="00351420" w:rsidRDefault="00195FBB" w:rsidP="00082335">
      <w:pPr>
        <w:tabs>
          <w:tab w:val="left" w:pos="720"/>
        </w:tabs>
        <w:ind w:left="720" w:hanging="360"/>
        <w:rPr>
          <w:rFonts w:cs="Times-Bold"/>
          <w:bCs/>
          <w:szCs w:val="22"/>
        </w:rPr>
      </w:pPr>
      <w:r w:rsidRPr="00351420">
        <w:rPr>
          <w:rFonts w:cs="Times-Bold"/>
          <w:bCs/>
          <w:szCs w:val="22"/>
        </w:rPr>
        <w:t>Cowley, Baker and Harte. 1992.  Definition and determination of host status for multivoltine fruit fly (Diptera: Tephritidae) species.  Journal of Economic Entomology.  85(2): 312-317.</w:t>
      </w:r>
    </w:p>
    <w:p w14:paraId="6D4DACC4" w14:textId="28C57475" w:rsidR="00195FBB" w:rsidRPr="00351420" w:rsidRDefault="00195FBB" w:rsidP="00082335">
      <w:pPr>
        <w:tabs>
          <w:tab w:val="left" w:pos="720"/>
        </w:tabs>
        <w:ind w:left="720" w:hanging="360"/>
        <w:jc w:val="left"/>
        <w:rPr>
          <w:rFonts w:cs="Times-Bold"/>
          <w:bCs/>
          <w:szCs w:val="22"/>
        </w:rPr>
      </w:pPr>
      <w:r w:rsidRPr="00351420">
        <w:rPr>
          <w:rFonts w:cs="Times-Bold"/>
          <w:bCs/>
          <w:szCs w:val="22"/>
        </w:rPr>
        <w:t xml:space="preserve">USDA APHIS PPQ.  </w:t>
      </w:r>
      <w:r w:rsidR="0055043C">
        <w:rPr>
          <w:rFonts w:cs="Times-Bold"/>
          <w:bCs/>
          <w:szCs w:val="22"/>
        </w:rPr>
        <w:t xml:space="preserve">2012. </w:t>
      </w:r>
      <w:r w:rsidRPr="00351420">
        <w:rPr>
          <w:rFonts w:cs="Times-Bold"/>
          <w:bCs/>
          <w:szCs w:val="22"/>
        </w:rPr>
        <w:t>Guidelines for plant pest risk assessment of imported fruit and vegetable commodities. Supplement 3. Host status.</w:t>
      </w:r>
    </w:p>
    <w:p w14:paraId="57E9C96C" w14:textId="77777777" w:rsidR="00195FBB" w:rsidRPr="00351420" w:rsidRDefault="00195FBB" w:rsidP="00195FBB">
      <w:pPr>
        <w:pStyle w:val="IPPNormal"/>
        <w:rPr>
          <w:szCs w:val="22"/>
        </w:rPr>
      </w:pPr>
    </w:p>
    <w:p w14:paraId="3EE11591" w14:textId="77777777" w:rsidR="00195FBB" w:rsidRPr="00EE4B6B" w:rsidRDefault="00195FBB" w:rsidP="00195FBB">
      <w:pPr>
        <w:pStyle w:val="IPPSubheadSpace"/>
      </w:pPr>
      <w:r w:rsidRPr="00EE4B6B">
        <w:t>Discussion papers</w:t>
      </w:r>
    </w:p>
    <w:p w14:paraId="5C0533A4" w14:textId="77777777" w:rsidR="00195FBB" w:rsidRPr="0029569B" w:rsidRDefault="00195FBB" w:rsidP="00195FBB">
      <w:pPr>
        <w:pStyle w:val="IPPNormal"/>
        <w:numPr>
          <w:ilvl w:val="0"/>
          <w:numId w:val="25"/>
        </w:numPr>
        <w:ind w:left="0" w:hanging="567"/>
      </w:pPr>
      <w:r w:rsidRPr="00947FB3">
        <w:rPr>
          <w:lang w:eastAsia="ja-JP"/>
        </w:rPr>
        <w:t xml:space="preserve">Participants and interested parties are encouraged to submit </w:t>
      </w:r>
      <w:r w:rsidRPr="005C493C">
        <w:t>discussion</w:t>
      </w:r>
      <w:r w:rsidRPr="00947FB3">
        <w:rPr>
          <w:lang w:eastAsia="ja-JP"/>
        </w:rPr>
        <w:t xml:space="preserve"> papers to the IPPC Secretariat (</w:t>
      </w:r>
      <w:hyperlink r:id="rId18" w:history="1">
        <w:r w:rsidRPr="00947FB3">
          <w:rPr>
            <w:rStyle w:val="Hyperlink"/>
            <w:lang w:eastAsia="ja-JP"/>
          </w:rPr>
          <w:t>ippc@fao.org</w:t>
        </w:r>
      </w:hyperlink>
      <w:r w:rsidRPr="00947FB3">
        <w:rPr>
          <w:lang w:eastAsia="ja-JP"/>
        </w:rPr>
        <w:t xml:space="preserve">) for consideration by the </w:t>
      </w:r>
      <w:r>
        <w:rPr>
          <w:lang w:val="en-AU" w:eastAsia="ja-JP"/>
        </w:rPr>
        <w:t>EDG</w:t>
      </w:r>
      <w:r w:rsidRPr="00947FB3">
        <w:t>.</w:t>
      </w:r>
    </w:p>
    <w:p w14:paraId="4E9AFDDC" w14:textId="77777777" w:rsidR="00195FBB" w:rsidRPr="00854C47" w:rsidRDefault="00195FBB" w:rsidP="00195FBB">
      <w:pPr>
        <w:pStyle w:val="IPPNormal"/>
      </w:pPr>
    </w:p>
    <w:p w14:paraId="5A5D7E04" w14:textId="77777777" w:rsidR="00100EFA" w:rsidRDefault="00100EFA" w:rsidP="000B32EC">
      <w:pPr>
        <w:tabs>
          <w:tab w:val="left" w:pos="2640"/>
          <w:tab w:val="left" w:pos="5103"/>
          <w:tab w:val="left" w:pos="5520"/>
        </w:tabs>
      </w:pPr>
    </w:p>
    <w:sectPr w:rsidR="00100EFA" w:rsidSect="00402675">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42CCF7DB"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402675">
      <w:rPr>
        <w:noProof/>
      </w:rPr>
      <w:t>8</w:t>
    </w:r>
    <w:r>
      <w:fldChar w:fldCharType="end"/>
    </w:r>
    <w:r w:rsidRPr="00C6380D">
      <w:t xml:space="preserve"> of </w:t>
    </w:r>
    <w:r w:rsidR="0055043C">
      <w:rPr>
        <w:noProof/>
      </w:rPr>
      <w:fldChar w:fldCharType="begin"/>
    </w:r>
    <w:r w:rsidR="0055043C">
      <w:rPr>
        <w:noProof/>
      </w:rPr>
      <w:instrText xml:space="preserve"> NUMPAGES  </w:instrText>
    </w:r>
    <w:r w:rsidR="0055043C">
      <w:rPr>
        <w:noProof/>
      </w:rPr>
      <w:fldChar w:fldCharType="separate"/>
    </w:r>
    <w:r w:rsidR="00402675">
      <w:rPr>
        <w:noProof/>
      </w:rPr>
      <w:t>8</w:t>
    </w:r>
    <w:r w:rsidR="0055043C">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CF68" w14:textId="2803CCF3" w:rsidR="00402675" w:rsidRDefault="00402675" w:rsidP="00402675">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7</w:t>
    </w:r>
    <w:r>
      <w:fldChar w:fldCharType="end"/>
    </w:r>
    <w:r w:rsidRPr="00C6380D">
      <w:t xml:space="preserve"> of </w:t>
    </w:r>
    <w:r>
      <w:fldChar w:fldCharType="begin"/>
    </w:r>
    <w:r>
      <w:instrText xml:space="preserve"> NUMPAGES  </w:instrText>
    </w:r>
    <w:r>
      <w:fldChar w:fldCharType="separate"/>
    </w:r>
    <w:r>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DDE4" w14:textId="3203AB77" w:rsidR="00402675" w:rsidRDefault="00402675" w:rsidP="00402675">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41A6" w14:textId="7A7DE6DE" w:rsidR="00402675" w:rsidRPr="00E77B4C" w:rsidRDefault="00402675" w:rsidP="00402675">
    <w:pPr>
      <w:pStyle w:val="IPPHeader"/>
      <w:pBdr>
        <w:bottom w:val="single" w:sz="4" w:space="6" w:color="auto"/>
      </w:pBdr>
    </w:pPr>
    <w:r>
      <w:rPr>
        <w:noProof/>
      </w:rPr>
      <w:t>2018-0</w:t>
    </w:r>
    <w:r>
      <w:rPr>
        <w:noProof/>
      </w:rPr>
      <w:t>11</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6B2B" w14:textId="2C3896A4" w:rsidR="00402675" w:rsidRPr="001B3508" w:rsidRDefault="00402675" w:rsidP="00402675">
    <w:pPr>
      <w:pStyle w:val="IPPHeader"/>
    </w:pPr>
    <w:r>
      <w:rPr>
        <w:noProof/>
      </w:rPr>
      <w:t>2018 Call for Topics: Stan</w:t>
    </w:r>
    <w:r>
      <w:rPr>
        <w:noProof/>
      </w:rPr>
      <w:t>dards and Implementation</w:t>
    </w:r>
    <w:r>
      <w:rPr>
        <w:noProof/>
      </w:rPr>
      <w:tab/>
      <w:t>2018-011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35DE" w14:textId="0B13E2C8" w:rsidR="00402675" w:rsidRPr="009F3834" w:rsidRDefault="00402675" w:rsidP="00402675">
    <w:pPr>
      <w:pStyle w:val="IPPHeader"/>
      <w:ind w:left="1134"/>
    </w:pPr>
    <w:r>
      <w:rPr>
        <w:noProof/>
      </w:rPr>
      <w:drawing>
        <wp:anchor distT="0" distB="0" distL="114300" distR="114300" simplePos="0" relativeHeight="251662336" behindDoc="0" locked="0" layoutInCell="1" allowOverlap="0" wp14:anchorId="2020DA66" wp14:editId="734E270C">
          <wp:simplePos x="0" y="0"/>
          <wp:positionH relativeFrom="page">
            <wp:posOffset>-28575</wp:posOffset>
          </wp:positionH>
          <wp:positionV relativeFrom="paragraph">
            <wp:posOffset>-530225</wp:posOffset>
          </wp:positionV>
          <wp:extent cx="7629525" cy="463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7674C34" wp14:editId="44AD67DD">
          <wp:simplePos x="0" y="0"/>
          <wp:positionH relativeFrom="column">
            <wp:posOffset>-12700</wp:posOffset>
          </wp:positionH>
          <wp:positionV relativeFrom="paragraph">
            <wp:posOffset>3810</wp:posOffset>
          </wp:positionV>
          <wp:extent cx="632460" cy="321310"/>
          <wp:effectExtent l="0" t="0" r="0" b="254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11</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52521E"/>
    <w:multiLevelType w:val="hybridMultilevel"/>
    <w:tmpl w:val="4014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3795A"/>
    <w:multiLevelType w:val="hybridMultilevel"/>
    <w:tmpl w:val="75AE38FA"/>
    <w:lvl w:ilvl="0" w:tplc="6C3249DA">
      <w:start w:val="1"/>
      <w:numFmt w:val="decimal"/>
      <w:lvlText w:val="[%1]"/>
      <w:lvlJc w:val="left"/>
      <w:pPr>
        <w:ind w:left="900" w:hanging="360"/>
      </w:pPr>
      <w:rPr>
        <w:rFonts w:ascii="Arial" w:hAnsi="Arial" w:cs="Arial" w:hint="default"/>
        <w:b w:val="0"/>
        <w:i/>
        <w:color w:val="0000FF"/>
        <w:sz w:val="16"/>
      </w:rPr>
    </w:lvl>
    <w:lvl w:ilvl="1" w:tplc="432AF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F154E0"/>
    <w:multiLevelType w:val="hybridMultilevel"/>
    <w:tmpl w:val="DD3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8156E"/>
    <w:multiLevelType w:val="hybridMultilevel"/>
    <w:tmpl w:val="81E8438E"/>
    <w:lvl w:ilvl="0" w:tplc="CDE2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0" w15:restartNumberingAfterBreak="0">
    <w:nsid w:val="5A20523B"/>
    <w:multiLevelType w:val="hybridMultilevel"/>
    <w:tmpl w:val="8BB06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ED0464"/>
    <w:multiLevelType w:val="hybridMultilevel"/>
    <w:tmpl w:val="17E40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23"/>
  </w:num>
  <w:num w:numId="4">
    <w:abstractNumId w:val="13"/>
  </w:num>
  <w:num w:numId="5">
    <w:abstractNumId w:val="21"/>
  </w:num>
  <w:num w:numId="6">
    <w:abstractNumId w:val="22"/>
  </w:num>
  <w:num w:numId="7">
    <w:abstractNumId w:val="12"/>
  </w:num>
  <w:num w:numId="8">
    <w:abstractNumId w:val="16"/>
  </w:num>
  <w:num w:numId="9">
    <w:abstractNumId w:val="24"/>
  </w:num>
  <w:num w:numId="10">
    <w:abstractNumId w:val="5"/>
  </w:num>
  <w:num w:numId="11">
    <w:abstractNumId w:val="15"/>
  </w:num>
  <w:num w:numId="12">
    <w:abstractNumId w:val="18"/>
  </w:num>
  <w:num w:numId="13">
    <w:abstractNumId w:val="8"/>
  </w:num>
  <w:num w:numId="14">
    <w:abstractNumId w:val="11"/>
  </w:num>
  <w:num w:numId="15">
    <w:abstractNumId w:val="7"/>
  </w:num>
  <w:num w:numId="16">
    <w:abstractNumId w:val="1"/>
  </w:num>
  <w:num w:numId="17">
    <w:abstractNumId w:val="10"/>
  </w:num>
  <w:num w:numId="18">
    <w:abstractNumId w:val="19"/>
  </w:num>
  <w:num w:numId="19">
    <w:abstractNumId w:val="25"/>
  </w:num>
  <w:num w:numId="20">
    <w:abstractNumId w:val="4"/>
  </w:num>
  <w:num w:numId="21">
    <w:abstractNumId w:val="17"/>
  </w:num>
  <w:num w:numId="22">
    <w:abstractNumId w:val="20"/>
  </w:num>
  <w:num w:numId="23">
    <w:abstractNumId w:val="14"/>
  </w:num>
  <w:num w:numId="24">
    <w:abstractNumId w:val="0"/>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Formatting/>
  <w:defaultTabStop w:val="720"/>
  <w:evenAndOddHeaders/>
  <w:characterSpacingControl w:val="doNotCompress"/>
  <w:hdrShapeDefaults>
    <o:shapedefaults v:ext="edit" spidmax="716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3A96"/>
    <w:rsid w:val="00055C04"/>
    <w:rsid w:val="00074A88"/>
    <w:rsid w:val="00082335"/>
    <w:rsid w:val="00084F7B"/>
    <w:rsid w:val="000B31FB"/>
    <w:rsid w:val="000B32EC"/>
    <w:rsid w:val="000E1489"/>
    <w:rsid w:val="00100203"/>
    <w:rsid w:val="00100EFA"/>
    <w:rsid w:val="00106181"/>
    <w:rsid w:val="00160B95"/>
    <w:rsid w:val="00167857"/>
    <w:rsid w:val="00176156"/>
    <w:rsid w:val="00183D3D"/>
    <w:rsid w:val="00195FBB"/>
    <w:rsid w:val="001A76A6"/>
    <w:rsid w:val="001C1544"/>
    <w:rsid w:val="001D495C"/>
    <w:rsid w:val="001E7364"/>
    <w:rsid w:val="001F7F84"/>
    <w:rsid w:val="00204839"/>
    <w:rsid w:val="00225898"/>
    <w:rsid w:val="002325BE"/>
    <w:rsid w:val="00237E51"/>
    <w:rsid w:val="00257DCF"/>
    <w:rsid w:val="002613D4"/>
    <w:rsid w:val="00276B62"/>
    <w:rsid w:val="00282809"/>
    <w:rsid w:val="002A5F18"/>
    <w:rsid w:val="002C4D4D"/>
    <w:rsid w:val="002E71B7"/>
    <w:rsid w:val="002F27D7"/>
    <w:rsid w:val="002F705C"/>
    <w:rsid w:val="00310CDB"/>
    <w:rsid w:val="00312C2A"/>
    <w:rsid w:val="00315FB8"/>
    <w:rsid w:val="00377343"/>
    <w:rsid w:val="003D6110"/>
    <w:rsid w:val="00402675"/>
    <w:rsid w:val="0042364F"/>
    <w:rsid w:val="00427923"/>
    <w:rsid w:val="004377E7"/>
    <w:rsid w:val="004504A9"/>
    <w:rsid w:val="004561AC"/>
    <w:rsid w:val="0046084A"/>
    <w:rsid w:val="004613BB"/>
    <w:rsid w:val="00470E1E"/>
    <w:rsid w:val="00471C87"/>
    <w:rsid w:val="004778E2"/>
    <w:rsid w:val="004977B4"/>
    <w:rsid w:val="004A373D"/>
    <w:rsid w:val="004C5228"/>
    <w:rsid w:val="004C6850"/>
    <w:rsid w:val="005205CE"/>
    <w:rsid w:val="005438FB"/>
    <w:rsid w:val="00544322"/>
    <w:rsid w:val="0055043C"/>
    <w:rsid w:val="00550BD8"/>
    <w:rsid w:val="00552C4F"/>
    <w:rsid w:val="00563FA2"/>
    <w:rsid w:val="005850BD"/>
    <w:rsid w:val="005C1BD0"/>
    <w:rsid w:val="005D6636"/>
    <w:rsid w:val="005E3776"/>
    <w:rsid w:val="005E6F6B"/>
    <w:rsid w:val="005F17DA"/>
    <w:rsid w:val="00622F39"/>
    <w:rsid w:val="00641DD6"/>
    <w:rsid w:val="0067537B"/>
    <w:rsid w:val="006B50AE"/>
    <w:rsid w:val="007075F6"/>
    <w:rsid w:val="00714FB0"/>
    <w:rsid w:val="00724471"/>
    <w:rsid w:val="00734332"/>
    <w:rsid w:val="0077292D"/>
    <w:rsid w:val="007B3114"/>
    <w:rsid w:val="007E5FE0"/>
    <w:rsid w:val="00811B8D"/>
    <w:rsid w:val="008141B0"/>
    <w:rsid w:val="008218E9"/>
    <w:rsid w:val="00842047"/>
    <w:rsid w:val="00850F9B"/>
    <w:rsid w:val="00873E1C"/>
    <w:rsid w:val="00875202"/>
    <w:rsid w:val="008C3E20"/>
    <w:rsid w:val="008E1E55"/>
    <w:rsid w:val="008F38A9"/>
    <w:rsid w:val="00914A54"/>
    <w:rsid w:val="0092570A"/>
    <w:rsid w:val="0096151C"/>
    <w:rsid w:val="009827A1"/>
    <w:rsid w:val="009A3A5A"/>
    <w:rsid w:val="009B3464"/>
    <w:rsid w:val="009E1649"/>
    <w:rsid w:val="009F1B23"/>
    <w:rsid w:val="00A0350E"/>
    <w:rsid w:val="00A22F56"/>
    <w:rsid w:val="00A544F0"/>
    <w:rsid w:val="00A60124"/>
    <w:rsid w:val="00A63775"/>
    <w:rsid w:val="00A86541"/>
    <w:rsid w:val="00AB4F0E"/>
    <w:rsid w:val="00B045D6"/>
    <w:rsid w:val="00B57EA1"/>
    <w:rsid w:val="00B733D5"/>
    <w:rsid w:val="00B931A7"/>
    <w:rsid w:val="00B965EB"/>
    <w:rsid w:val="00BD2002"/>
    <w:rsid w:val="00BE6D70"/>
    <w:rsid w:val="00C15E8C"/>
    <w:rsid w:val="00C256EC"/>
    <w:rsid w:val="00C30FAE"/>
    <w:rsid w:val="00C5262A"/>
    <w:rsid w:val="00C82B35"/>
    <w:rsid w:val="00C83F07"/>
    <w:rsid w:val="00C946C8"/>
    <w:rsid w:val="00CA152E"/>
    <w:rsid w:val="00CA63CA"/>
    <w:rsid w:val="00CB0629"/>
    <w:rsid w:val="00CC70C3"/>
    <w:rsid w:val="00D10BC4"/>
    <w:rsid w:val="00D46538"/>
    <w:rsid w:val="00D676E6"/>
    <w:rsid w:val="00D768AF"/>
    <w:rsid w:val="00D86B2E"/>
    <w:rsid w:val="00DA3D93"/>
    <w:rsid w:val="00DB23B5"/>
    <w:rsid w:val="00DC62EE"/>
    <w:rsid w:val="00E110A0"/>
    <w:rsid w:val="00E322D6"/>
    <w:rsid w:val="00E407A1"/>
    <w:rsid w:val="00E41772"/>
    <w:rsid w:val="00E470F7"/>
    <w:rsid w:val="00E547A2"/>
    <w:rsid w:val="00E57BC8"/>
    <w:rsid w:val="00E72A55"/>
    <w:rsid w:val="00E86637"/>
    <w:rsid w:val="00E9219C"/>
    <w:rsid w:val="00E95202"/>
    <w:rsid w:val="00E96D9B"/>
    <w:rsid w:val="00EA3FC3"/>
    <w:rsid w:val="00EB47FD"/>
    <w:rsid w:val="00EC1D32"/>
    <w:rsid w:val="00EC5D1B"/>
    <w:rsid w:val="00ED78B4"/>
    <w:rsid w:val="00EE39DD"/>
    <w:rsid w:val="00EF3D76"/>
    <w:rsid w:val="00F1458C"/>
    <w:rsid w:val="00F21E55"/>
    <w:rsid w:val="00F33407"/>
    <w:rsid w:val="00F37128"/>
    <w:rsid w:val="00F41C11"/>
    <w:rsid w:val="00F50D5F"/>
    <w:rsid w:val="00F56C25"/>
    <w:rsid w:val="00F6085C"/>
    <w:rsid w:val="00F91A69"/>
    <w:rsid w:val="00FA153A"/>
    <w:rsid w:val="00FB32A9"/>
    <w:rsid w:val="00FC1907"/>
    <w:rsid w:val="00FD01BE"/>
    <w:rsid w:val="00FD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3"/>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customStyle="1" w:styleId="IPPNumberedList">
    <w:name w:val="IPP NumberedList"/>
    <w:basedOn w:val="Normal"/>
    <w:qFormat/>
    <w:rsid w:val="00195FBB"/>
    <w:pPr>
      <w:numPr>
        <w:numId w:val="24"/>
      </w:numPr>
      <w:spacing w:after="60"/>
    </w:pPr>
    <w:rPr>
      <w:rFonts w:eastAsia="Times"/>
      <w:lang w:val="en-US"/>
    </w:rPr>
  </w:style>
  <w:style w:type="paragraph" w:customStyle="1" w:styleId="IPPNumberedListLast">
    <w:name w:val="IPP NumberedListLast"/>
    <w:basedOn w:val="IPPNumberedList"/>
    <w:qFormat/>
    <w:rsid w:val="00195FBB"/>
    <w:pPr>
      <w:spacing w:after="180"/>
    </w:pPr>
  </w:style>
  <w:style w:type="paragraph" w:customStyle="1" w:styleId="IPPArialTable">
    <w:name w:val="IPP Arial Table"/>
    <w:basedOn w:val="Normal"/>
    <w:qFormat/>
    <w:rsid w:val="00195FBB"/>
    <w:pPr>
      <w:spacing w:before="60" w:after="60"/>
      <w:jc w:val="left"/>
    </w:pPr>
    <w:rPr>
      <w:rFonts w:ascii="Arial" w:eastAsia="Times" w:hAnsi="Arial"/>
      <w:sz w:val="18"/>
    </w:rPr>
  </w:style>
  <w:style w:type="paragraph" w:customStyle="1" w:styleId="IPPSubheadSpace">
    <w:name w:val="IPP Subhead Space"/>
    <w:basedOn w:val="Normal"/>
    <w:qFormat/>
    <w:rsid w:val="00195FBB"/>
    <w:pPr>
      <w:keepNext/>
      <w:tabs>
        <w:tab w:val="left" w:pos="567"/>
      </w:tabs>
      <w:spacing w:before="60" w:after="60"/>
      <w:ind w:left="567" w:hanging="567"/>
      <w:jc w:val="left"/>
    </w:pPr>
    <w:rPr>
      <w:b/>
      <w:bCs/>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yperlink" Target="mailto:ippc@fa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www.ippc.int/en/core-activi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ppc@fa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pc.int/en/core-activities/standards-and-implementation/ippc-framework-for-standards-and-implementation/" TargetMode="External"/><Relationship Id="rId23" Type="http://schemas.openxmlformats.org/officeDocument/2006/relationships/header" Target="header3.xml"/><Relationship Id="rId10" Type="http://schemas.openxmlformats.org/officeDocument/2006/relationships/hyperlink" Target="https://www.ippc.int/core-activities/standards-setting/list-topics-ippc-standar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4DC0-AE11-4457-9A42-2FC70A81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2018-08-30T09:27:00Z</dcterms:created>
  <dcterms:modified xsi:type="dcterms:W3CDTF">2018-08-30T09:27:00Z</dcterms:modified>
</cp:coreProperties>
</file>