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730EAA0B" w:rsidR="000B32EC" w:rsidRPr="007075F6" w:rsidRDefault="000B32EC" w:rsidP="00576591">
      <w:pPr>
        <w:wordWrap w:val="0"/>
        <w:jc w:val="right"/>
      </w:pPr>
      <w:r w:rsidRPr="007075F6">
        <w:t>Name of Country or Organization</w:t>
      </w:r>
      <w:r w:rsidR="00576591" w:rsidRPr="007F2E1D">
        <w:rPr>
          <w:rFonts w:hint="eastAsia"/>
          <w:u w:val="single"/>
          <w:lang w:eastAsia="ja-JP"/>
        </w:rPr>
        <w:t xml:space="preserve">            Japan</w:t>
      </w:r>
      <w:r w:rsidR="00576591">
        <w:rPr>
          <w:rFonts w:hint="eastAsia"/>
          <w:u w:val="single"/>
          <w:lang w:eastAsia="ja-JP"/>
        </w:rPr>
        <w:t xml:space="preserve">  </w:t>
      </w:r>
      <w:r w:rsidR="00576591" w:rsidRPr="007F2E1D">
        <w:rPr>
          <w:rFonts w:hint="eastAsia"/>
          <w:u w:val="single"/>
          <w:lang w:eastAsia="ja-JP"/>
        </w:rPr>
        <w:t xml:space="preserve">                  </w:t>
      </w:r>
      <w:r w:rsidR="00576591">
        <w:rPr>
          <w:rFonts w:hint="eastAsia"/>
          <w:u w:val="single"/>
          <w:lang w:eastAsia="ja-JP"/>
        </w:rPr>
        <w:t xml:space="preserve"> </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77777777"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14:paraId="5D55FFB4" w14:textId="61EB5428" w:rsidR="000B32EC" w:rsidRPr="00326064" w:rsidRDefault="00576591" w:rsidP="00576591">
            <w:pPr>
              <w:ind w:firstLineChars="150" w:firstLine="330"/>
            </w:pPr>
            <w:r>
              <w:rPr>
                <w:rFonts w:hint="eastAsia"/>
                <w:lang w:eastAsia="ja-JP"/>
              </w:rPr>
              <w:t>Yasuro FUNAKI</w:t>
            </w:r>
          </w:p>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192F3B25" w14:textId="77777777" w:rsidR="00576591" w:rsidRPr="00326064" w:rsidRDefault="00576591" w:rsidP="00576591">
            <w:pPr>
              <w:tabs>
                <w:tab w:val="right" w:leader="dot" w:pos="9480"/>
              </w:tabs>
              <w:spacing w:before="60" w:after="60"/>
              <w:rPr>
                <w:sz w:val="20"/>
                <w:szCs w:val="20"/>
              </w:rPr>
            </w:pPr>
            <w:r w:rsidRPr="00326064">
              <w:rPr>
                <w:sz w:val="20"/>
                <w:szCs w:val="20"/>
              </w:rPr>
              <w:t>Name:</w:t>
            </w:r>
            <w:r>
              <w:rPr>
                <w:rFonts w:hint="eastAsia"/>
                <w:sz w:val="20"/>
                <w:szCs w:val="20"/>
                <w:lang w:eastAsia="ja-JP"/>
              </w:rPr>
              <w:t xml:space="preserve">  Yasuro FUNAKI</w:t>
            </w:r>
            <w:r w:rsidRPr="00326064">
              <w:rPr>
                <w:sz w:val="20"/>
                <w:szCs w:val="20"/>
              </w:rPr>
              <w:tab/>
            </w:r>
          </w:p>
          <w:p w14:paraId="43FCCC0A" w14:textId="77777777" w:rsidR="00576591" w:rsidRPr="00326064" w:rsidRDefault="00576591" w:rsidP="00576591">
            <w:pPr>
              <w:tabs>
                <w:tab w:val="right" w:leader="dot" w:pos="9480"/>
              </w:tabs>
              <w:spacing w:before="60" w:after="60"/>
              <w:ind w:left="100" w:hangingChars="50" w:hanging="100"/>
              <w:rPr>
                <w:sz w:val="20"/>
                <w:szCs w:val="20"/>
              </w:rPr>
            </w:pPr>
            <w:r w:rsidRPr="00326064">
              <w:rPr>
                <w:sz w:val="20"/>
                <w:szCs w:val="20"/>
              </w:rPr>
              <w:t>Position and organization:</w:t>
            </w:r>
            <w:r>
              <w:rPr>
                <w:rFonts w:hint="eastAsia"/>
                <w:sz w:val="20"/>
                <w:szCs w:val="20"/>
                <w:lang w:eastAsia="ja-JP"/>
              </w:rPr>
              <w:t xml:space="preserve">  Director, International Affairs Office, Plant Protection Division, Food Safety and Consumer Affairs Bureau, Ministry of Agriculture, Forestry and Fisheries</w:t>
            </w:r>
            <w:r w:rsidRPr="00326064">
              <w:rPr>
                <w:sz w:val="20"/>
                <w:szCs w:val="20"/>
              </w:rPr>
              <w:tab/>
            </w:r>
          </w:p>
          <w:p w14:paraId="542C6E0E" w14:textId="77777777" w:rsidR="00576591" w:rsidRPr="00326064" w:rsidRDefault="00576591" w:rsidP="00576591">
            <w:pPr>
              <w:tabs>
                <w:tab w:val="right" w:leader="dot" w:pos="9480"/>
              </w:tabs>
              <w:spacing w:before="60" w:after="60"/>
              <w:rPr>
                <w:sz w:val="20"/>
                <w:szCs w:val="20"/>
              </w:rPr>
            </w:pPr>
            <w:r w:rsidRPr="00326064">
              <w:rPr>
                <w:sz w:val="20"/>
                <w:szCs w:val="20"/>
              </w:rPr>
              <w:t>Mailing address:</w:t>
            </w:r>
            <w:r>
              <w:rPr>
                <w:rFonts w:hint="eastAsia"/>
                <w:sz w:val="20"/>
                <w:szCs w:val="20"/>
                <w:lang w:eastAsia="ja-JP"/>
              </w:rPr>
              <w:t xml:space="preserve">  1-2-1 Kasumigaseki, Chiyoda-ku, Tokyo 100-8950, Japan</w:t>
            </w:r>
            <w:r w:rsidRPr="00326064">
              <w:rPr>
                <w:sz w:val="20"/>
                <w:szCs w:val="20"/>
              </w:rPr>
              <w:tab/>
            </w:r>
          </w:p>
          <w:p w14:paraId="1C832AB4" w14:textId="77777777" w:rsidR="00576591" w:rsidRDefault="00576591" w:rsidP="00576591">
            <w:pPr>
              <w:tabs>
                <w:tab w:val="left" w:leader="dot" w:pos="4320"/>
                <w:tab w:val="left" w:pos="4560"/>
                <w:tab w:val="right" w:leader="dot" w:pos="9480"/>
              </w:tabs>
              <w:spacing w:before="60" w:after="60"/>
              <w:rPr>
                <w:sz w:val="20"/>
                <w:szCs w:val="20"/>
                <w:lang w:eastAsia="ja-JP"/>
              </w:rPr>
            </w:pPr>
            <w:r w:rsidRPr="00326064">
              <w:rPr>
                <w:sz w:val="20"/>
                <w:szCs w:val="20"/>
              </w:rPr>
              <w:t>Phone:</w:t>
            </w:r>
            <w:r>
              <w:rPr>
                <w:rFonts w:hint="eastAsia"/>
                <w:sz w:val="20"/>
                <w:szCs w:val="20"/>
                <w:lang w:eastAsia="ja-JP"/>
              </w:rPr>
              <w:t xml:space="preserve">  (+81) 3 3502 5978 </w:t>
            </w:r>
            <w:r w:rsidRPr="00326064">
              <w:rPr>
                <w:sz w:val="20"/>
                <w:szCs w:val="20"/>
              </w:rPr>
              <w:tab/>
            </w:r>
            <w:r w:rsidRPr="00326064">
              <w:rPr>
                <w:sz w:val="20"/>
                <w:szCs w:val="20"/>
              </w:rPr>
              <w:tab/>
              <w:t>Fax:</w:t>
            </w:r>
            <w:r>
              <w:rPr>
                <w:rFonts w:hint="eastAsia"/>
                <w:sz w:val="20"/>
                <w:szCs w:val="20"/>
                <w:lang w:eastAsia="ja-JP"/>
              </w:rPr>
              <w:t xml:space="preserve">  (+81) 3 3502 3386 </w:t>
            </w:r>
            <w:r w:rsidRPr="00326064">
              <w:rPr>
                <w:sz w:val="20"/>
                <w:szCs w:val="20"/>
              </w:rPr>
              <w:tab/>
            </w:r>
          </w:p>
          <w:p w14:paraId="68A8B13F" w14:textId="6F0A0AE3" w:rsidR="000B32EC" w:rsidRPr="00326064" w:rsidRDefault="00576591" w:rsidP="00576591">
            <w:pPr>
              <w:tabs>
                <w:tab w:val="right" w:leader="dot" w:pos="9480"/>
              </w:tabs>
              <w:spacing w:before="60" w:after="60"/>
              <w:rPr>
                <w:sz w:val="20"/>
                <w:szCs w:val="20"/>
              </w:rPr>
            </w:pPr>
            <w:r w:rsidRPr="00326064">
              <w:rPr>
                <w:sz w:val="20"/>
                <w:szCs w:val="20"/>
              </w:rPr>
              <w:t>E-mail:</w:t>
            </w:r>
            <w:r>
              <w:rPr>
                <w:rFonts w:hint="eastAsia"/>
                <w:sz w:val="20"/>
                <w:szCs w:val="20"/>
                <w:lang w:eastAsia="ja-JP"/>
              </w:rPr>
              <w:t xml:space="preserve">  ippc_contact@maff.go.jp</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30765EEE" w:rsidR="00E96D9B" w:rsidRPr="00EE39DD" w:rsidRDefault="0067537B" w:rsidP="00B15A42">
            <w:pPr>
              <w:rPr>
                <w:sz w:val="20"/>
                <w:szCs w:val="20"/>
              </w:rPr>
            </w:pPr>
            <w:r w:rsidRPr="00EE39DD">
              <w:rPr>
                <w:bCs/>
                <w:sz w:val="20"/>
                <w:szCs w:val="20"/>
              </w:rPr>
              <w:t>[</w:t>
            </w:r>
            <w:r w:rsidR="00B15A42" w:rsidRPr="00011718">
              <w:rPr>
                <w:rFonts w:hint="eastAsia"/>
                <w:bCs/>
                <w:color w:val="FF0000"/>
                <w:sz w:val="20"/>
                <w:szCs w:val="20"/>
                <w:lang w:eastAsia="ja-JP"/>
              </w:rPr>
              <w:t>✓</w:t>
            </w:r>
            <w:r w:rsidRPr="00EE39DD">
              <w:rPr>
                <w:bCs/>
                <w:sz w:val="20"/>
                <w:szCs w:val="20"/>
              </w:rPr>
              <w:t>]</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lastRenderedPageBreak/>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31FEBD0A" w:rsidR="000B32EC" w:rsidRPr="00326064" w:rsidRDefault="000B32EC" w:rsidP="00551ED4">
            <w:pPr>
              <w:rPr>
                <w:sz w:val="20"/>
                <w:szCs w:val="20"/>
              </w:rPr>
            </w:pPr>
            <w:r w:rsidRPr="00326064">
              <w:rPr>
                <w:bCs/>
                <w:sz w:val="20"/>
                <w:szCs w:val="20"/>
              </w:rPr>
              <w:t>[</w:t>
            </w:r>
            <w:r w:rsidR="00B15A42" w:rsidRPr="00011718">
              <w:rPr>
                <w:rFonts w:hint="eastAsia"/>
                <w:bCs/>
                <w:color w:val="FF0000"/>
                <w:sz w:val="20"/>
                <w:szCs w:val="20"/>
                <w:lang w:eastAsia="ja-JP"/>
              </w:rPr>
              <w:t>✓</w:t>
            </w:r>
            <w:r w:rsidRPr="00326064">
              <w:rPr>
                <w:bCs/>
                <w:sz w:val="20"/>
                <w:szCs w:val="20"/>
              </w:rPr>
              <w:t>]</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21A52243" w:rsidR="000B32EC" w:rsidRPr="00326064" w:rsidRDefault="000B32EC" w:rsidP="00551ED4">
            <w:pPr>
              <w:ind w:left="423" w:hanging="423"/>
              <w:rPr>
                <w:sz w:val="20"/>
                <w:szCs w:val="20"/>
              </w:rPr>
            </w:pPr>
            <w:r w:rsidRPr="00326064">
              <w:rPr>
                <w:bCs/>
                <w:sz w:val="20"/>
                <w:szCs w:val="20"/>
              </w:rPr>
              <w:t>[</w:t>
            </w:r>
            <w:r w:rsidR="004F6871">
              <w:rPr>
                <w:bCs/>
                <w:sz w:val="20"/>
                <w:szCs w:val="20"/>
              </w:rPr>
              <w:t xml:space="preserve">    </w:t>
            </w:r>
            <w:r w:rsidRPr="00326064">
              <w:rPr>
                <w:bCs/>
                <w:sz w:val="20"/>
                <w:szCs w:val="20"/>
              </w:rPr>
              <w:t>]</w:t>
            </w:r>
            <w:r w:rsidRPr="00326064">
              <w:rPr>
                <w:sz w:val="20"/>
                <w:szCs w:val="20"/>
              </w:rPr>
              <w:t xml:space="preserve"> Annex</w:t>
            </w:r>
          </w:p>
          <w:p w14:paraId="2AEFC6D1" w14:textId="740B957D" w:rsidR="000B32EC" w:rsidRPr="00326064" w:rsidRDefault="000B32EC" w:rsidP="00551ED4">
            <w:pPr>
              <w:rPr>
                <w:sz w:val="20"/>
                <w:szCs w:val="20"/>
              </w:rPr>
            </w:pPr>
            <w:r w:rsidRPr="00326064">
              <w:rPr>
                <w:bCs/>
                <w:sz w:val="20"/>
                <w:szCs w:val="20"/>
              </w:rPr>
              <w:t>[</w:t>
            </w:r>
            <w:r w:rsidR="002B4DE4">
              <w:rPr>
                <w:rFonts w:hint="eastAsia"/>
                <w:bCs/>
                <w:color w:val="FF0000"/>
                <w:sz w:val="20"/>
                <w:szCs w:val="20"/>
                <w:lang w:eastAsia="ja-JP"/>
              </w:rPr>
              <w:t xml:space="preserve">　</w:t>
            </w:r>
            <w:r w:rsidRPr="00326064">
              <w:rPr>
                <w:bCs/>
                <w:sz w:val="20"/>
                <w:szCs w:val="20"/>
              </w:rPr>
              <w:t>]</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3878956E"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w:t>
            </w:r>
            <w:r w:rsidR="004F6871">
              <w:rPr>
                <w:bCs/>
                <w:sz w:val="20"/>
                <w:szCs w:val="20"/>
              </w:rPr>
              <w:t xml:space="preserve">    </w:t>
            </w:r>
            <w:r w:rsidRPr="00EE39DD">
              <w:rPr>
                <w:bCs/>
                <w:sz w:val="20"/>
                <w:szCs w:val="20"/>
              </w:rPr>
              <w:t>]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35E8F92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14:paraId="0BA47B85" w14:textId="77777777" w:rsidTr="00563FA2">
        <w:trPr>
          <w:trHeight w:val="828"/>
          <w:jc w:val="center"/>
        </w:trPr>
        <w:tc>
          <w:tcPr>
            <w:tcW w:w="5000" w:type="pct"/>
          </w:tcPr>
          <w:p w14:paraId="708DEE93" w14:textId="0043985F" w:rsidR="005E6F6B" w:rsidRPr="00C7561D" w:rsidRDefault="00C7561D" w:rsidP="00C7561D">
            <w:pPr>
              <w:rPr>
                <w:b/>
                <w:sz w:val="20"/>
                <w:szCs w:val="20"/>
                <w:u w:val="single"/>
              </w:rPr>
            </w:pPr>
            <w:r>
              <w:rPr>
                <w:b/>
                <w:sz w:val="20"/>
                <w:szCs w:val="20"/>
                <w:u w:val="single"/>
              </w:rPr>
              <w:t>6.</w:t>
            </w:r>
            <w:r w:rsidR="005E6F6B" w:rsidRPr="00C7561D">
              <w:rPr>
                <w:b/>
                <w:sz w:val="20"/>
                <w:szCs w:val="20"/>
                <w:u w:val="single"/>
              </w:rPr>
              <w:t>Proposed title of  document</w:t>
            </w:r>
          </w:p>
          <w:p w14:paraId="306AC8C2" w14:textId="0699AD3F" w:rsidR="00C7561D" w:rsidRPr="00011718" w:rsidRDefault="004F6871" w:rsidP="00C7561D">
            <w:pPr>
              <w:rPr>
                <w:sz w:val="20"/>
                <w:szCs w:val="20"/>
                <w:lang w:eastAsia="ja-JP"/>
              </w:rPr>
            </w:pPr>
            <w:r w:rsidRPr="00EC1D0A">
              <w:rPr>
                <w:color w:val="FF0000"/>
                <w:lang w:val="en-AU"/>
              </w:rPr>
              <w:t>Guidelines for field inspection</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62EABDE7" w:rsidR="005E6F6B" w:rsidRPr="00EE39DD" w:rsidRDefault="005E6F6B" w:rsidP="005E6F6B">
            <w:pPr>
              <w:rPr>
                <w:sz w:val="20"/>
                <w:szCs w:val="20"/>
              </w:rPr>
            </w:pPr>
            <w:r w:rsidRPr="00EE39DD">
              <w:rPr>
                <w:sz w:val="20"/>
                <w:szCs w:val="20"/>
              </w:rPr>
              <w:t xml:space="preserve"> </w:t>
            </w:r>
            <w:r w:rsidRPr="00EE39DD">
              <w:rPr>
                <w:bCs/>
                <w:sz w:val="20"/>
                <w:szCs w:val="20"/>
              </w:rPr>
              <w:t>[</w:t>
            </w:r>
            <w:r w:rsidR="00EF2D93" w:rsidRPr="00011718">
              <w:rPr>
                <w:rFonts w:hint="eastAsia"/>
                <w:bCs/>
                <w:color w:val="FF0000"/>
                <w:sz w:val="20"/>
                <w:szCs w:val="20"/>
                <w:lang w:eastAsia="ja-JP"/>
              </w:rPr>
              <w:t>✓</w:t>
            </w:r>
            <w:r w:rsidRPr="00EE39DD">
              <w:rPr>
                <w:bCs/>
                <w:sz w:val="20"/>
                <w:szCs w:val="20"/>
              </w:rPr>
              <w:t>]</w:t>
            </w:r>
            <w:r w:rsidRPr="00EE39DD">
              <w:rPr>
                <w:sz w:val="20"/>
                <w:szCs w:val="20"/>
              </w:rPr>
              <w:t xml:space="preserve"> 1 (high)  </w:t>
            </w:r>
            <w:r w:rsidRPr="00EE39DD">
              <w:rPr>
                <w:bCs/>
                <w:sz w:val="20"/>
                <w:szCs w:val="20"/>
              </w:rPr>
              <w:t>[</w:t>
            </w:r>
            <w:r w:rsidR="00AB4C68" w:rsidRPr="00EE39DD">
              <w:rPr>
                <w:bCs/>
                <w:sz w:val="20"/>
                <w:szCs w:val="20"/>
              </w:rPr>
              <w:t>__</w:t>
            </w:r>
            <w:r w:rsidRPr="00EE39DD">
              <w:rPr>
                <w:bCs/>
                <w:sz w:val="20"/>
                <w:szCs w:val="20"/>
              </w:rPr>
              <w:t xml:space="preserve">]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63AE382C" w:rsidR="005E6F6B" w:rsidRPr="002A2126" w:rsidRDefault="004F6871" w:rsidP="00E96D9B">
            <w:pPr>
              <w:rPr>
                <w:color w:val="FF0000"/>
                <w:sz w:val="20"/>
                <w:szCs w:val="20"/>
                <w:lang w:eastAsia="ja-JP"/>
              </w:rPr>
            </w:pPr>
            <w:r w:rsidRPr="00907F56">
              <w:rPr>
                <w:color w:val="FF0000"/>
                <w:sz w:val="20"/>
                <w:szCs w:val="20"/>
              </w:rPr>
              <w:t xml:space="preserve">Field inspection </w:t>
            </w:r>
            <w:r w:rsidR="002B4DE4">
              <w:rPr>
                <w:rFonts w:hint="eastAsia"/>
                <w:color w:val="FF0000"/>
                <w:sz w:val="20"/>
                <w:szCs w:val="20"/>
                <w:lang w:eastAsia="ja-JP"/>
              </w:rPr>
              <w:t>is</w:t>
            </w:r>
            <w:r w:rsidRPr="00907F56">
              <w:rPr>
                <w:color w:val="FF0000"/>
                <w:sz w:val="20"/>
                <w:szCs w:val="20"/>
              </w:rPr>
              <w:t xml:space="preserve"> </w:t>
            </w:r>
            <w:r w:rsidR="0028170F">
              <w:rPr>
                <w:rFonts w:hint="eastAsia"/>
                <w:color w:val="FF0000"/>
                <w:sz w:val="20"/>
                <w:szCs w:val="20"/>
                <w:lang w:eastAsia="ja-JP"/>
              </w:rPr>
              <w:t xml:space="preserve">conducted as </w:t>
            </w:r>
            <w:r w:rsidRPr="00907F56">
              <w:rPr>
                <w:color w:val="FF0000"/>
                <w:sz w:val="20"/>
                <w:szCs w:val="20"/>
              </w:rPr>
              <w:t>a phytosanitary measure to detect some regulated pests that produce visible symptoms. ISPM38 briefly describe</w:t>
            </w:r>
            <w:r w:rsidR="0028170F">
              <w:rPr>
                <w:rFonts w:hint="eastAsia"/>
                <w:color w:val="FF0000"/>
                <w:sz w:val="20"/>
                <w:szCs w:val="20"/>
                <w:lang w:eastAsia="ja-JP"/>
              </w:rPr>
              <w:t>s</w:t>
            </w:r>
            <w:r w:rsidRPr="00907F56">
              <w:rPr>
                <w:color w:val="FF0000"/>
                <w:sz w:val="20"/>
                <w:szCs w:val="20"/>
              </w:rPr>
              <w:t xml:space="preserve"> field inspection as one of phytosanitary measures on seeds but there are no guidelines in other ISPMs. </w:t>
            </w:r>
            <w:r w:rsidR="002B4DE4">
              <w:rPr>
                <w:rFonts w:hint="eastAsia"/>
                <w:color w:val="FF0000"/>
                <w:sz w:val="20"/>
                <w:szCs w:val="20"/>
                <w:lang w:eastAsia="ja-JP"/>
              </w:rPr>
              <w:t>I</w:t>
            </w:r>
            <w:r w:rsidRPr="00907F56">
              <w:rPr>
                <w:color w:val="FF0000"/>
                <w:sz w:val="20"/>
                <w:szCs w:val="20"/>
              </w:rPr>
              <w:t xml:space="preserve">nternationally agreed guidelines </w:t>
            </w:r>
            <w:r w:rsidR="002B4DE4">
              <w:rPr>
                <w:rFonts w:hint="eastAsia"/>
                <w:color w:val="FF0000"/>
                <w:sz w:val="20"/>
                <w:szCs w:val="20"/>
                <w:lang w:eastAsia="ja-JP"/>
              </w:rPr>
              <w:t xml:space="preserve">on field inspection </w:t>
            </w:r>
            <w:r w:rsidRPr="00907F56">
              <w:rPr>
                <w:color w:val="FF0000"/>
                <w:sz w:val="20"/>
                <w:szCs w:val="20"/>
              </w:rPr>
              <w:t>will help to harmonize</w:t>
            </w:r>
            <w:r w:rsidR="002B4DE4">
              <w:rPr>
                <w:rFonts w:hint="eastAsia"/>
                <w:color w:val="FF0000"/>
                <w:sz w:val="20"/>
                <w:szCs w:val="20"/>
                <w:lang w:eastAsia="ja-JP"/>
              </w:rPr>
              <w:t xml:space="preserve"> procedures to</w:t>
            </w:r>
            <w:r w:rsidRPr="00907F56">
              <w:rPr>
                <w:color w:val="FF0000"/>
                <w:sz w:val="20"/>
                <w:szCs w:val="20"/>
              </w:rPr>
              <w:t xml:space="preserve"> carry out phytosanitary inspection activities for the purpose of export of plants.</w:t>
            </w:r>
          </w:p>
        </w:tc>
      </w:tr>
      <w:tr w:rsidR="005E6F6B" w:rsidRPr="007075F6" w14:paraId="1151977E" w14:textId="77777777" w:rsidTr="00563FA2">
        <w:trPr>
          <w:trHeight w:val="828"/>
          <w:jc w:val="center"/>
        </w:trPr>
        <w:tc>
          <w:tcPr>
            <w:tcW w:w="5000" w:type="pct"/>
          </w:tcPr>
          <w:p w14:paraId="6DE5F999" w14:textId="77777777"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14:paraId="080A61AB" w14:textId="334C3E53" w:rsidR="004F6871" w:rsidRPr="00011718" w:rsidRDefault="00A3321E">
            <w:pPr>
              <w:rPr>
                <w:sz w:val="20"/>
                <w:szCs w:val="20"/>
                <w:u w:val="single"/>
                <w:lang w:eastAsia="ja-JP"/>
              </w:rPr>
            </w:pPr>
            <w:r w:rsidRPr="00011718">
              <w:rPr>
                <w:rFonts w:hint="eastAsia"/>
                <w:b/>
                <w:sz w:val="20"/>
                <w:szCs w:val="20"/>
                <w:lang w:eastAsia="ja-JP"/>
              </w:rPr>
              <w:t xml:space="preserve">　</w:t>
            </w:r>
            <w:r w:rsidR="004F6871" w:rsidRPr="00907F56">
              <w:rPr>
                <w:bCs/>
                <w:color w:val="FF0000"/>
                <w:sz w:val="20"/>
                <w:szCs w:val="20"/>
              </w:rPr>
              <w:t xml:space="preserve">This standard will provide general and technical guidance on field inspection procedures and methodologies to be used by NPPOs in developing guidelines </w:t>
            </w:r>
            <w:r w:rsidR="0028170F">
              <w:rPr>
                <w:rFonts w:hint="eastAsia"/>
                <w:bCs/>
                <w:color w:val="FF0000"/>
                <w:sz w:val="20"/>
                <w:szCs w:val="20"/>
                <w:lang w:eastAsia="ja-JP"/>
              </w:rPr>
              <w:t xml:space="preserve">in the countries </w:t>
            </w:r>
            <w:r w:rsidR="002B4DE4">
              <w:rPr>
                <w:rFonts w:hint="eastAsia"/>
                <w:bCs/>
                <w:color w:val="FF0000"/>
                <w:sz w:val="20"/>
                <w:szCs w:val="20"/>
                <w:lang w:eastAsia="ja-JP"/>
              </w:rPr>
              <w:t>and</w:t>
            </w:r>
            <w:r w:rsidR="004F6871" w:rsidRPr="00907F56">
              <w:rPr>
                <w:bCs/>
                <w:color w:val="FF0000"/>
                <w:sz w:val="20"/>
                <w:szCs w:val="20"/>
              </w:rPr>
              <w:t xml:space="preserve"> conducting </w:t>
            </w:r>
            <w:r w:rsidR="0028170F">
              <w:rPr>
                <w:rFonts w:hint="eastAsia"/>
                <w:bCs/>
                <w:color w:val="FF0000"/>
                <w:sz w:val="20"/>
                <w:szCs w:val="20"/>
                <w:lang w:eastAsia="ja-JP"/>
              </w:rPr>
              <w:t xml:space="preserve">inspection </w:t>
            </w:r>
            <w:r w:rsidR="004F6871" w:rsidRPr="00907F56">
              <w:rPr>
                <w:bCs/>
                <w:color w:val="FF0000"/>
                <w:sz w:val="20"/>
                <w:szCs w:val="20"/>
              </w:rPr>
              <w:t xml:space="preserve">in </w:t>
            </w:r>
            <w:r w:rsidR="0028170F">
              <w:rPr>
                <w:rFonts w:hint="eastAsia"/>
                <w:bCs/>
                <w:color w:val="FF0000"/>
                <w:sz w:val="20"/>
                <w:szCs w:val="20"/>
                <w:lang w:eastAsia="ja-JP"/>
              </w:rPr>
              <w:t xml:space="preserve">the </w:t>
            </w:r>
            <w:r w:rsidR="004F6871" w:rsidRPr="00907F56">
              <w:rPr>
                <w:bCs/>
                <w:color w:val="FF0000"/>
                <w:sz w:val="20"/>
                <w:szCs w:val="20"/>
              </w:rPr>
              <w:t>fields for the purpose of export.</w:t>
            </w:r>
            <w:r w:rsidR="00907F56">
              <w:rPr>
                <w:bCs/>
                <w:color w:val="FF0000"/>
                <w:sz w:val="20"/>
                <w:szCs w:val="20"/>
              </w:rPr>
              <w:t xml:space="preserve"> </w:t>
            </w:r>
            <w:r w:rsidR="002B4DE4">
              <w:rPr>
                <w:rFonts w:hint="eastAsia"/>
                <w:bCs/>
                <w:color w:val="FF0000"/>
                <w:sz w:val="20"/>
                <w:szCs w:val="20"/>
                <w:lang w:eastAsia="ja-JP"/>
              </w:rPr>
              <w:t>T</w:t>
            </w:r>
            <w:r w:rsidR="004F6871" w:rsidRPr="00907F56">
              <w:rPr>
                <w:bCs/>
                <w:color w:val="FF0000"/>
                <w:sz w:val="20"/>
                <w:szCs w:val="20"/>
              </w:rPr>
              <w:t xml:space="preserve">echnical information </w:t>
            </w:r>
            <w:r w:rsidR="002B4DE4">
              <w:rPr>
                <w:rFonts w:hint="eastAsia"/>
                <w:bCs/>
                <w:color w:val="FF0000"/>
                <w:sz w:val="20"/>
                <w:szCs w:val="20"/>
                <w:lang w:eastAsia="ja-JP"/>
              </w:rPr>
              <w:t>about</w:t>
            </w:r>
            <w:r w:rsidR="004F6871" w:rsidRPr="00907F56">
              <w:rPr>
                <w:bCs/>
                <w:color w:val="FF0000"/>
                <w:sz w:val="20"/>
                <w:szCs w:val="20"/>
              </w:rPr>
              <w:t xml:space="preserve"> disease diagnosis in field and laboratory</w:t>
            </w:r>
            <w:r w:rsidR="002B4DE4">
              <w:rPr>
                <w:rFonts w:hint="eastAsia"/>
                <w:bCs/>
                <w:color w:val="FF0000"/>
                <w:sz w:val="20"/>
                <w:szCs w:val="20"/>
                <w:lang w:eastAsia="ja-JP"/>
              </w:rPr>
              <w:t xml:space="preserve"> should be provided in Appendix.</w:t>
            </w:r>
            <w:r w:rsidR="004F6871" w:rsidRPr="00907F56">
              <w:rPr>
                <w:bCs/>
                <w:color w:val="FF0000"/>
                <w:sz w:val="20"/>
                <w:szCs w:val="20"/>
              </w:rPr>
              <w:t xml:space="preserve"> </w:t>
            </w:r>
            <w:r w:rsidR="002B4DE4">
              <w:rPr>
                <w:rFonts w:hint="eastAsia"/>
                <w:bCs/>
                <w:color w:val="FF0000"/>
                <w:sz w:val="20"/>
                <w:szCs w:val="20"/>
                <w:lang w:eastAsia="ja-JP"/>
              </w:rPr>
              <w:t xml:space="preserve">Technical information about </w:t>
            </w:r>
            <w:r w:rsidR="004F6871" w:rsidRPr="00907F56">
              <w:rPr>
                <w:bCs/>
                <w:color w:val="FF0000"/>
                <w:sz w:val="20"/>
                <w:szCs w:val="20"/>
              </w:rPr>
              <w:t xml:space="preserve">inspection methods </w:t>
            </w:r>
            <w:r w:rsidR="002B4DE4">
              <w:rPr>
                <w:rFonts w:hint="eastAsia"/>
                <w:bCs/>
                <w:color w:val="FF0000"/>
                <w:sz w:val="20"/>
                <w:szCs w:val="20"/>
                <w:lang w:eastAsia="ja-JP"/>
              </w:rPr>
              <w:t xml:space="preserve">for each commodity and commodity </w:t>
            </w:r>
            <w:r w:rsidR="002B4DE4" w:rsidRPr="00907F56">
              <w:rPr>
                <w:bCs/>
                <w:color w:val="FF0000"/>
                <w:sz w:val="20"/>
                <w:szCs w:val="20"/>
              </w:rPr>
              <w:t xml:space="preserve">class </w:t>
            </w:r>
            <w:r w:rsidR="002B4DE4">
              <w:rPr>
                <w:rFonts w:hint="eastAsia"/>
                <w:bCs/>
                <w:color w:val="FF0000"/>
                <w:sz w:val="20"/>
                <w:szCs w:val="20"/>
                <w:lang w:eastAsia="ja-JP"/>
              </w:rPr>
              <w:t>should</w:t>
            </w:r>
            <w:r w:rsidR="008F1D7F">
              <w:rPr>
                <w:bCs/>
                <w:color w:val="FF0000"/>
                <w:sz w:val="20"/>
                <w:szCs w:val="20"/>
              </w:rPr>
              <w:t xml:space="preserve"> be provided in </w:t>
            </w:r>
            <w:r w:rsidR="008F1D7F">
              <w:rPr>
                <w:bCs/>
                <w:color w:val="FF0000"/>
                <w:sz w:val="20"/>
                <w:szCs w:val="20"/>
              </w:rPr>
              <w:lastRenderedPageBreak/>
              <w:t>Append</w:t>
            </w:r>
            <w:r w:rsidR="008F1D7F">
              <w:rPr>
                <w:rFonts w:hint="eastAsia"/>
                <w:bCs/>
                <w:color w:val="FF0000"/>
                <w:sz w:val="20"/>
                <w:szCs w:val="20"/>
                <w:lang w:eastAsia="ja-JP"/>
              </w:rPr>
              <w:t>ic</w:t>
            </w:r>
            <w:r w:rsidR="004F6871" w:rsidRPr="00907F56">
              <w:rPr>
                <w:bCs/>
                <w:color w:val="FF0000"/>
                <w:sz w:val="20"/>
                <w:szCs w:val="20"/>
              </w:rPr>
              <w:t>es.</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1E102749" w:rsidR="00563FA2" w:rsidRPr="00907F56" w:rsidRDefault="002B4DE4" w:rsidP="002B4DE4">
            <w:pPr>
              <w:jc w:val="left"/>
              <w:rPr>
                <w:sz w:val="20"/>
                <w:szCs w:val="20"/>
                <w:lang w:eastAsia="ja-JP"/>
              </w:rPr>
            </w:pPr>
            <w:r>
              <w:rPr>
                <w:rFonts w:hint="eastAsia"/>
                <w:color w:val="FF0000"/>
                <w:sz w:val="20"/>
                <w:szCs w:val="20"/>
                <w:lang w:eastAsia="ja-JP"/>
              </w:rPr>
              <w:t xml:space="preserve">As for inspection, </w:t>
            </w:r>
            <w:r>
              <w:rPr>
                <w:color w:val="FF0000"/>
                <w:sz w:val="20"/>
                <w:szCs w:val="20"/>
                <w:lang w:eastAsia="ja-JP"/>
              </w:rPr>
              <w:t>“</w:t>
            </w:r>
            <w:r>
              <w:rPr>
                <w:rFonts w:hint="eastAsia"/>
                <w:color w:val="FF0000"/>
                <w:sz w:val="20"/>
                <w:szCs w:val="20"/>
                <w:lang w:eastAsia="ja-JP"/>
              </w:rPr>
              <w:t>ISPM</w:t>
            </w:r>
            <w:r>
              <w:rPr>
                <w:color w:val="FF0000"/>
                <w:sz w:val="20"/>
                <w:szCs w:val="20"/>
                <w:lang w:eastAsia="ja-JP"/>
              </w:rPr>
              <w:t>23: Guidelines for inspection”</w:t>
            </w:r>
            <w:r>
              <w:rPr>
                <w:rFonts w:hint="eastAsia"/>
                <w:color w:val="FF0000"/>
                <w:sz w:val="20"/>
                <w:szCs w:val="20"/>
                <w:lang w:eastAsia="ja-JP"/>
              </w:rPr>
              <w:t xml:space="preserve"> i</w:t>
            </w:r>
            <w:r>
              <w:rPr>
                <w:color w:val="FF0000"/>
                <w:sz w:val="20"/>
                <w:szCs w:val="20"/>
                <w:lang w:eastAsia="ja-JP"/>
              </w:rPr>
              <w:t xml:space="preserve">s </w:t>
            </w:r>
            <w:r>
              <w:rPr>
                <w:rFonts w:hint="eastAsia"/>
                <w:color w:val="FF0000"/>
                <w:sz w:val="20"/>
                <w:szCs w:val="20"/>
                <w:lang w:eastAsia="ja-JP"/>
              </w:rPr>
              <w:t>already adopted. Although there is no specific standard on field inspection.</w:t>
            </w:r>
          </w:p>
        </w:tc>
      </w:tr>
      <w:tr w:rsidR="00563FA2" w:rsidRPr="00326064" w14:paraId="367B04BB" w14:textId="77777777" w:rsidTr="00563FA2">
        <w:trPr>
          <w:trHeight w:val="828"/>
          <w:jc w:val="center"/>
        </w:trPr>
        <w:tc>
          <w:tcPr>
            <w:tcW w:w="5000" w:type="pct"/>
          </w:tcPr>
          <w:p w14:paraId="507C2A0F"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F46B42D" w14:textId="3A74413D" w:rsidR="00274F0E" w:rsidRPr="007857B8" w:rsidRDefault="002B4DE4" w:rsidP="007857B8">
            <w:pPr>
              <w:autoSpaceDE w:val="0"/>
              <w:autoSpaceDN w:val="0"/>
              <w:adjustRightInd w:val="0"/>
              <w:rPr>
                <w:b/>
                <w:sz w:val="20"/>
                <w:szCs w:val="20"/>
                <w:u w:val="single"/>
              </w:rPr>
            </w:pPr>
            <w:r>
              <w:rPr>
                <w:rFonts w:cs="Times-Roman" w:hint="eastAsia"/>
                <w:color w:val="FF0000"/>
                <w:sz w:val="20"/>
                <w:szCs w:val="20"/>
                <w:lang w:eastAsia="ja-JP"/>
              </w:rPr>
              <w:t xml:space="preserve">Since field inspection is conducted exporting countries, a harmonized standard on field inspection will contribute to enhancement </w:t>
            </w:r>
            <w:r w:rsidR="00AB0E87">
              <w:rPr>
                <w:rFonts w:cs="Times-Roman" w:hint="eastAsia"/>
                <w:color w:val="FF0000"/>
                <w:sz w:val="20"/>
                <w:szCs w:val="20"/>
                <w:lang w:eastAsia="ja-JP"/>
              </w:rPr>
              <w:t xml:space="preserve">of predictability and </w:t>
            </w:r>
            <w:r w:rsidR="00AB0E87">
              <w:rPr>
                <w:rFonts w:cs="Times-Roman"/>
                <w:color w:val="FF0000"/>
                <w:sz w:val="20"/>
                <w:szCs w:val="20"/>
                <w:lang w:eastAsia="ja-JP"/>
              </w:rPr>
              <w:t>reduction of pest risk.</w:t>
            </w:r>
          </w:p>
        </w:tc>
      </w:tr>
    </w:tbl>
    <w:p w14:paraId="0CBE9852" w14:textId="77777777" w:rsidR="00FD01BE" w:rsidRPr="007857B8"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16C617AC" w14:textId="6CD45FFF" w:rsidR="000B32EC" w:rsidRPr="00E86637" w:rsidRDefault="00235E82" w:rsidP="00551ED4">
            <w:pPr>
              <w:autoSpaceDE w:val="0"/>
              <w:autoSpaceDN w:val="0"/>
              <w:adjustRightInd w:val="0"/>
              <w:rPr>
                <w:rFonts w:cs="Times-Roman"/>
                <w:sz w:val="18"/>
                <w:szCs w:val="18"/>
              </w:rPr>
            </w:pPr>
            <w:r>
              <w:rPr>
                <w:rFonts w:cs="Times-Roman" w:hint="eastAsia"/>
                <w:color w:val="FF0000"/>
                <w:sz w:val="18"/>
                <w:szCs w:val="18"/>
                <w:lang w:eastAsia="ja-JP"/>
              </w:rPr>
              <w:t xml:space="preserve">IPPC </w:t>
            </w:r>
            <w:r w:rsidRPr="00235E82">
              <w:rPr>
                <w:rFonts w:cs="Times-Roman"/>
                <w:color w:val="FF0000"/>
                <w:sz w:val="18"/>
                <w:szCs w:val="18"/>
              </w:rPr>
              <w:t>IV 2 b, c, d, e, f, VII 1 a, b, c, d, 2 a, b, c, g, j</w:t>
            </w: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64932036" w14:textId="77777777" w:rsidR="00E468EF" w:rsidRDefault="00E468EF" w:rsidP="00E468EF">
            <w:pPr>
              <w:rPr>
                <w:sz w:val="18"/>
                <w:szCs w:val="18"/>
              </w:rPr>
            </w:pPr>
          </w:p>
          <w:p w14:paraId="07BB68F5" w14:textId="2A73B888" w:rsidR="00E468EF" w:rsidRPr="00E468EF" w:rsidRDefault="00E468EF" w:rsidP="00E468EF">
            <w:pPr>
              <w:rPr>
                <w:color w:val="FF0000"/>
                <w:sz w:val="18"/>
                <w:szCs w:val="18"/>
              </w:rPr>
            </w:pPr>
            <w:r w:rsidRPr="00E468EF">
              <w:rPr>
                <w:color w:val="FF0000"/>
                <w:sz w:val="18"/>
                <w:szCs w:val="18"/>
              </w:rPr>
              <w:t xml:space="preserve">This ISPM and the future activities related to the topic of this ISPM will result in </w:t>
            </w:r>
            <w:r w:rsidR="0028170F">
              <w:rPr>
                <w:rFonts w:hint="eastAsia"/>
                <w:color w:val="FF0000"/>
                <w:sz w:val="18"/>
                <w:szCs w:val="18"/>
                <w:lang w:eastAsia="ja-JP"/>
              </w:rPr>
              <w:t>achieving</w:t>
            </w:r>
            <w:r w:rsidRPr="00E468EF">
              <w:rPr>
                <w:color w:val="FF0000"/>
                <w:sz w:val="18"/>
                <w:szCs w:val="18"/>
              </w:rPr>
              <w:t xml:space="preserve"> the following objectives</w:t>
            </w:r>
            <w:r w:rsidRPr="00E468EF">
              <w:rPr>
                <w:rFonts w:cs="Times-Roman"/>
                <w:color w:val="FF0000"/>
                <w:sz w:val="18"/>
                <w:szCs w:val="18"/>
              </w:rPr>
              <w:t xml:space="preserve"> of IPPC Strategic objectives(2012~2019)</w:t>
            </w:r>
          </w:p>
          <w:p w14:paraId="3BB641D7" w14:textId="77777777" w:rsidR="00E468EF" w:rsidRDefault="00E468EF" w:rsidP="00E468EF">
            <w:pPr>
              <w:rPr>
                <w:sz w:val="18"/>
                <w:szCs w:val="18"/>
              </w:rPr>
            </w:pPr>
          </w:p>
          <w:p w14:paraId="5A08AFD8" w14:textId="77777777" w:rsidR="00E468EF" w:rsidRPr="008C1552" w:rsidRDefault="00E468EF" w:rsidP="00E468EF">
            <w:pPr>
              <w:rPr>
                <w:color w:val="FF0000"/>
                <w:sz w:val="18"/>
                <w:szCs w:val="18"/>
              </w:rPr>
            </w:pPr>
            <w:r w:rsidRPr="008C1552">
              <w:rPr>
                <w:color w:val="FF0000"/>
                <w:sz w:val="18"/>
                <w:szCs w:val="18"/>
              </w:rPr>
              <w:t>A protect sustainable agriculture and enhance global food security through the prevention of pest spread;</w:t>
            </w:r>
          </w:p>
          <w:p w14:paraId="1A4ECA09" w14:textId="77777777" w:rsidR="00E468EF" w:rsidRPr="008C1552" w:rsidRDefault="00E468EF" w:rsidP="00E468EF">
            <w:pPr>
              <w:rPr>
                <w:color w:val="FF0000"/>
                <w:sz w:val="18"/>
                <w:szCs w:val="18"/>
              </w:rPr>
            </w:pPr>
            <w:r w:rsidRPr="008C1552">
              <w:rPr>
                <w:color w:val="FF0000"/>
                <w:sz w:val="18"/>
                <w:szCs w:val="18"/>
              </w:rPr>
              <w:t>A1 Pests are detected, reported and eradicated or controlled by means of improved inspection, monitoring, surveillance, diagnosis, pest reporting and pest response systems.</w:t>
            </w:r>
          </w:p>
          <w:p w14:paraId="5BA98991" w14:textId="77777777" w:rsidR="00E468EF" w:rsidRPr="008C1552" w:rsidRDefault="00E468EF" w:rsidP="00E468EF">
            <w:pPr>
              <w:rPr>
                <w:color w:val="FF0000"/>
                <w:sz w:val="18"/>
                <w:szCs w:val="18"/>
              </w:rPr>
            </w:pPr>
            <w:r w:rsidRPr="008C1552">
              <w:rPr>
                <w:color w:val="FF0000"/>
                <w:sz w:val="18"/>
                <w:szCs w:val="18"/>
              </w:rPr>
              <w:t>A3 The movement of food commodities and basic horticultural products is facilitated by relevant ISPMs.</w:t>
            </w:r>
          </w:p>
          <w:p w14:paraId="120F78C3" w14:textId="77777777" w:rsidR="00E468EF" w:rsidRPr="008C1552" w:rsidRDefault="00E468EF" w:rsidP="00E468EF">
            <w:pPr>
              <w:rPr>
                <w:color w:val="FF0000"/>
                <w:sz w:val="18"/>
                <w:szCs w:val="18"/>
              </w:rPr>
            </w:pPr>
            <w:r w:rsidRPr="008C1552">
              <w:rPr>
                <w:color w:val="FF0000"/>
                <w:sz w:val="18"/>
                <w:szCs w:val="18"/>
              </w:rPr>
              <w:t>A4 Food security is enhanced by aligning the IPPC capacity development strategy on developing national phytosanitary capacity with FAO and other programmes.</w:t>
            </w:r>
          </w:p>
          <w:p w14:paraId="769898B1" w14:textId="77777777" w:rsidR="00E468EF" w:rsidRPr="008C1552" w:rsidRDefault="00E468EF" w:rsidP="00E468EF">
            <w:pPr>
              <w:rPr>
                <w:color w:val="FF0000"/>
                <w:sz w:val="18"/>
                <w:szCs w:val="18"/>
              </w:rPr>
            </w:pPr>
          </w:p>
          <w:p w14:paraId="5726C5EB" w14:textId="77777777" w:rsidR="00E468EF" w:rsidRPr="008C1552" w:rsidRDefault="00E468EF" w:rsidP="00E468EF">
            <w:pPr>
              <w:rPr>
                <w:color w:val="FF0000"/>
                <w:sz w:val="18"/>
                <w:szCs w:val="18"/>
              </w:rPr>
            </w:pPr>
            <w:r w:rsidRPr="008C1552">
              <w:rPr>
                <w:color w:val="FF0000"/>
                <w:sz w:val="18"/>
                <w:szCs w:val="18"/>
              </w:rPr>
              <w:t>B protect the environment, forests and biodiversity from plant pests;</w:t>
            </w:r>
          </w:p>
          <w:p w14:paraId="0583BFE3" w14:textId="5A8547FA" w:rsidR="00E468EF" w:rsidRPr="008C1552" w:rsidRDefault="00E468EF" w:rsidP="00E468EF">
            <w:pPr>
              <w:rPr>
                <w:color w:val="FF0000"/>
                <w:sz w:val="18"/>
                <w:szCs w:val="18"/>
              </w:rPr>
            </w:pPr>
            <w:r w:rsidRPr="008C1552">
              <w:rPr>
                <w:color w:val="FF0000"/>
                <w:sz w:val="18"/>
                <w:szCs w:val="18"/>
              </w:rPr>
              <w:t>B1 The environment protection and forestry secto</w:t>
            </w:r>
            <w:r w:rsidR="00AB4C68">
              <w:rPr>
                <w:color w:val="FF0000"/>
                <w:sz w:val="18"/>
                <w:szCs w:val="18"/>
              </w:rPr>
              <w:t>rs</w:t>
            </w:r>
            <w:r w:rsidR="00AB4C68">
              <w:rPr>
                <w:rFonts w:hint="eastAsia"/>
                <w:color w:val="FF0000"/>
                <w:sz w:val="18"/>
                <w:szCs w:val="18"/>
                <w:lang w:eastAsia="ja-JP"/>
              </w:rPr>
              <w:t>,</w:t>
            </w:r>
            <w:r w:rsidRPr="008C1552">
              <w:rPr>
                <w:color w:val="FF0000"/>
                <w:sz w:val="18"/>
                <w:szCs w:val="18"/>
              </w:rPr>
              <w:t xml:space="preserve"> both domestically and internationally, is provided with sufficient information and tools concerning new pests and their distribution.</w:t>
            </w:r>
          </w:p>
          <w:p w14:paraId="2A651014" w14:textId="77777777" w:rsidR="00E468EF" w:rsidRPr="008C1552" w:rsidRDefault="00E468EF" w:rsidP="00E468EF">
            <w:pPr>
              <w:rPr>
                <w:color w:val="FF0000"/>
                <w:sz w:val="18"/>
                <w:szCs w:val="18"/>
              </w:rPr>
            </w:pPr>
            <w:r w:rsidRPr="008C1552">
              <w:rPr>
                <w:color w:val="FF0000"/>
                <w:sz w:val="18"/>
                <w:szCs w:val="18"/>
              </w:rPr>
              <w:t>B3 Appropriate standards, recommendations and other technical resources that underpin the protection of the environment and help to limit the impact of climate change</w:t>
            </w:r>
          </w:p>
          <w:p w14:paraId="022693FB" w14:textId="77777777" w:rsidR="00E468EF" w:rsidRPr="008C1552" w:rsidRDefault="00E468EF" w:rsidP="00E468EF">
            <w:pPr>
              <w:rPr>
                <w:color w:val="FF0000"/>
                <w:sz w:val="18"/>
                <w:szCs w:val="18"/>
              </w:rPr>
            </w:pPr>
            <w:r w:rsidRPr="008C1552">
              <w:rPr>
                <w:color w:val="FF0000"/>
                <w:sz w:val="18"/>
                <w:szCs w:val="18"/>
              </w:rPr>
              <w:t>B4 Countries are able to protect their natural plant resources against pests as supported by capacity development.</w:t>
            </w:r>
          </w:p>
          <w:p w14:paraId="1D07A6F4" w14:textId="77777777" w:rsidR="00E468EF" w:rsidRPr="008C1552" w:rsidRDefault="00E468EF" w:rsidP="00E468EF">
            <w:pPr>
              <w:rPr>
                <w:color w:val="FF0000"/>
                <w:sz w:val="18"/>
                <w:szCs w:val="18"/>
              </w:rPr>
            </w:pPr>
          </w:p>
          <w:p w14:paraId="499C9CE8" w14:textId="77777777" w:rsidR="00E468EF" w:rsidRPr="008C1552" w:rsidRDefault="00E468EF" w:rsidP="00E468EF">
            <w:pPr>
              <w:rPr>
                <w:color w:val="FF0000"/>
                <w:sz w:val="18"/>
                <w:szCs w:val="18"/>
              </w:rPr>
            </w:pPr>
            <w:r w:rsidRPr="008C1552">
              <w:rPr>
                <w:color w:val="FF0000"/>
                <w:sz w:val="18"/>
                <w:szCs w:val="18"/>
              </w:rPr>
              <w:t>C facilitate economic and trade development through the promotion of harmonized scientifically based phytosanitary measures;</w:t>
            </w:r>
          </w:p>
          <w:p w14:paraId="183C5EF4" w14:textId="77777777" w:rsidR="00E468EF" w:rsidRPr="008C1552" w:rsidRDefault="00E468EF" w:rsidP="00E468EF">
            <w:pPr>
              <w:rPr>
                <w:color w:val="FF0000"/>
                <w:sz w:val="18"/>
                <w:szCs w:val="18"/>
              </w:rPr>
            </w:pPr>
            <w:r w:rsidRPr="008C1552">
              <w:rPr>
                <w:color w:val="FF0000"/>
                <w:sz w:val="18"/>
                <w:szCs w:val="18"/>
              </w:rPr>
              <w:t>C1 Countries evaluate and upgrade their phytosanitary certification systems to take account of the revised standards.</w:t>
            </w:r>
          </w:p>
          <w:p w14:paraId="5F1374FB" w14:textId="77777777" w:rsidR="00E468EF" w:rsidRPr="008C1552" w:rsidRDefault="00E468EF" w:rsidP="00E468EF">
            <w:pPr>
              <w:rPr>
                <w:color w:val="FF0000"/>
                <w:sz w:val="18"/>
                <w:szCs w:val="18"/>
              </w:rPr>
            </w:pPr>
            <w:r w:rsidRPr="008C1552">
              <w:rPr>
                <w:color w:val="FF0000"/>
                <w:sz w:val="18"/>
                <w:szCs w:val="18"/>
              </w:rPr>
              <w:t>C2 Safe trade is facilitated by the provision in the IPPC of a forum for discussion of plant health issues and by the development of pestspecific or commodity-based ISPMs along with associated phytosanitary measures.</w:t>
            </w:r>
          </w:p>
          <w:p w14:paraId="087B9FD2" w14:textId="77777777" w:rsidR="00E468EF" w:rsidRPr="008C1552" w:rsidRDefault="00E468EF" w:rsidP="00E468EF">
            <w:pPr>
              <w:rPr>
                <w:color w:val="FF0000"/>
                <w:sz w:val="18"/>
                <w:szCs w:val="18"/>
              </w:rPr>
            </w:pPr>
          </w:p>
          <w:p w14:paraId="09AEFE94" w14:textId="77777777" w:rsidR="00E468EF" w:rsidRPr="008C1552" w:rsidRDefault="00E468EF" w:rsidP="00E468EF">
            <w:pPr>
              <w:rPr>
                <w:color w:val="FF0000"/>
                <w:sz w:val="18"/>
                <w:szCs w:val="18"/>
              </w:rPr>
            </w:pPr>
            <w:r w:rsidRPr="008C1552">
              <w:rPr>
                <w:color w:val="FF0000"/>
                <w:sz w:val="18"/>
                <w:szCs w:val="18"/>
              </w:rPr>
              <w:t>D develop phytosanitary capacity for members to accomplish A, B and C.</w:t>
            </w:r>
          </w:p>
          <w:p w14:paraId="19692B97" w14:textId="77777777" w:rsidR="00E468EF" w:rsidRPr="008C1552" w:rsidRDefault="00E468EF" w:rsidP="00E468EF">
            <w:pPr>
              <w:rPr>
                <w:color w:val="FF0000"/>
                <w:sz w:val="18"/>
                <w:szCs w:val="18"/>
              </w:rPr>
            </w:pPr>
            <w:r w:rsidRPr="008C1552">
              <w:rPr>
                <w:color w:val="FF0000"/>
                <w:sz w:val="18"/>
                <w:szCs w:val="18"/>
              </w:rPr>
              <w:t>D3 The Implementation Review and Support System is fully implemented. This provides information on the implementation of the IPPC and its standards, and the challenges that members are dealing with, including</w:t>
            </w:r>
          </w:p>
          <w:p w14:paraId="72B9FFB1" w14:textId="77777777" w:rsidR="00E468EF" w:rsidRPr="008C1552" w:rsidRDefault="00E468EF" w:rsidP="00E468EF">
            <w:pPr>
              <w:rPr>
                <w:color w:val="FF0000"/>
                <w:sz w:val="18"/>
                <w:szCs w:val="18"/>
              </w:rPr>
            </w:pPr>
            <w:r w:rsidRPr="008C1552">
              <w:rPr>
                <w:color w:val="FF0000"/>
                <w:sz w:val="18"/>
                <w:szCs w:val="18"/>
              </w:rPr>
              <w:t>problems with the implementation of standards.</w:t>
            </w:r>
          </w:p>
          <w:p w14:paraId="766A74EE" w14:textId="77777777" w:rsidR="000B32EC" w:rsidRPr="00E468EF" w:rsidRDefault="000B32EC" w:rsidP="00551ED4">
            <w:pPr>
              <w:autoSpaceDE w:val="0"/>
              <w:autoSpaceDN w:val="0"/>
              <w:adjustRightInd w:val="0"/>
              <w:rPr>
                <w:rFonts w:cs="Times-Roman"/>
                <w:sz w:val="18"/>
                <w:szCs w:val="18"/>
              </w:rPr>
            </w:pPr>
          </w:p>
        </w:tc>
      </w:tr>
      <w:tr w:rsidR="000B32EC" w:rsidRPr="00E86637" w14:paraId="385E5870" w14:textId="77777777" w:rsidTr="00551ED4">
        <w:trPr>
          <w:trHeight w:val="283"/>
          <w:jc w:val="center"/>
        </w:trPr>
        <w:tc>
          <w:tcPr>
            <w:tcW w:w="5000" w:type="pct"/>
          </w:tcPr>
          <w:p w14:paraId="528E1E66" w14:textId="7438CA0B"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4498E38C" w14:textId="6B7F6487" w:rsidR="00167857" w:rsidRPr="007749E1" w:rsidRDefault="007749E1" w:rsidP="0062311A">
            <w:pPr>
              <w:rPr>
                <w:rFonts w:cs="Times-Bold"/>
                <w:bCs/>
                <w:sz w:val="20"/>
                <w:szCs w:val="20"/>
                <w:lang w:eastAsia="ja-JP"/>
              </w:rPr>
            </w:pPr>
            <w:r w:rsidRPr="00567933">
              <w:rPr>
                <w:rFonts w:cs="Times-Bold"/>
                <w:bCs/>
                <w:color w:val="FF0000"/>
                <w:sz w:val="20"/>
                <w:szCs w:val="20"/>
                <w:lang w:eastAsia="ja-JP"/>
              </w:rPr>
              <w:t>F</w:t>
            </w:r>
            <w:r w:rsidRPr="00567933">
              <w:rPr>
                <w:rFonts w:cs="Times-Bold" w:hint="eastAsia"/>
                <w:bCs/>
                <w:color w:val="FF0000"/>
                <w:sz w:val="20"/>
                <w:szCs w:val="20"/>
                <w:lang w:eastAsia="ja-JP"/>
              </w:rPr>
              <w:t xml:space="preserve">ield </w:t>
            </w:r>
            <w:r w:rsidRPr="00567933">
              <w:rPr>
                <w:rFonts w:cs="Times-Bold"/>
                <w:bCs/>
                <w:color w:val="FF0000"/>
                <w:sz w:val="20"/>
                <w:szCs w:val="20"/>
                <w:lang w:eastAsia="ja-JP"/>
              </w:rPr>
              <w:t xml:space="preserve">inspection at production sites and places is one of the useful and effective inspection methods </w:t>
            </w:r>
            <w:r w:rsidR="0028170F">
              <w:rPr>
                <w:rFonts w:cs="Times-Bold" w:hint="eastAsia"/>
                <w:bCs/>
                <w:color w:val="FF0000"/>
                <w:sz w:val="20"/>
                <w:szCs w:val="20"/>
                <w:lang w:eastAsia="ja-JP"/>
              </w:rPr>
              <w:t xml:space="preserve">which </w:t>
            </w:r>
            <w:r w:rsidRPr="00567933">
              <w:rPr>
                <w:rFonts w:cs="Times-Bold"/>
                <w:bCs/>
                <w:color w:val="FF0000"/>
                <w:sz w:val="20"/>
                <w:szCs w:val="20"/>
                <w:lang w:eastAsia="ja-JP"/>
              </w:rPr>
              <w:t xml:space="preserve">are globally conducted. So we need criteria and standards </w:t>
            </w:r>
            <w:r w:rsidR="00567933" w:rsidRPr="00567933">
              <w:rPr>
                <w:rFonts w:cs="Times-Bold"/>
                <w:bCs/>
                <w:color w:val="FF0000"/>
                <w:sz w:val="20"/>
                <w:szCs w:val="20"/>
                <w:lang w:eastAsia="ja-JP"/>
              </w:rPr>
              <w:t xml:space="preserve">to </w:t>
            </w:r>
            <w:r w:rsidRPr="00567933">
              <w:rPr>
                <w:rFonts w:cs="Times-Bold"/>
                <w:bCs/>
                <w:color w:val="FF0000"/>
                <w:sz w:val="20"/>
                <w:szCs w:val="20"/>
                <w:lang w:eastAsia="ja-JP"/>
              </w:rPr>
              <w:t>implement</w:t>
            </w:r>
            <w:r w:rsidR="00567933" w:rsidRPr="00567933">
              <w:rPr>
                <w:rFonts w:cs="Times-Bold"/>
                <w:bCs/>
                <w:color w:val="FF0000"/>
                <w:sz w:val="20"/>
                <w:szCs w:val="20"/>
                <w:lang w:eastAsia="ja-JP"/>
              </w:rPr>
              <w:t xml:space="preserve"> filed</w:t>
            </w:r>
            <w:r w:rsidRPr="00567933">
              <w:rPr>
                <w:rFonts w:cs="Times-Bold"/>
                <w:bCs/>
                <w:color w:val="FF0000"/>
                <w:sz w:val="20"/>
                <w:szCs w:val="20"/>
                <w:lang w:eastAsia="ja-JP"/>
              </w:rPr>
              <w:t xml:space="preserve"> inspection</w:t>
            </w:r>
            <w:r w:rsidR="0028170F">
              <w:rPr>
                <w:rFonts w:cs="Times-Bold" w:hint="eastAsia"/>
                <w:bCs/>
                <w:color w:val="FF0000"/>
                <w:sz w:val="20"/>
                <w:szCs w:val="20"/>
                <w:lang w:eastAsia="ja-JP"/>
              </w:rPr>
              <w:t xml:space="preserve"> on a harmonized manner</w:t>
            </w:r>
            <w:r w:rsidRPr="00567933">
              <w:rPr>
                <w:rFonts w:cs="Times-Bold"/>
                <w:bCs/>
                <w:color w:val="FF0000"/>
                <w:sz w:val="20"/>
                <w:szCs w:val="20"/>
                <w:lang w:eastAsia="ja-JP"/>
              </w:rPr>
              <w:t>.</w:t>
            </w:r>
          </w:p>
        </w:tc>
      </w:tr>
      <w:tr w:rsidR="000B32EC" w:rsidRPr="00E86637" w14:paraId="145ED092" w14:textId="77777777" w:rsidTr="00551ED4">
        <w:trPr>
          <w:trHeight w:val="125"/>
          <w:jc w:val="center"/>
        </w:trPr>
        <w:tc>
          <w:tcPr>
            <w:tcW w:w="5000" w:type="pct"/>
          </w:tcPr>
          <w:p w14:paraId="16738DB7" w14:textId="77777777"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1074D4" w14:textId="11408E33" w:rsidR="000B32EC" w:rsidRPr="00567933" w:rsidRDefault="00567933" w:rsidP="00567933">
            <w:pPr>
              <w:autoSpaceDE w:val="0"/>
              <w:autoSpaceDN w:val="0"/>
              <w:adjustRightInd w:val="0"/>
              <w:rPr>
                <w:rFonts w:cs="Times-Roman"/>
                <w:sz w:val="20"/>
                <w:szCs w:val="20"/>
                <w:lang w:eastAsia="ja-JP"/>
              </w:rPr>
            </w:pPr>
            <w:r w:rsidRPr="00567933">
              <w:rPr>
                <w:rFonts w:cs="Times-Roman"/>
                <w:color w:val="FF0000"/>
                <w:sz w:val="20"/>
                <w:szCs w:val="20"/>
                <w:lang w:eastAsia="ja-JP"/>
              </w:rPr>
              <w:t>It may be necessary t</w:t>
            </w:r>
            <w:r w:rsidRPr="00567933">
              <w:rPr>
                <w:rFonts w:cs="Times-Roman" w:hint="eastAsia"/>
                <w:color w:val="FF0000"/>
                <w:sz w:val="20"/>
                <w:szCs w:val="20"/>
                <w:lang w:eastAsia="ja-JP"/>
              </w:rPr>
              <w:t xml:space="preserve">o </w:t>
            </w:r>
            <w:r w:rsidRPr="00567933">
              <w:rPr>
                <w:rFonts w:cs="Times-Roman"/>
                <w:color w:val="FF0000"/>
                <w:sz w:val="20"/>
                <w:szCs w:val="20"/>
                <w:lang w:eastAsia="ja-JP"/>
              </w:rPr>
              <w:t xml:space="preserve">improve capacities of inspectors </w:t>
            </w:r>
            <w:r w:rsidR="0028170F">
              <w:rPr>
                <w:rFonts w:cs="Times-Roman" w:hint="eastAsia"/>
                <w:color w:val="FF0000"/>
                <w:sz w:val="20"/>
                <w:szCs w:val="20"/>
                <w:lang w:eastAsia="ja-JP"/>
              </w:rPr>
              <w:t>so that they</w:t>
            </w:r>
            <w:r w:rsidRPr="00567933">
              <w:rPr>
                <w:rFonts w:cs="Times-Roman"/>
                <w:color w:val="FF0000"/>
                <w:sz w:val="20"/>
                <w:szCs w:val="20"/>
                <w:lang w:eastAsia="ja-JP"/>
              </w:rPr>
              <w:t xml:space="preserve"> can carry out inspection with </w:t>
            </w:r>
            <w:r w:rsidRPr="00567933">
              <w:rPr>
                <w:color w:val="FF0000"/>
                <w:sz w:val="20"/>
                <w:szCs w:val="20"/>
                <w:lang w:val="en-US"/>
              </w:rPr>
              <w:t>the accuracy or sensitivity of techniques</w:t>
            </w:r>
            <w:r>
              <w:rPr>
                <w:color w:val="FF0000"/>
                <w:sz w:val="20"/>
                <w:szCs w:val="20"/>
                <w:lang w:val="en-US"/>
              </w:rPr>
              <w:t xml:space="preserve">. </w:t>
            </w: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25C5C71D" w14:textId="77777777" w:rsidR="00567933" w:rsidRPr="00567933" w:rsidRDefault="00567933" w:rsidP="00567933">
            <w:pPr>
              <w:autoSpaceDE w:val="0"/>
              <w:autoSpaceDN w:val="0"/>
              <w:adjustRightInd w:val="0"/>
              <w:rPr>
                <w:color w:val="FF0000"/>
                <w:sz w:val="18"/>
                <w:szCs w:val="18"/>
              </w:rPr>
            </w:pPr>
            <w:r w:rsidRPr="00567933">
              <w:rPr>
                <w:color w:val="FF0000"/>
                <w:sz w:val="18"/>
                <w:szCs w:val="18"/>
              </w:rPr>
              <w:t>Implementation experience by NPPOs and supporting organizations</w:t>
            </w:r>
          </w:p>
          <w:p w14:paraId="7E5076FB" w14:textId="0E104EBA" w:rsidR="000B32EC" w:rsidRPr="004F15FC" w:rsidRDefault="00567933" w:rsidP="00551ED4">
            <w:pPr>
              <w:autoSpaceDE w:val="0"/>
              <w:autoSpaceDN w:val="0"/>
              <w:adjustRightInd w:val="0"/>
              <w:rPr>
                <w:color w:val="FF0000"/>
                <w:sz w:val="18"/>
                <w:szCs w:val="18"/>
              </w:rPr>
            </w:pPr>
            <w:r w:rsidRPr="00567933">
              <w:rPr>
                <w:color w:val="FF0000"/>
                <w:sz w:val="18"/>
                <w:szCs w:val="18"/>
              </w:rPr>
              <w:t>Standards and manuals developed by NPPOs and supporting organizations</w:t>
            </w: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2B6AB24" w14:textId="2C5BF86B"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0A0CE179" w:rsidR="00842047"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2B32A312" w14:textId="50A6A149" w:rsidR="006159D3" w:rsidRDefault="006159D3">
      <w:pPr>
        <w:spacing w:after="160" w:line="259" w:lineRule="auto"/>
        <w:jc w:val="left"/>
        <w:rPr>
          <w:sz w:val="20"/>
          <w:szCs w:val="20"/>
        </w:rPr>
      </w:pPr>
      <w:r>
        <w:rPr>
          <w:sz w:val="20"/>
          <w:szCs w:val="20"/>
        </w:rPr>
        <w:br w:type="page"/>
      </w:r>
    </w:p>
    <w:p w14:paraId="072BD089" w14:textId="77777777" w:rsidR="006159D3" w:rsidRPr="006159D3" w:rsidRDefault="006159D3" w:rsidP="006159D3">
      <w:pPr>
        <w:spacing w:before="120"/>
        <w:rPr>
          <w:b/>
          <w:bCs/>
        </w:rPr>
      </w:pPr>
      <w:r w:rsidRPr="006159D3">
        <w:rPr>
          <w:b/>
          <w:bCs/>
        </w:rPr>
        <w:lastRenderedPageBreak/>
        <w:t>DRAFT SPECIFICATION FOR ISPM: [Title of ISPM] ([Topic no.])</w:t>
      </w:r>
    </w:p>
    <w:p w14:paraId="36EBC3FA" w14:textId="77777777" w:rsidR="006159D3" w:rsidRPr="006159D3" w:rsidRDefault="006159D3" w:rsidP="006159D3">
      <w:pPr>
        <w:spacing w:after="180"/>
        <w:rPr>
          <w:rFonts w:eastAsia="Times"/>
          <w:color w:val="0070C0"/>
        </w:rPr>
      </w:pPr>
      <w:r w:rsidRPr="006159D3">
        <w:rPr>
          <w:rFonts w:eastAsia="Times"/>
          <w:color w:val="0070C0"/>
        </w:rPr>
        <w:t>Specifications are the first stage in the process of preparing the text of a new standard. The content of the specification in its draft and approved format</w:t>
      </w:r>
      <w:r w:rsidRPr="006159D3">
        <w:rPr>
          <w:rFonts w:eastAsia="Times"/>
          <w:color w:val="0070C0"/>
        </w:rPr>
        <w:t/>
      </w:r>
      <w:r w:rsidRPr="006159D3">
        <w:rPr>
          <w:rFonts w:eastAsia="Times"/>
          <w:color w:val="0070C0"/>
        </w:rPr>
        <w:t xml:space="preserve"> changes only very little</w:t>
      </w:r>
      <w:r w:rsidRPr="006159D3">
        <w:rPr>
          <w:rFonts w:eastAsia="Times"/>
          <w:color w:val="0070C0"/>
          <w:lang w:val="en-AU"/>
        </w:rPr>
        <w:t xml:space="preserve">. </w:t>
      </w:r>
      <w:r w:rsidRPr="006159D3">
        <w:rPr>
          <w:rFonts w:eastAsia="Times"/>
          <w:color w:val="0070C0"/>
        </w:rPr>
        <w:t xml:space="preserve">This template shows </w:t>
      </w:r>
      <w:r w:rsidRPr="006159D3">
        <w:rPr>
          <w:rFonts w:eastAsia="Times"/>
          <w:color w:val="0070C0"/>
          <w:lang w:val="en-AU"/>
        </w:rPr>
        <w:t xml:space="preserve">what a </w:t>
      </w:r>
      <w:r w:rsidRPr="006159D3">
        <w:rPr>
          <w:rFonts w:eastAsia="Times"/>
          <w:color w:val="0070C0"/>
        </w:rPr>
        <w:t>specification should include</w:t>
      </w:r>
      <w:r w:rsidRPr="006159D3">
        <w:rPr>
          <w:rFonts w:eastAsia="Times"/>
          <w:color w:val="0070C0"/>
          <w:lang w:val="en-AU"/>
        </w:rPr>
        <w:t>.</w:t>
      </w:r>
      <w:r w:rsidRPr="006159D3">
        <w:rPr>
          <w:rFonts w:eastAsia="Times"/>
          <w:szCs w:val="22"/>
        </w:rPr>
        <w:t xml:space="preserve"> </w:t>
      </w:r>
    </w:p>
    <w:p w14:paraId="0DCA2E1B" w14:textId="77777777" w:rsidR="006159D3" w:rsidRPr="006159D3" w:rsidRDefault="006159D3" w:rsidP="006159D3">
      <w:pPr>
        <w:spacing w:after="180"/>
        <w:rPr>
          <w:rFonts w:eastAsia="Times"/>
          <w:color w:val="0070C0"/>
        </w:rPr>
      </w:pPr>
      <w:r w:rsidRPr="006159D3">
        <w:rPr>
          <w:rFonts w:eastAsia="Times"/>
          <w:color w:val="0070C0"/>
        </w:rPr>
        <w:t xml:space="preserve">Specifications are commented on in the OCS and paragraph numbering is provided via the OCS. </w:t>
      </w:r>
    </w:p>
    <w:p w14:paraId="205784F2" w14:textId="77777777"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Status box</w:t>
      </w:r>
    </w:p>
    <w:p w14:paraId="58940829" w14:textId="77777777" w:rsidR="006159D3" w:rsidRPr="006159D3" w:rsidRDefault="006159D3" w:rsidP="006159D3">
      <w:pPr>
        <w:spacing w:after="180"/>
        <w:rPr>
          <w:rFonts w:eastAsia="Times"/>
          <w:color w:val="0070C0"/>
          <w:szCs w:val="18"/>
        </w:rPr>
      </w:pPr>
      <w:r w:rsidRPr="006159D3">
        <w:rPr>
          <w:rFonts w:eastAsia="Times"/>
          <w:color w:val="0070C0"/>
        </w:rPr>
        <w:t>“Status box” is changed to “Publication history” after approval of the specification and the content rewritten according to established style.</w:t>
      </w:r>
    </w:p>
    <w:tbl>
      <w:tblPr>
        <w:tblpPr w:leftFromText="180" w:rightFromText="180" w:vertAnchor="text" w:horzAnchor="margin" w:tblpY="787"/>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BF" w:firstRow="1" w:lastRow="0" w:firstColumn="1" w:lastColumn="0" w:noHBand="0" w:noVBand="0"/>
      </w:tblPr>
      <w:tblGrid>
        <w:gridCol w:w="2273"/>
        <w:gridCol w:w="6766"/>
      </w:tblGrid>
      <w:tr w:rsidR="006159D3" w:rsidRPr="006159D3" w14:paraId="13FC0868" w14:textId="77777777" w:rsidTr="006159D3">
        <w:trPr>
          <w:trHeight w:val="286"/>
        </w:trPr>
        <w:tc>
          <w:tcPr>
            <w:tcW w:w="9039" w:type="dxa"/>
            <w:gridSpan w:val="2"/>
          </w:tcPr>
          <w:p w14:paraId="4209FB57" w14:textId="77777777" w:rsidR="006159D3" w:rsidRPr="006159D3" w:rsidRDefault="006159D3" w:rsidP="006159D3">
            <w:pPr>
              <w:spacing w:before="60" w:after="60"/>
              <w:jc w:val="left"/>
              <w:rPr>
                <w:rFonts w:ascii="Arial" w:eastAsia="Times" w:hAnsi="Arial"/>
                <w:sz w:val="18"/>
                <w:szCs w:val="18"/>
              </w:rPr>
            </w:pPr>
            <w:r w:rsidRPr="006159D3">
              <w:rPr>
                <w:rFonts w:ascii="Arial" w:eastAsia="Times" w:hAnsi="Arial"/>
                <w:sz w:val="18"/>
                <w:szCs w:val="18"/>
              </w:rPr>
              <w:t>This is not an official part of the specification and it will be modified by the IPPC Secretariat after approval</w:t>
            </w:r>
          </w:p>
        </w:tc>
      </w:tr>
      <w:tr w:rsidR="006159D3" w:rsidRPr="006159D3" w14:paraId="7A86ACA7" w14:textId="77777777" w:rsidTr="006159D3">
        <w:trPr>
          <w:trHeight w:val="286"/>
        </w:trPr>
        <w:tc>
          <w:tcPr>
            <w:tcW w:w="2273" w:type="dxa"/>
          </w:tcPr>
          <w:p w14:paraId="46DB426A" w14:textId="77777777" w:rsidR="006159D3" w:rsidRPr="006159D3" w:rsidRDefault="006159D3" w:rsidP="006159D3">
            <w:pPr>
              <w:spacing w:before="60" w:after="60"/>
              <w:jc w:val="left"/>
              <w:rPr>
                <w:rFonts w:ascii="Arial" w:eastAsia="Times" w:hAnsi="Arial"/>
                <w:b/>
                <w:bCs/>
                <w:sz w:val="18"/>
                <w:szCs w:val="18"/>
              </w:rPr>
            </w:pPr>
            <w:r w:rsidRPr="006159D3">
              <w:rPr>
                <w:rFonts w:ascii="Arial" w:eastAsia="Times" w:hAnsi="Arial"/>
                <w:b/>
                <w:bCs/>
                <w:sz w:val="18"/>
                <w:szCs w:val="18"/>
              </w:rPr>
              <w:t>Date of this document</w:t>
            </w:r>
          </w:p>
        </w:tc>
        <w:tc>
          <w:tcPr>
            <w:tcW w:w="6766" w:type="dxa"/>
          </w:tcPr>
          <w:p w14:paraId="648FC508" w14:textId="77777777" w:rsidR="006159D3" w:rsidRPr="006159D3" w:rsidRDefault="006159D3" w:rsidP="006159D3">
            <w:pPr>
              <w:spacing w:before="60" w:after="60"/>
              <w:jc w:val="left"/>
              <w:rPr>
                <w:rFonts w:ascii="Arial" w:eastAsia="Times" w:hAnsi="Arial"/>
                <w:sz w:val="18"/>
                <w:szCs w:val="18"/>
              </w:rPr>
            </w:pPr>
            <w:r w:rsidRPr="006159D3">
              <w:rPr>
                <w:rFonts w:ascii="Arial" w:eastAsia="Times" w:hAnsi="Arial"/>
                <w:sz w:val="18"/>
                <w:szCs w:val="18"/>
              </w:rPr>
              <w:t>[2017-8-31</w:t>
            </w:r>
          </w:p>
        </w:tc>
      </w:tr>
      <w:tr w:rsidR="006159D3" w:rsidRPr="006159D3" w14:paraId="6ECDC08D" w14:textId="77777777" w:rsidTr="006159D3">
        <w:trPr>
          <w:trHeight w:val="286"/>
        </w:trPr>
        <w:tc>
          <w:tcPr>
            <w:tcW w:w="2273" w:type="dxa"/>
          </w:tcPr>
          <w:p w14:paraId="1B9A8053" w14:textId="77777777" w:rsidR="006159D3" w:rsidRPr="006159D3" w:rsidRDefault="006159D3" w:rsidP="006159D3">
            <w:pPr>
              <w:spacing w:before="60" w:after="60"/>
              <w:jc w:val="left"/>
              <w:rPr>
                <w:rFonts w:ascii="Arial" w:eastAsia="Times" w:hAnsi="Arial"/>
                <w:b/>
                <w:bCs/>
                <w:sz w:val="18"/>
                <w:szCs w:val="18"/>
              </w:rPr>
            </w:pPr>
            <w:r w:rsidRPr="006159D3">
              <w:rPr>
                <w:rFonts w:ascii="Arial" w:eastAsia="Times" w:hAnsi="Arial"/>
                <w:b/>
                <w:bCs/>
                <w:sz w:val="18"/>
                <w:szCs w:val="18"/>
              </w:rPr>
              <w:t>Document category</w:t>
            </w:r>
          </w:p>
        </w:tc>
        <w:tc>
          <w:tcPr>
            <w:tcW w:w="6766" w:type="dxa"/>
          </w:tcPr>
          <w:p w14:paraId="1139BB29" w14:textId="77777777" w:rsidR="006159D3" w:rsidRPr="006159D3" w:rsidRDefault="006159D3" w:rsidP="006159D3">
            <w:pPr>
              <w:spacing w:after="180"/>
              <w:rPr>
                <w:rFonts w:ascii="Arial" w:eastAsia="Times" w:hAnsi="Arial"/>
                <w:color w:val="0070C0"/>
                <w:sz w:val="18"/>
                <w:szCs w:val="18"/>
              </w:rPr>
            </w:pPr>
            <w:r w:rsidRPr="006159D3">
              <w:rPr>
                <w:rFonts w:ascii="Arial" w:eastAsia="Times" w:hAnsi="Arial"/>
                <w:sz w:val="18"/>
                <w:szCs w:val="18"/>
              </w:rPr>
              <w:t>Draft specification for an ISPM</w:t>
            </w:r>
          </w:p>
        </w:tc>
      </w:tr>
      <w:tr w:rsidR="006159D3" w:rsidRPr="006159D3" w14:paraId="5F23B5DF" w14:textId="77777777" w:rsidTr="006159D3">
        <w:trPr>
          <w:trHeight w:val="299"/>
        </w:trPr>
        <w:tc>
          <w:tcPr>
            <w:tcW w:w="2273" w:type="dxa"/>
          </w:tcPr>
          <w:p w14:paraId="6660C4F3" w14:textId="77777777" w:rsidR="006159D3" w:rsidRPr="006159D3" w:rsidRDefault="006159D3" w:rsidP="006159D3">
            <w:pPr>
              <w:spacing w:before="60" w:after="60"/>
              <w:jc w:val="left"/>
              <w:rPr>
                <w:rFonts w:ascii="Arial" w:eastAsia="Times" w:hAnsi="Arial"/>
                <w:b/>
                <w:bCs/>
                <w:sz w:val="18"/>
                <w:szCs w:val="18"/>
              </w:rPr>
            </w:pPr>
            <w:r w:rsidRPr="006159D3">
              <w:rPr>
                <w:rFonts w:ascii="Arial" w:eastAsia="Times" w:hAnsi="Arial"/>
                <w:b/>
                <w:bCs/>
                <w:sz w:val="18"/>
                <w:szCs w:val="18"/>
              </w:rPr>
              <w:t>Current document stage</w:t>
            </w:r>
          </w:p>
        </w:tc>
        <w:tc>
          <w:tcPr>
            <w:tcW w:w="6766" w:type="dxa"/>
          </w:tcPr>
          <w:p w14:paraId="2970957D" w14:textId="77777777" w:rsidR="006159D3" w:rsidRPr="006159D3" w:rsidRDefault="006159D3" w:rsidP="006159D3">
            <w:pPr>
              <w:spacing w:after="180"/>
              <w:rPr>
                <w:rFonts w:ascii="Arial" w:eastAsia="Times" w:hAnsi="Arial"/>
                <w:color w:val="0070C0"/>
                <w:sz w:val="18"/>
                <w:szCs w:val="18"/>
              </w:rPr>
            </w:pPr>
          </w:p>
        </w:tc>
      </w:tr>
      <w:tr w:rsidR="006159D3" w:rsidRPr="006159D3" w14:paraId="3E8439D6" w14:textId="77777777" w:rsidTr="006159D3">
        <w:trPr>
          <w:trHeight w:val="491"/>
        </w:trPr>
        <w:tc>
          <w:tcPr>
            <w:tcW w:w="2273" w:type="dxa"/>
          </w:tcPr>
          <w:p w14:paraId="78052791" w14:textId="77777777" w:rsidR="006159D3" w:rsidRPr="006159D3" w:rsidRDefault="006159D3" w:rsidP="006159D3">
            <w:pPr>
              <w:spacing w:before="60" w:after="60"/>
              <w:jc w:val="left"/>
              <w:rPr>
                <w:rFonts w:ascii="Arial" w:eastAsia="Times" w:hAnsi="Arial"/>
                <w:b/>
                <w:bCs/>
                <w:sz w:val="18"/>
                <w:szCs w:val="18"/>
              </w:rPr>
            </w:pPr>
            <w:r w:rsidRPr="006159D3">
              <w:rPr>
                <w:rFonts w:ascii="Arial" w:eastAsia="Times" w:hAnsi="Arial"/>
                <w:b/>
                <w:bCs/>
                <w:sz w:val="18"/>
                <w:szCs w:val="18"/>
              </w:rPr>
              <w:t>Major stages</w:t>
            </w:r>
          </w:p>
        </w:tc>
        <w:tc>
          <w:tcPr>
            <w:tcW w:w="6766" w:type="dxa"/>
          </w:tcPr>
          <w:p w14:paraId="78CBD3AB" w14:textId="77777777" w:rsidR="006159D3" w:rsidRPr="006159D3" w:rsidRDefault="006159D3" w:rsidP="006159D3">
            <w:pPr>
              <w:spacing w:after="180"/>
              <w:rPr>
                <w:rFonts w:ascii="Arial" w:eastAsia="Times" w:hAnsi="Arial"/>
                <w:color w:val="0070C0"/>
                <w:sz w:val="18"/>
              </w:rPr>
            </w:pPr>
          </w:p>
        </w:tc>
      </w:tr>
      <w:tr w:rsidR="006159D3" w:rsidRPr="006159D3" w14:paraId="30827DC4" w14:textId="77777777" w:rsidTr="006159D3">
        <w:trPr>
          <w:trHeight w:val="491"/>
        </w:trPr>
        <w:tc>
          <w:tcPr>
            <w:tcW w:w="2273" w:type="dxa"/>
          </w:tcPr>
          <w:p w14:paraId="71ABA42D" w14:textId="77777777" w:rsidR="006159D3" w:rsidRPr="006159D3" w:rsidRDefault="006159D3" w:rsidP="006159D3">
            <w:pPr>
              <w:spacing w:before="60" w:after="60"/>
              <w:jc w:val="left"/>
              <w:rPr>
                <w:rFonts w:ascii="Arial" w:eastAsia="Times" w:hAnsi="Arial"/>
                <w:b/>
                <w:bCs/>
                <w:sz w:val="18"/>
                <w:szCs w:val="18"/>
              </w:rPr>
            </w:pPr>
            <w:r w:rsidRPr="006159D3">
              <w:rPr>
                <w:rFonts w:ascii="Arial" w:eastAsia="Times" w:hAnsi="Arial"/>
                <w:b/>
                <w:bCs/>
                <w:sz w:val="18"/>
                <w:szCs w:val="18"/>
              </w:rPr>
              <w:t>Steward history</w:t>
            </w:r>
          </w:p>
        </w:tc>
        <w:tc>
          <w:tcPr>
            <w:tcW w:w="6766" w:type="dxa"/>
          </w:tcPr>
          <w:p w14:paraId="60C63F97" w14:textId="77777777" w:rsidR="006159D3" w:rsidRPr="006159D3" w:rsidRDefault="006159D3" w:rsidP="006159D3">
            <w:pPr>
              <w:spacing w:before="60" w:after="60"/>
              <w:jc w:val="left"/>
              <w:rPr>
                <w:rFonts w:ascii="Arial" w:eastAsia="Times" w:hAnsi="Arial"/>
                <w:color w:val="0070C0"/>
                <w:sz w:val="18"/>
                <w:szCs w:val="18"/>
              </w:rPr>
            </w:pPr>
          </w:p>
        </w:tc>
      </w:tr>
      <w:tr w:rsidR="006159D3" w:rsidRPr="006159D3" w14:paraId="373836DD" w14:textId="77777777" w:rsidTr="006159D3">
        <w:trPr>
          <w:trHeight w:val="491"/>
        </w:trPr>
        <w:tc>
          <w:tcPr>
            <w:tcW w:w="2273" w:type="dxa"/>
          </w:tcPr>
          <w:p w14:paraId="191F8FFD" w14:textId="77777777" w:rsidR="006159D3" w:rsidRPr="006159D3" w:rsidRDefault="006159D3" w:rsidP="006159D3">
            <w:pPr>
              <w:spacing w:before="60" w:after="60"/>
              <w:jc w:val="left"/>
              <w:rPr>
                <w:rFonts w:ascii="Arial" w:eastAsia="Times" w:hAnsi="Arial"/>
                <w:b/>
                <w:bCs/>
                <w:sz w:val="18"/>
                <w:szCs w:val="18"/>
              </w:rPr>
            </w:pPr>
            <w:r w:rsidRPr="006159D3">
              <w:rPr>
                <w:rFonts w:ascii="Arial" w:eastAsia="Times" w:hAnsi="Arial"/>
                <w:b/>
                <w:bCs/>
                <w:sz w:val="18"/>
                <w:szCs w:val="18"/>
              </w:rPr>
              <w:t>Notes</w:t>
            </w:r>
          </w:p>
        </w:tc>
        <w:tc>
          <w:tcPr>
            <w:tcW w:w="6766" w:type="dxa"/>
          </w:tcPr>
          <w:p w14:paraId="6AE390D5" w14:textId="77777777" w:rsidR="006159D3" w:rsidRPr="006159D3" w:rsidDel="00685537" w:rsidRDefault="006159D3" w:rsidP="006159D3">
            <w:pPr>
              <w:spacing w:after="180"/>
              <w:rPr>
                <w:rFonts w:ascii="Arial" w:eastAsia="Times" w:hAnsi="Arial"/>
                <w:color w:val="0070C0"/>
                <w:sz w:val="18"/>
                <w:szCs w:val="18"/>
              </w:rPr>
            </w:pPr>
          </w:p>
        </w:tc>
      </w:tr>
    </w:tbl>
    <w:p w14:paraId="029D7CF4" w14:textId="49D50532"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Title</w:t>
      </w:r>
    </w:p>
    <w:p w14:paraId="6ECF46BF" w14:textId="77777777" w:rsidR="006159D3" w:rsidRPr="006159D3" w:rsidRDefault="006159D3" w:rsidP="006159D3">
      <w:pPr>
        <w:numPr>
          <w:ilvl w:val="0"/>
          <w:numId w:val="24"/>
        </w:numPr>
        <w:spacing w:after="180"/>
        <w:ind w:hanging="1287"/>
        <w:rPr>
          <w:rFonts w:eastAsia="Times"/>
        </w:rPr>
      </w:pPr>
      <w:r w:rsidRPr="006159D3">
        <w:rPr>
          <w:rFonts w:eastAsia="Times"/>
          <w:lang w:val="en-AU"/>
        </w:rPr>
        <w:t>[</w:t>
      </w:r>
      <w:r w:rsidRPr="006159D3">
        <w:rPr>
          <w:rFonts w:eastAsia="Times"/>
          <w:color w:val="FF0000"/>
          <w:lang w:val="en-AU"/>
        </w:rPr>
        <w:t>Guidelines for field inspection</w:t>
      </w:r>
      <w:r w:rsidRPr="006159D3">
        <w:rPr>
          <w:rFonts w:eastAsia="Times"/>
          <w:lang w:val="en-AU"/>
        </w:rPr>
        <w:t>].</w:t>
      </w:r>
    </w:p>
    <w:p w14:paraId="20DA10BE" w14:textId="77777777" w:rsidR="006159D3" w:rsidRPr="006159D3" w:rsidRDefault="006159D3" w:rsidP="006159D3">
      <w:pPr>
        <w:keepNext/>
        <w:tabs>
          <w:tab w:val="left" w:pos="0"/>
        </w:tabs>
        <w:spacing w:before="60" w:after="60"/>
        <w:jc w:val="left"/>
        <w:rPr>
          <w:b/>
          <w:bCs/>
          <w:iCs/>
          <w:szCs w:val="22"/>
        </w:rPr>
      </w:pPr>
      <w:r w:rsidRPr="006159D3">
        <w:rPr>
          <w:b/>
          <w:bCs/>
          <w:iCs/>
          <w:szCs w:val="22"/>
        </w:rPr>
        <w:t xml:space="preserve">Reason for the ISPM </w:t>
      </w:r>
    </w:p>
    <w:p w14:paraId="68C0FD19" w14:textId="77777777" w:rsidR="006159D3" w:rsidRPr="006159D3" w:rsidRDefault="006159D3" w:rsidP="006159D3">
      <w:pPr>
        <w:keepNext/>
        <w:tabs>
          <w:tab w:val="left" w:pos="0"/>
        </w:tabs>
        <w:spacing w:before="60" w:after="60"/>
        <w:jc w:val="left"/>
        <w:rPr>
          <w:bCs/>
          <w:iCs/>
          <w:szCs w:val="22"/>
        </w:rPr>
      </w:pPr>
      <w:r w:rsidRPr="006159D3">
        <w:rPr>
          <w:bCs/>
          <w:iCs/>
          <w:color w:val="FF0000"/>
          <w:szCs w:val="22"/>
        </w:rPr>
        <w:t xml:space="preserve">Field inspection may be </w:t>
      </w:r>
      <w:r w:rsidRPr="006159D3">
        <w:rPr>
          <w:rFonts w:hint="eastAsia"/>
          <w:bCs/>
          <w:iCs/>
          <w:color w:val="FF0000"/>
          <w:szCs w:val="22"/>
          <w:lang w:eastAsia="ja-JP"/>
        </w:rPr>
        <w:t xml:space="preserve">conducted as </w:t>
      </w:r>
      <w:r w:rsidRPr="006159D3">
        <w:rPr>
          <w:bCs/>
          <w:iCs/>
          <w:color w:val="FF0000"/>
          <w:szCs w:val="22"/>
        </w:rPr>
        <w:t xml:space="preserve">a phytosanitary measure to detect some regulated pests that produce visible symptoms. ISPM38 briefly describe field inspection as one of </w:t>
      </w:r>
      <w:r w:rsidRPr="006159D3">
        <w:rPr>
          <w:rFonts w:hint="eastAsia"/>
          <w:bCs/>
          <w:iCs/>
          <w:color w:val="FF0000"/>
          <w:szCs w:val="22"/>
          <w:lang w:eastAsia="ja-JP"/>
        </w:rPr>
        <w:t xml:space="preserve">the </w:t>
      </w:r>
      <w:r w:rsidRPr="006159D3">
        <w:rPr>
          <w:bCs/>
          <w:iCs/>
          <w:color w:val="FF0000"/>
          <w:szCs w:val="22"/>
        </w:rPr>
        <w:t>phytosanitary measures on seeds but there are no guidelines in other ISPMs. Internationally agreed guidelines on field inspection will help to harmonize procedures to carry out phytosanitary inspection activities for the purpose of export of plants.</w:t>
      </w:r>
      <w:r w:rsidRPr="006159D3">
        <w:rPr>
          <w:bCs/>
          <w:iCs/>
          <w:szCs w:val="22"/>
        </w:rPr>
        <w:t xml:space="preserve"> </w:t>
      </w:r>
    </w:p>
    <w:p w14:paraId="4EBA8B23" w14:textId="77777777"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Scope and Purpose</w:t>
      </w:r>
    </w:p>
    <w:p w14:paraId="65789C7F" w14:textId="77777777" w:rsidR="006159D3" w:rsidRPr="006159D3" w:rsidRDefault="006159D3" w:rsidP="006159D3">
      <w:pPr>
        <w:numPr>
          <w:ilvl w:val="0"/>
          <w:numId w:val="24"/>
        </w:numPr>
        <w:spacing w:after="180"/>
        <w:ind w:left="0" w:hanging="567"/>
        <w:rPr>
          <w:rFonts w:eastAsia="Times"/>
          <w:bCs/>
          <w:color w:val="FF0000"/>
          <w:szCs w:val="22"/>
        </w:rPr>
      </w:pPr>
      <w:r w:rsidRPr="006159D3">
        <w:rPr>
          <w:rFonts w:eastAsia="Times"/>
          <w:bCs/>
          <w:color w:val="FF0000"/>
          <w:szCs w:val="22"/>
        </w:rPr>
        <w:t>This standard will provide general and technical guidance on field inspection procedures and methodologies to be used by NPPOs in developing guidelines</w:t>
      </w:r>
      <w:r w:rsidRPr="006159D3">
        <w:rPr>
          <w:rFonts w:hint="eastAsia"/>
          <w:bCs/>
          <w:color w:val="FF0000"/>
          <w:szCs w:val="22"/>
          <w:lang w:eastAsia="ja-JP"/>
        </w:rPr>
        <w:t xml:space="preserve"> in the countries</w:t>
      </w:r>
      <w:r w:rsidRPr="006159D3">
        <w:rPr>
          <w:rFonts w:eastAsia="Times"/>
          <w:bCs/>
          <w:color w:val="FF0000"/>
          <w:szCs w:val="22"/>
        </w:rPr>
        <w:t xml:space="preserve"> or conducting</w:t>
      </w:r>
      <w:r w:rsidRPr="006159D3">
        <w:rPr>
          <w:rFonts w:hint="eastAsia"/>
          <w:bCs/>
          <w:color w:val="FF0000"/>
          <w:szCs w:val="22"/>
          <w:lang w:eastAsia="ja-JP"/>
        </w:rPr>
        <w:t xml:space="preserve"> inspection</w:t>
      </w:r>
      <w:r w:rsidRPr="006159D3">
        <w:rPr>
          <w:rFonts w:eastAsia="Times"/>
          <w:bCs/>
          <w:color w:val="FF0000"/>
          <w:szCs w:val="22"/>
        </w:rPr>
        <w:t xml:space="preserve"> in</w:t>
      </w:r>
      <w:r w:rsidRPr="006159D3">
        <w:rPr>
          <w:rFonts w:hint="eastAsia"/>
          <w:bCs/>
          <w:color w:val="FF0000"/>
          <w:szCs w:val="22"/>
          <w:lang w:eastAsia="ja-JP"/>
        </w:rPr>
        <w:t xml:space="preserve"> </w:t>
      </w:r>
      <w:r w:rsidRPr="006159D3">
        <w:rPr>
          <w:rFonts w:eastAsia="Times"/>
          <w:bCs/>
          <w:color w:val="FF0000"/>
          <w:szCs w:val="22"/>
        </w:rPr>
        <w:t>fields for the purpose of export</w:t>
      </w:r>
      <w:r w:rsidRPr="006159D3">
        <w:rPr>
          <w:rFonts w:hint="eastAsia"/>
          <w:bCs/>
          <w:color w:val="FF0000"/>
          <w:szCs w:val="22"/>
          <w:lang w:eastAsia="ja-JP"/>
        </w:rPr>
        <w:t xml:space="preserve"> of plants</w:t>
      </w:r>
      <w:r w:rsidRPr="006159D3">
        <w:rPr>
          <w:rFonts w:eastAsia="Times"/>
          <w:bCs/>
          <w:color w:val="FF0000"/>
          <w:szCs w:val="22"/>
        </w:rPr>
        <w:t>.</w:t>
      </w:r>
    </w:p>
    <w:p w14:paraId="5F18ABB8" w14:textId="77777777" w:rsidR="006159D3" w:rsidRPr="006159D3" w:rsidRDefault="006159D3" w:rsidP="006159D3">
      <w:pPr>
        <w:keepNext/>
        <w:tabs>
          <w:tab w:val="left" w:pos="567"/>
        </w:tabs>
        <w:spacing w:before="60" w:after="60"/>
        <w:jc w:val="left"/>
        <w:rPr>
          <w:b/>
          <w:bCs/>
          <w:iCs/>
          <w:szCs w:val="22"/>
        </w:rPr>
      </w:pPr>
      <w:r w:rsidRPr="006159D3">
        <w:rPr>
          <w:b/>
          <w:bCs/>
          <w:iCs/>
          <w:szCs w:val="22"/>
        </w:rPr>
        <w:t>Tasks</w:t>
      </w:r>
    </w:p>
    <w:p w14:paraId="5080AE26" w14:textId="77777777" w:rsidR="006159D3" w:rsidRPr="006159D3" w:rsidRDefault="006159D3" w:rsidP="006159D3">
      <w:pPr>
        <w:numPr>
          <w:ilvl w:val="0"/>
          <w:numId w:val="24"/>
        </w:numPr>
        <w:spacing w:after="180"/>
        <w:ind w:left="0" w:hanging="567"/>
        <w:rPr>
          <w:rFonts w:eastAsia="Times"/>
        </w:rPr>
      </w:pPr>
      <w:r w:rsidRPr="006159D3">
        <w:rPr>
          <w:rFonts w:eastAsia="Times"/>
        </w:rPr>
        <w:t xml:space="preserve">The expert drafting group </w:t>
      </w:r>
      <w:r w:rsidRPr="006159D3">
        <w:rPr>
          <w:rFonts w:eastAsia="Times"/>
          <w:lang w:val="en-AU"/>
        </w:rPr>
        <w:t xml:space="preserve">(EDG) </w:t>
      </w:r>
      <w:r w:rsidRPr="006159D3">
        <w:rPr>
          <w:rFonts w:eastAsia="Times"/>
        </w:rPr>
        <w:t>should undertake the following tasks:</w:t>
      </w:r>
    </w:p>
    <w:p w14:paraId="6E955B7B" w14:textId="77777777" w:rsidR="006159D3" w:rsidRPr="006159D3" w:rsidRDefault="006159D3" w:rsidP="006159D3">
      <w:pPr>
        <w:pStyle w:val="IPPNumberedList"/>
        <w:rPr>
          <w:color w:val="FF0000"/>
        </w:rPr>
      </w:pPr>
      <w:r w:rsidRPr="006159D3">
        <w:rPr>
          <w:color w:val="FF0000"/>
        </w:rPr>
        <w:t xml:space="preserve">Consider procedures for </w:t>
      </w:r>
      <w:r w:rsidRPr="006159D3">
        <w:rPr>
          <w:color w:val="FF0000"/>
        </w:rPr>
        <w:t>field</w:t>
      </w:r>
      <w:r w:rsidRPr="006159D3">
        <w:rPr>
          <w:color w:val="FF0000"/>
        </w:rPr>
        <w:t xml:space="preserve"> inspection, field inspection strategy, inspection objectives, responsibility, requirements for inspectors, other considerations for inspection, inspection in relation to PRA</w:t>
      </w:r>
    </w:p>
    <w:p w14:paraId="3AF9B1FB" w14:textId="77777777" w:rsidR="006159D3" w:rsidRPr="006159D3" w:rsidRDefault="006159D3" w:rsidP="006159D3">
      <w:pPr>
        <w:pStyle w:val="IPPNumberedList"/>
        <w:rPr>
          <w:color w:val="FF0000"/>
        </w:rPr>
      </w:pPr>
      <w:r w:rsidRPr="006159D3">
        <w:rPr>
          <w:color w:val="FF0000"/>
        </w:rPr>
        <w:t>Consider field inspection methodologies:</w:t>
      </w:r>
    </w:p>
    <w:p w14:paraId="182DCB5E" w14:textId="77777777" w:rsidR="006159D3" w:rsidRPr="006159D3" w:rsidRDefault="006159D3" w:rsidP="006159D3">
      <w:pPr>
        <w:numPr>
          <w:ilvl w:val="0"/>
          <w:numId w:val="25"/>
        </w:numPr>
        <w:spacing w:after="60"/>
        <w:ind w:left="1134" w:hanging="425"/>
        <w:rPr>
          <w:rFonts w:eastAsia="Times"/>
          <w:color w:val="FF0000"/>
          <w:szCs w:val="22"/>
          <w:lang w:val="en-US"/>
        </w:rPr>
      </w:pPr>
      <w:r w:rsidRPr="006159D3">
        <w:rPr>
          <w:rFonts w:eastAsia="Times"/>
          <w:color w:val="FF0000"/>
          <w:szCs w:val="22"/>
          <w:lang w:val="en-US"/>
        </w:rPr>
        <w:t>examination of documents</w:t>
      </w:r>
    </w:p>
    <w:p w14:paraId="2FDF9F2E" w14:textId="77777777" w:rsidR="006159D3" w:rsidRPr="006159D3" w:rsidRDefault="006159D3" w:rsidP="006159D3">
      <w:pPr>
        <w:numPr>
          <w:ilvl w:val="0"/>
          <w:numId w:val="25"/>
        </w:numPr>
        <w:spacing w:after="60"/>
        <w:ind w:left="1134" w:hanging="425"/>
        <w:rPr>
          <w:rFonts w:eastAsia="Times"/>
          <w:color w:val="FF0000"/>
          <w:szCs w:val="22"/>
          <w:lang w:val="en-US"/>
        </w:rPr>
      </w:pPr>
      <w:r w:rsidRPr="006159D3">
        <w:rPr>
          <w:rFonts w:eastAsia="Times"/>
          <w:color w:val="FF0000"/>
          <w:szCs w:val="22"/>
          <w:lang w:val="en-US"/>
        </w:rPr>
        <w:t>visual examination for targeted pests, e.g. nematode, virus, viroid, bacteria, fungi and insects and symptom of plants</w:t>
      </w:r>
    </w:p>
    <w:p w14:paraId="30EA6CDF" w14:textId="77777777" w:rsidR="006159D3" w:rsidRPr="006159D3" w:rsidRDefault="006159D3" w:rsidP="006159D3">
      <w:pPr>
        <w:numPr>
          <w:ilvl w:val="0"/>
          <w:numId w:val="25"/>
        </w:numPr>
        <w:spacing w:after="60"/>
        <w:ind w:left="1134" w:hanging="425"/>
        <w:rPr>
          <w:rFonts w:eastAsia="Times"/>
          <w:color w:val="FF0000"/>
          <w:szCs w:val="22"/>
          <w:lang w:val="en-US"/>
        </w:rPr>
      </w:pPr>
      <w:r w:rsidRPr="006159D3">
        <w:rPr>
          <w:rFonts w:eastAsia="Times"/>
          <w:color w:val="FF0000"/>
          <w:szCs w:val="22"/>
          <w:lang w:val="en-US"/>
        </w:rPr>
        <w:t>inspection methods (e.g. inspection pattern e.g. stagger “X” pattern, equidistant passes pattern, appropriate timing and the number of inspection, selection for sites and places, sampling for plants and detection methods)</w:t>
      </w:r>
    </w:p>
    <w:p w14:paraId="2C5F7397" w14:textId="77777777" w:rsidR="006159D3" w:rsidRPr="006159D3" w:rsidRDefault="006159D3" w:rsidP="006159D3">
      <w:pPr>
        <w:numPr>
          <w:ilvl w:val="0"/>
          <w:numId w:val="25"/>
        </w:numPr>
        <w:spacing w:after="60"/>
        <w:ind w:left="1134" w:hanging="425"/>
        <w:rPr>
          <w:rFonts w:eastAsia="Times"/>
          <w:color w:val="FF0000"/>
          <w:szCs w:val="22"/>
          <w:lang w:val="en-US"/>
        </w:rPr>
      </w:pPr>
      <w:r w:rsidRPr="006159D3">
        <w:rPr>
          <w:rFonts w:eastAsia="Times"/>
          <w:color w:val="FF0000"/>
          <w:szCs w:val="22"/>
          <w:lang w:val="en-US"/>
        </w:rPr>
        <w:t>asymptomatic cases</w:t>
      </w:r>
    </w:p>
    <w:p w14:paraId="64E233C2" w14:textId="77777777" w:rsidR="006159D3" w:rsidRPr="006159D3" w:rsidRDefault="006159D3" w:rsidP="006159D3">
      <w:pPr>
        <w:numPr>
          <w:ilvl w:val="2"/>
          <w:numId w:val="25"/>
        </w:numPr>
        <w:spacing w:after="60"/>
        <w:ind w:left="1134" w:hanging="425"/>
        <w:rPr>
          <w:rFonts w:eastAsia="Times"/>
          <w:color w:val="FF0000"/>
          <w:szCs w:val="22"/>
          <w:lang w:val="en-US"/>
        </w:rPr>
      </w:pPr>
      <w:r w:rsidRPr="006159D3">
        <w:rPr>
          <w:rFonts w:eastAsia="Times"/>
          <w:color w:val="FF0000"/>
          <w:szCs w:val="22"/>
          <w:lang w:val="en-US"/>
        </w:rPr>
        <w:lastRenderedPageBreak/>
        <w:t>inspection outcome</w:t>
      </w:r>
    </w:p>
    <w:p w14:paraId="54E87364" w14:textId="77777777" w:rsidR="006159D3" w:rsidRPr="006159D3" w:rsidRDefault="006159D3" w:rsidP="006159D3">
      <w:pPr>
        <w:pStyle w:val="IPPNumberedList"/>
        <w:rPr>
          <w:color w:val="FF0000"/>
        </w:rPr>
      </w:pPr>
      <w:r w:rsidRPr="006159D3">
        <w:rPr>
          <w:color w:val="FF0000"/>
        </w:rPr>
        <w:t>Identify requirements of inspectors, equipment and tools</w:t>
      </w:r>
    </w:p>
    <w:p w14:paraId="749F9BF7" w14:textId="77777777" w:rsidR="006159D3" w:rsidRPr="006159D3" w:rsidRDefault="006159D3" w:rsidP="006159D3">
      <w:pPr>
        <w:pStyle w:val="IPPNumberedList"/>
        <w:rPr>
          <w:color w:val="FF0000"/>
        </w:rPr>
      </w:pPr>
      <w:r w:rsidRPr="006159D3">
        <w:rPr>
          <w:color w:val="FF0000"/>
        </w:rPr>
        <w:t>Describe other requirements such as compliance with phytosanitary regulations, review of inspection systems, training, transparency, documentation and reporting</w:t>
      </w:r>
    </w:p>
    <w:p w14:paraId="2A2F4E5D" w14:textId="77777777" w:rsidR="006159D3" w:rsidRPr="006159D3" w:rsidRDefault="006159D3" w:rsidP="006159D3">
      <w:pPr>
        <w:pStyle w:val="IPPNumberedList"/>
        <w:rPr>
          <w:color w:val="FF0000"/>
        </w:rPr>
      </w:pPr>
      <w:r w:rsidRPr="006159D3">
        <w:rPr>
          <w:color w:val="FF0000"/>
        </w:rPr>
        <w:t xml:space="preserve">Consider whether detailed technical information </w:t>
      </w:r>
      <w:r w:rsidRPr="006159D3">
        <w:rPr>
          <w:rFonts w:hint="eastAsia"/>
          <w:color w:val="FF0000"/>
          <w:lang w:eastAsia="ja-JP"/>
        </w:rPr>
        <w:t>is</w:t>
      </w:r>
      <w:r w:rsidRPr="006159D3">
        <w:rPr>
          <w:color w:val="FF0000"/>
        </w:rPr>
        <w:t xml:space="preserve"> provided in Appendi</w:t>
      </w:r>
      <w:r w:rsidRPr="006159D3">
        <w:rPr>
          <w:rFonts w:hint="eastAsia"/>
          <w:color w:val="FF0000"/>
          <w:lang w:eastAsia="ja-JP"/>
        </w:rPr>
        <w:t>c</w:t>
      </w:r>
      <w:r w:rsidRPr="006159D3">
        <w:rPr>
          <w:color w:val="FF0000"/>
        </w:rPr>
        <w:t>es: disease diagnosis in field and laboratory, commodity and commodity class based inspection methods</w:t>
      </w:r>
    </w:p>
    <w:p w14:paraId="73DE1488" w14:textId="77777777" w:rsidR="006159D3" w:rsidRPr="006159D3" w:rsidRDefault="006159D3" w:rsidP="006159D3">
      <w:pPr>
        <w:pStyle w:val="IPPNumberedList"/>
      </w:pPr>
      <w:r w:rsidRPr="006159D3">
        <w:t>Consider whether the ISPM could affect in a specific way (positively or negatively) the protection of biodiversity and the environment. If this is the case, the impact should be identified, addressed and clarified in the draft ISPM.</w:t>
      </w:r>
    </w:p>
    <w:p w14:paraId="29C6A1F0" w14:textId="77777777" w:rsidR="006159D3" w:rsidRPr="006159D3" w:rsidRDefault="006159D3" w:rsidP="006159D3">
      <w:pPr>
        <w:pStyle w:val="IPPNumberedList"/>
      </w:pPr>
      <w:r w:rsidRPr="006159D3">
        <w:t>Consider implementation of the standard by contracting parties and identify potential operational and technical implementation issues. Provide information and possible recommendations on these issues to the Standards Committee (SC).</w:t>
      </w:r>
      <w:r w:rsidRPr="006159D3">
        <w:rPr>
          <w:highlight w:val="yellow"/>
        </w:rPr>
        <w:t xml:space="preserve"> </w:t>
      </w:r>
    </w:p>
    <w:p w14:paraId="443F49D5" w14:textId="77777777"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Provision of resources</w:t>
      </w:r>
      <w:r w:rsidRPr="006159D3">
        <w:rPr>
          <w:b/>
          <w:bCs/>
          <w:iCs/>
          <w:color w:val="76923C"/>
          <w:szCs w:val="22"/>
        </w:rPr>
        <w:t xml:space="preserve"> </w:t>
      </w:r>
    </w:p>
    <w:p w14:paraId="4B003B75" w14:textId="77777777" w:rsidR="006159D3" w:rsidRPr="006159D3" w:rsidRDefault="006159D3" w:rsidP="006159D3">
      <w:pPr>
        <w:numPr>
          <w:ilvl w:val="0"/>
          <w:numId w:val="24"/>
        </w:numPr>
        <w:spacing w:after="180"/>
        <w:ind w:left="0" w:hanging="567"/>
        <w:rPr>
          <w:rFonts w:eastAsia="Times"/>
        </w:rPr>
      </w:pPr>
      <w:r w:rsidRPr="006159D3">
        <w:rPr>
          <w:rFonts w:eastAsia="Times"/>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sidRPr="006159D3">
        <w:rPr>
          <w:rFonts w:eastAsia="Times"/>
          <w:i/>
          <w:iCs/>
          <w:szCs w:val="22"/>
        </w:rPr>
        <w:t>Criteria used for prioritizing participants to receive travel assistance to attend meetings organized by the IPPC Secretariat</w:t>
      </w:r>
      <w:r w:rsidRPr="006159D3">
        <w:rPr>
          <w:rFonts w:eastAsia="Times"/>
        </w:rPr>
        <w:t xml:space="preserve"> posted on the International Phytosanitary Portal (IPP) (see </w:t>
      </w:r>
      <w:hyperlink r:id="rId16" w:history="1">
        <w:r w:rsidRPr="006159D3">
          <w:rPr>
            <w:rFonts w:eastAsia="Times"/>
            <w:color w:val="0000FF"/>
            <w:u w:val="single"/>
          </w:rPr>
          <w:t>https://www.ippc.int/en/core-activities/</w:t>
        </w:r>
      </w:hyperlink>
      <w:r w:rsidRPr="006159D3">
        <w:rPr>
          <w:rFonts w:eastAsia="Times"/>
        </w:rPr>
        <w:t>).</w:t>
      </w:r>
    </w:p>
    <w:p w14:paraId="62F5D17E" w14:textId="77777777"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Collaborator</w:t>
      </w:r>
    </w:p>
    <w:p w14:paraId="0B72AE63" w14:textId="77777777" w:rsidR="006159D3" w:rsidRPr="006159D3" w:rsidRDefault="006159D3" w:rsidP="006159D3">
      <w:pPr>
        <w:numPr>
          <w:ilvl w:val="0"/>
          <w:numId w:val="24"/>
        </w:numPr>
        <w:spacing w:after="180"/>
        <w:ind w:left="0" w:hanging="567"/>
        <w:rPr>
          <w:rFonts w:eastAsia="Times"/>
        </w:rPr>
      </w:pPr>
      <w:r w:rsidRPr="006159D3">
        <w:rPr>
          <w:rFonts w:eastAsia="Times"/>
        </w:rPr>
        <w:t>To be determined.</w:t>
      </w:r>
    </w:p>
    <w:p w14:paraId="4998B6C0" w14:textId="77777777"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Steward</w:t>
      </w:r>
    </w:p>
    <w:p w14:paraId="02A7B2BA" w14:textId="77777777" w:rsidR="006159D3" w:rsidRPr="006159D3" w:rsidRDefault="006159D3" w:rsidP="006159D3">
      <w:pPr>
        <w:numPr>
          <w:ilvl w:val="0"/>
          <w:numId w:val="24"/>
        </w:numPr>
        <w:spacing w:after="180"/>
        <w:ind w:left="0" w:hanging="567"/>
        <w:rPr>
          <w:rFonts w:eastAsia="Times"/>
        </w:rPr>
      </w:pPr>
      <w:r w:rsidRPr="006159D3">
        <w:rPr>
          <w:rFonts w:eastAsia="Times"/>
        </w:rPr>
        <w:t xml:space="preserve">Please refer to the </w:t>
      </w:r>
      <w:r w:rsidRPr="006159D3">
        <w:rPr>
          <w:rFonts w:eastAsia="Times"/>
          <w:i/>
          <w:iCs/>
        </w:rPr>
        <w:t>List of topics for IPPC standards</w:t>
      </w:r>
      <w:r w:rsidRPr="006159D3">
        <w:rPr>
          <w:rFonts w:eastAsia="Times"/>
        </w:rPr>
        <w:t xml:space="preserve"> posted on the International Phytosanitary Portal (IPP) (</w:t>
      </w:r>
      <w:r w:rsidRPr="006159D3">
        <w:rPr>
          <w:rFonts w:eastAsia="Times"/>
          <w:szCs w:val="22"/>
        </w:rPr>
        <w:t xml:space="preserve">see </w:t>
      </w:r>
      <w:r w:rsidRPr="006159D3">
        <w:rPr>
          <w:rFonts w:eastAsia="Times"/>
        </w:rPr>
        <w:t>https://www.ippc.int/core-activities/standards-setting/list-topics-ippc-standards</w:t>
      </w:r>
      <w:r w:rsidRPr="006159D3">
        <w:rPr>
          <w:rFonts w:eastAsia="Times"/>
          <w:szCs w:val="22"/>
        </w:rPr>
        <w:t>)</w:t>
      </w:r>
      <w:r w:rsidRPr="006159D3">
        <w:rPr>
          <w:rFonts w:eastAsia="Times"/>
        </w:rPr>
        <w:t>.</w:t>
      </w:r>
    </w:p>
    <w:p w14:paraId="76804E47" w14:textId="77777777"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 xml:space="preserve">Expertise </w:t>
      </w:r>
    </w:p>
    <w:p w14:paraId="3347E94A" w14:textId="77777777" w:rsidR="006159D3" w:rsidRPr="006159D3" w:rsidRDefault="006159D3" w:rsidP="006159D3">
      <w:pPr>
        <w:numPr>
          <w:ilvl w:val="0"/>
          <w:numId w:val="24"/>
        </w:numPr>
        <w:spacing w:after="180"/>
        <w:ind w:left="0" w:hanging="567"/>
        <w:rPr>
          <w:rFonts w:eastAsia="Times"/>
          <w:color w:val="FF0000"/>
        </w:rPr>
      </w:pPr>
      <w:r w:rsidRPr="006159D3">
        <w:rPr>
          <w:rFonts w:eastAsia="Times"/>
          <w:color w:val="FF0000"/>
        </w:rPr>
        <w:t>An EWG of five to eight phytosanitary experts who among them have practical expertise in designing and undertaking field inspection programmes for quarantine pests; experience with filed inspection methodologies;.</w:t>
      </w:r>
    </w:p>
    <w:p w14:paraId="68CD9139" w14:textId="77777777"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Participants</w:t>
      </w:r>
    </w:p>
    <w:p w14:paraId="314933A4" w14:textId="77777777" w:rsidR="006159D3" w:rsidRPr="006159D3" w:rsidRDefault="006159D3" w:rsidP="006159D3">
      <w:pPr>
        <w:numPr>
          <w:ilvl w:val="0"/>
          <w:numId w:val="24"/>
        </w:numPr>
        <w:spacing w:after="180"/>
        <w:ind w:left="0" w:hanging="567"/>
        <w:rPr>
          <w:rFonts w:eastAsia="Times"/>
        </w:rPr>
      </w:pPr>
      <w:r w:rsidRPr="006159D3">
        <w:rPr>
          <w:rFonts w:eastAsia="Times"/>
          <w:lang w:val="en-AU"/>
        </w:rPr>
        <w:t>[</w:t>
      </w:r>
      <w:r w:rsidRPr="006159D3">
        <w:rPr>
          <w:rFonts w:eastAsia="Times"/>
        </w:rPr>
        <w:t>To be determined.</w:t>
      </w:r>
      <w:r w:rsidRPr="006159D3">
        <w:rPr>
          <w:rFonts w:eastAsia="Times"/>
          <w:lang w:val="en-AU"/>
        </w:rPr>
        <w:t>]</w:t>
      </w:r>
    </w:p>
    <w:p w14:paraId="604EDEB0" w14:textId="77777777" w:rsidR="006159D3" w:rsidRPr="006159D3" w:rsidRDefault="006159D3" w:rsidP="006159D3">
      <w:pPr>
        <w:keepNext/>
        <w:tabs>
          <w:tab w:val="left" w:pos="567"/>
        </w:tabs>
        <w:spacing w:before="60" w:after="60"/>
        <w:ind w:left="567" w:hanging="567"/>
        <w:jc w:val="left"/>
        <w:rPr>
          <w:b/>
          <w:bCs/>
          <w:iCs/>
          <w:color w:val="0070C0"/>
          <w:szCs w:val="22"/>
        </w:rPr>
      </w:pPr>
      <w:r w:rsidRPr="006159D3">
        <w:rPr>
          <w:b/>
          <w:bCs/>
          <w:iCs/>
          <w:szCs w:val="22"/>
        </w:rPr>
        <w:t>References</w:t>
      </w:r>
    </w:p>
    <w:p w14:paraId="4CC1E40C" w14:textId="77777777" w:rsidR="006159D3" w:rsidRPr="006159D3" w:rsidRDefault="006159D3" w:rsidP="006159D3">
      <w:pPr>
        <w:numPr>
          <w:ilvl w:val="0"/>
          <w:numId w:val="24"/>
        </w:numPr>
        <w:spacing w:after="180"/>
        <w:ind w:left="0" w:hanging="567"/>
        <w:rPr>
          <w:rFonts w:eastAsia="Times"/>
        </w:rPr>
      </w:pPr>
      <w:r w:rsidRPr="006159D3">
        <w:rPr>
          <w:rFonts w:eastAsia="Times"/>
        </w:rPr>
        <w:t>The IPPC, relevant ISPMs and other national, regional and international standards and agreements as may be applicable to the tasks, and discussion papers submitted in relation to this work.</w:t>
      </w:r>
    </w:p>
    <w:p w14:paraId="45567F98" w14:textId="77777777" w:rsidR="006159D3" w:rsidRPr="006159D3" w:rsidRDefault="006159D3" w:rsidP="006159D3">
      <w:pPr>
        <w:numPr>
          <w:ilvl w:val="0"/>
          <w:numId w:val="24"/>
        </w:numPr>
        <w:spacing w:after="180"/>
        <w:ind w:left="0" w:hanging="567"/>
        <w:rPr>
          <w:rFonts w:eastAsia="Times"/>
          <w:color w:val="0070C0"/>
        </w:rPr>
      </w:pPr>
      <w:r w:rsidRPr="006159D3">
        <w:rPr>
          <w:rFonts w:eastAsia="Times"/>
          <w:color w:val="0070C0"/>
          <w:lang w:val="en-AU"/>
        </w:rPr>
        <w:t>Further information or specific references can be added if necessary.</w:t>
      </w:r>
    </w:p>
    <w:p w14:paraId="2269BEE4" w14:textId="77777777" w:rsidR="006159D3" w:rsidRPr="006159D3" w:rsidRDefault="006159D3" w:rsidP="006159D3">
      <w:pPr>
        <w:keepNext/>
        <w:tabs>
          <w:tab w:val="left" w:pos="567"/>
        </w:tabs>
        <w:spacing w:before="60" w:after="60"/>
        <w:ind w:left="567" w:hanging="567"/>
        <w:jc w:val="left"/>
        <w:rPr>
          <w:b/>
          <w:bCs/>
          <w:iCs/>
          <w:szCs w:val="22"/>
        </w:rPr>
      </w:pPr>
      <w:r w:rsidRPr="006159D3">
        <w:rPr>
          <w:b/>
          <w:bCs/>
          <w:iCs/>
          <w:szCs w:val="22"/>
        </w:rPr>
        <w:t>Discussion papers</w:t>
      </w:r>
    </w:p>
    <w:p w14:paraId="4DCCEE0B" w14:textId="77777777" w:rsidR="006159D3" w:rsidRPr="006159D3" w:rsidRDefault="006159D3" w:rsidP="006159D3">
      <w:pPr>
        <w:numPr>
          <w:ilvl w:val="0"/>
          <w:numId w:val="24"/>
        </w:numPr>
        <w:spacing w:after="180"/>
        <w:ind w:left="0" w:hanging="567"/>
        <w:rPr>
          <w:rFonts w:eastAsia="Times"/>
        </w:rPr>
      </w:pPr>
      <w:r w:rsidRPr="006159D3">
        <w:rPr>
          <w:rFonts w:eastAsia="Times"/>
          <w:lang w:eastAsia="ja-JP"/>
        </w:rPr>
        <w:t xml:space="preserve">Participants and interested parties are encouraged to submit </w:t>
      </w:r>
      <w:r w:rsidRPr="006159D3">
        <w:rPr>
          <w:rFonts w:eastAsia="Times"/>
        </w:rPr>
        <w:t>discussion</w:t>
      </w:r>
      <w:r w:rsidRPr="006159D3">
        <w:rPr>
          <w:rFonts w:eastAsia="Times"/>
          <w:lang w:eastAsia="ja-JP"/>
        </w:rPr>
        <w:t xml:space="preserve"> papers to the IPPC Secretariat (</w:t>
      </w:r>
      <w:hyperlink r:id="rId17" w:history="1">
        <w:r w:rsidRPr="006159D3">
          <w:rPr>
            <w:rFonts w:eastAsia="Times"/>
            <w:color w:val="0000FF"/>
            <w:u w:val="single"/>
            <w:lang w:eastAsia="ja-JP"/>
          </w:rPr>
          <w:t>ippc@fao.org</w:t>
        </w:r>
      </w:hyperlink>
      <w:r w:rsidRPr="006159D3">
        <w:rPr>
          <w:rFonts w:eastAsia="Times"/>
          <w:lang w:eastAsia="ja-JP"/>
        </w:rPr>
        <w:t xml:space="preserve">) for consideration by the </w:t>
      </w:r>
      <w:r w:rsidRPr="006159D3">
        <w:rPr>
          <w:rFonts w:eastAsia="Times"/>
          <w:lang w:val="en-AU" w:eastAsia="ja-JP"/>
        </w:rPr>
        <w:t>EDG</w:t>
      </w:r>
      <w:r w:rsidRPr="006159D3">
        <w:rPr>
          <w:rFonts w:eastAsia="Times"/>
        </w:rPr>
        <w:t>.</w:t>
      </w:r>
    </w:p>
    <w:sectPr w:rsidR="006159D3" w:rsidRPr="006159D3" w:rsidSect="006159D3">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4634" w14:textId="77777777" w:rsidR="009F24CB" w:rsidRDefault="009F24CB" w:rsidP="000B32EC">
      <w:r>
        <w:separator/>
      </w:r>
    </w:p>
  </w:endnote>
  <w:endnote w:type="continuationSeparator" w:id="0">
    <w:p w14:paraId="0910ED73" w14:textId="77777777" w:rsidR="009F24CB" w:rsidRDefault="009F24CB"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2B0845D3"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6159D3">
      <w:rPr>
        <w:noProof/>
      </w:rPr>
      <w:t>4</w:t>
    </w:r>
    <w:r>
      <w:fldChar w:fldCharType="end"/>
    </w:r>
    <w:r w:rsidRPr="00C6380D">
      <w:t xml:space="preserve"> of </w:t>
    </w:r>
    <w:r w:rsidR="002F1B8F">
      <w:rPr>
        <w:noProof/>
      </w:rPr>
      <w:fldChar w:fldCharType="begin"/>
    </w:r>
    <w:r w:rsidR="002F1B8F">
      <w:rPr>
        <w:noProof/>
      </w:rPr>
      <w:instrText xml:space="preserve"> NUMPAGES  </w:instrText>
    </w:r>
    <w:r w:rsidR="002F1B8F">
      <w:rPr>
        <w:noProof/>
      </w:rPr>
      <w:fldChar w:fldCharType="separate"/>
    </w:r>
    <w:r w:rsidR="006159D3">
      <w:rPr>
        <w:noProof/>
      </w:rPr>
      <w:t>6</w:t>
    </w:r>
    <w:r w:rsidR="002F1B8F">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B7A7" w14:textId="1018B784" w:rsidR="006159D3" w:rsidRDefault="006159D3" w:rsidP="006159D3">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6</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7339" w14:textId="6FDF2F1D" w:rsidR="006159D3" w:rsidRDefault="006159D3" w:rsidP="006159D3">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3145" w14:textId="77777777" w:rsidR="009F24CB" w:rsidRDefault="009F24CB" w:rsidP="000B32EC">
      <w:r>
        <w:separator/>
      </w:r>
    </w:p>
  </w:footnote>
  <w:footnote w:type="continuationSeparator" w:id="0">
    <w:p w14:paraId="7A585BB7" w14:textId="77777777" w:rsidR="009F24CB" w:rsidRDefault="009F24CB"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2ADE" w14:textId="2A743D0F" w:rsidR="006159D3" w:rsidRPr="00E77B4C" w:rsidRDefault="006159D3" w:rsidP="006159D3">
    <w:pPr>
      <w:pStyle w:val="IPPHeader"/>
      <w:pBdr>
        <w:bottom w:val="single" w:sz="4" w:space="6" w:color="auto"/>
      </w:pBdr>
    </w:pPr>
    <w:r>
      <w:rPr>
        <w:noProof/>
      </w:rPr>
      <w:t>2018-0</w:t>
    </w:r>
    <w:r>
      <w:rPr>
        <w:noProof/>
      </w:rPr>
      <w:t>29</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4495" w14:textId="4694CB86" w:rsidR="006159D3" w:rsidRPr="001B3508" w:rsidRDefault="006159D3" w:rsidP="006159D3">
    <w:pPr>
      <w:pStyle w:val="IPPHeader"/>
    </w:pPr>
    <w:r>
      <w:rPr>
        <w:noProof/>
      </w:rPr>
      <w:t>2018 Call for Topics: Standards and Implementation</w:t>
    </w:r>
    <w:r>
      <w:rPr>
        <w:noProof/>
      </w:rPr>
      <w:tab/>
      <w:t>2018-0</w:t>
    </w:r>
    <w:r>
      <w:rPr>
        <w:noProof/>
      </w:rPr>
      <w:t>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AAC8" w14:textId="7A73AD4F" w:rsidR="006159D3" w:rsidRPr="009F3834" w:rsidRDefault="006159D3" w:rsidP="006159D3">
    <w:pPr>
      <w:pStyle w:val="IPPHeader"/>
      <w:ind w:left="1134"/>
    </w:pPr>
    <w:r>
      <w:rPr>
        <w:noProof/>
      </w:rPr>
      <w:drawing>
        <wp:anchor distT="0" distB="0" distL="114300" distR="114300" simplePos="0" relativeHeight="251659776" behindDoc="0" locked="0" layoutInCell="1" allowOverlap="0" wp14:anchorId="73E13324" wp14:editId="24DF561A">
          <wp:simplePos x="0" y="0"/>
          <wp:positionH relativeFrom="page">
            <wp:posOffset>-28575</wp:posOffset>
          </wp:positionH>
          <wp:positionV relativeFrom="paragraph">
            <wp:posOffset>-530225</wp:posOffset>
          </wp:positionV>
          <wp:extent cx="7629525" cy="463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2173E158" wp14:editId="14742290">
          <wp:simplePos x="0" y="0"/>
          <wp:positionH relativeFrom="column">
            <wp:posOffset>-12700</wp:posOffset>
          </wp:positionH>
          <wp:positionV relativeFrom="paragraph">
            <wp:posOffset>3810</wp:posOffset>
          </wp:positionV>
          <wp:extent cx="632460" cy="321310"/>
          <wp:effectExtent l="0" t="0" r="0" b="254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w:t>
    </w:r>
    <w:r>
      <w:t>nt Protection Convention</w:t>
    </w:r>
    <w:r>
      <w:tab/>
      <w:t>2018-029</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23F50"/>
    <w:multiLevelType w:val="hybridMultilevel"/>
    <w:tmpl w:val="7F36989E"/>
    <w:lvl w:ilvl="0" w:tplc="FC68B068">
      <w:start w:val="2"/>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FC68B068">
      <w:start w:val="2"/>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D1460"/>
    <w:multiLevelType w:val="hybridMultilevel"/>
    <w:tmpl w:val="71A8A08E"/>
    <w:lvl w:ilvl="0" w:tplc="5DACFDC8">
      <w:start w:val="6"/>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0" w15:restartNumberingAfterBreak="0">
    <w:nsid w:val="622B62B9"/>
    <w:multiLevelType w:val="hybridMultilevel"/>
    <w:tmpl w:val="E77C2000"/>
    <w:lvl w:ilvl="0" w:tplc="EE7809D0">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23"/>
  </w:num>
  <w:num w:numId="4">
    <w:abstractNumId w:val="13"/>
  </w:num>
  <w:num w:numId="5">
    <w:abstractNumId w:val="21"/>
  </w:num>
  <w:num w:numId="6">
    <w:abstractNumId w:val="22"/>
  </w:num>
  <w:num w:numId="7">
    <w:abstractNumId w:val="12"/>
  </w:num>
  <w:num w:numId="8">
    <w:abstractNumId w:val="15"/>
  </w:num>
  <w:num w:numId="9">
    <w:abstractNumId w:val="24"/>
  </w:num>
  <w:num w:numId="10">
    <w:abstractNumId w:val="5"/>
  </w:num>
  <w:num w:numId="11">
    <w:abstractNumId w:val="14"/>
  </w:num>
  <w:num w:numId="12">
    <w:abstractNumId w:val="17"/>
  </w:num>
  <w:num w:numId="13">
    <w:abstractNumId w:val="8"/>
  </w:num>
  <w:num w:numId="14">
    <w:abstractNumId w:val="11"/>
  </w:num>
  <w:num w:numId="15">
    <w:abstractNumId w:val="7"/>
  </w:num>
  <w:num w:numId="16">
    <w:abstractNumId w:val="2"/>
  </w:num>
  <w:num w:numId="17">
    <w:abstractNumId w:val="10"/>
  </w:num>
  <w:num w:numId="18">
    <w:abstractNumId w:val="19"/>
  </w:num>
  <w:num w:numId="19">
    <w:abstractNumId w:val="25"/>
  </w:num>
  <w:num w:numId="20">
    <w:abstractNumId w:val="4"/>
  </w:num>
  <w:num w:numId="21">
    <w:abstractNumId w:val="16"/>
  </w:num>
  <w:num w:numId="22">
    <w:abstractNumId w:val="20"/>
  </w:num>
  <w:num w:numId="23">
    <w:abstractNumId w:val="18"/>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2457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EC"/>
    <w:rsid w:val="00011718"/>
    <w:rsid w:val="00027694"/>
    <w:rsid w:val="000748D3"/>
    <w:rsid w:val="00074A88"/>
    <w:rsid w:val="000B31FB"/>
    <w:rsid w:val="000B32EC"/>
    <w:rsid w:val="000B6AF7"/>
    <w:rsid w:val="00160B95"/>
    <w:rsid w:val="00167857"/>
    <w:rsid w:val="00181CA9"/>
    <w:rsid w:val="00183D3D"/>
    <w:rsid w:val="001A209A"/>
    <w:rsid w:val="001E7364"/>
    <w:rsid w:val="001F7F84"/>
    <w:rsid w:val="00235E82"/>
    <w:rsid w:val="00251F7B"/>
    <w:rsid w:val="00257DCF"/>
    <w:rsid w:val="002613D4"/>
    <w:rsid w:val="00274F0E"/>
    <w:rsid w:val="0028170F"/>
    <w:rsid w:val="00292463"/>
    <w:rsid w:val="00292A19"/>
    <w:rsid w:val="002A2126"/>
    <w:rsid w:val="002B4DE4"/>
    <w:rsid w:val="002C4D4D"/>
    <w:rsid w:val="002E71B7"/>
    <w:rsid w:val="002F1B8F"/>
    <w:rsid w:val="002F27D7"/>
    <w:rsid w:val="002F705C"/>
    <w:rsid w:val="00312C2A"/>
    <w:rsid w:val="00315FB8"/>
    <w:rsid w:val="00340120"/>
    <w:rsid w:val="00354F75"/>
    <w:rsid w:val="00377343"/>
    <w:rsid w:val="003D3532"/>
    <w:rsid w:val="003D6110"/>
    <w:rsid w:val="004126A5"/>
    <w:rsid w:val="00427923"/>
    <w:rsid w:val="004377E7"/>
    <w:rsid w:val="0046084A"/>
    <w:rsid w:val="004613BB"/>
    <w:rsid w:val="00470E1E"/>
    <w:rsid w:val="004A373D"/>
    <w:rsid w:val="004C6850"/>
    <w:rsid w:val="004F15FC"/>
    <w:rsid w:val="004F6871"/>
    <w:rsid w:val="005205CE"/>
    <w:rsid w:val="00541D5D"/>
    <w:rsid w:val="005438FB"/>
    <w:rsid w:val="00563FA2"/>
    <w:rsid w:val="00567933"/>
    <w:rsid w:val="00574F18"/>
    <w:rsid w:val="00576591"/>
    <w:rsid w:val="00577E5E"/>
    <w:rsid w:val="005C1BD0"/>
    <w:rsid w:val="005D4F75"/>
    <w:rsid w:val="005D6636"/>
    <w:rsid w:val="005E6F6B"/>
    <w:rsid w:val="005F17DA"/>
    <w:rsid w:val="006159D3"/>
    <w:rsid w:val="0062311A"/>
    <w:rsid w:val="00653EEA"/>
    <w:rsid w:val="0067537B"/>
    <w:rsid w:val="006B50AE"/>
    <w:rsid w:val="006E66A4"/>
    <w:rsid w:val="007075F6"/>
    <w:rsid w:val="00757C72"/>
    <w:rsid w:val="0077292D"/>
    <w:rsid w:val="007749E1"/>
    <w:rsid w:val="007857B8"/>
    <w:rsid w:val="00795734"/>
    <w:rsid w:val="007E5FE0"/>
    <w:rsid w:val="0081111D"/>
    <w:rsid w:val="00811B8D"/>
    <w:rsid w:val="00842047"/>
    <w:rsid w:val="00875202"/>
    <w:rsid w:val="0087639D"/>
    <w:rsid w:val="008C1552"/>
    <w:rsid w:val="008C3E20"/>
    <w:rsid w:val="008E1E55"/>
    <w:rsid w:val="008F1D7F"/>
    <w:rsid w:val="008F6DA9"/>
    <w:rsid w:val="00907F56"/>
    <w:rsid w:val="00951423"/>
    <w:rsid w:val="0096151C"/>
    <w:rsid w:val="009A3A5A"/>
    <w:rsid w:val="009B3464"/>
    <w:rsid w:val="009E1649"/>
    <w:rsid w:val="009F1B23"/>
    <w:rsid w:val="009F24CB"/>
    <w:rsid w:val="009F615F"/>
    <w:rsid w:val="00A0350E"/>
    <w:rsid w:val="00A22F56"/>
    <w:rsid w:val="00A3321E"/>
    <w:rsid w:val="00A63775"/>
    <w:rsid w:val="00A86FBE"/>
    <w:rsid w:val="00AB0E87"/>
    <w:rsid w:val="00AB4C68"/>
    <w:rsid w:val="00AE2549"/>
    <w:rsid w:val="00B15A42"/>
    <w:rsid w:val="00B24C6D"/>
    <w:rsid w:val="00B57EA1"/>
    <w:rsid w:val="00B733D5"/>
    <w:rsid w:val="00BC6DB6"/>
    <w:rsid w:val="00BD2002"/>
    <w:rsid w:val="00BE6D70"/>
    <w:rsid w:val="00C256EC"/>
    <w:rsid w:val="00C30FAE"/>
    <w:rsid w:val="00C4497F"/>
    <w:rsid w:val="00C560FB"/>
    <w:rsid w:val="00C7561D"/>
    <w:rsid w:val="00C82B35"/>
    <w:rsid w:val="00CA63CA"/>
    <w:rsid w:val="00CB0629"/>
    <w:rsid w:val="00CB322A"/>
    <w:rsid w:val="00CC70C3"/>
    <w:rsid w:val="00CE1BA0"/>
    <w:rsid w:val="00D46538"/>
    <w:rsid w:val="00D676E6"/>
    <w:rsid w:val="00D768AF"/>
    <w:rsid w:val="00DA3D93"/>
    <w:rsid w:val="00DB01CA"/>
    <w:rsid w:val="00DB23B5"/>
    <w:rsid w:val="00DC62EE"/>
    <w:rsid w:val="00E27682"/>
    <w:rsid w:val="00E322D6"/>
    <w:rsid w:val="00E407A1"/>
    <w:rsid w:val="00E41772"/>
    <w:rsid w:val="00E468EF"/>
    <w:rsid w:val="00E470F7"/>
    <w:rsid w:val="00E547A2"/>
    <w:rsid w:val="00E57BC8"/>
    <w:rsid w:val="00E72A55"/>
    <w:rsid w:val="00E86637"/>
    <w:rsid w:val="00E95202"/>
    <w:rsid w:val="00E96D9B"/>
    <w:rsid w:val="00EA6F68"/>
    <w:rsid w:val="00EB47FD"/>
    <w:rsid w:val="00EC1D32"/>
    <w:rsid w:val="00ED07C8"/>
    <w:rsid w:val="00ED78B4"/>
    <w:rsid w:val="00EE39DD"/>
    <w:rsid w:val="00EF2D93"/>
    <w:rsid w:val="00F1458C"/>
    <w:rsid w:val="00F21CB5"/>
    <w:rsid w:val="00F21E55"/>
    <w:rsid w:val="00F37128"/>
    <w:rsid w:val="00F50D5F"/>
    <w:rsid w:val="00F56C25"/>
    <w:rsid w:val="00F6085C"/>
    <w:rsid w:val="00FB6911"/>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9">
      <v:textbox inset="5.85pt,.7pt,5.85pt,.7pt"/>
    </o:shapedefaults>
    <o:shapelayout v:ext="edit">
      <o:idmap v:ext="edit" data="1"/>
    </o:shapelayout>
  </w:shapeDefaults>
  <w:decimalSymbol w:val="."/>
  <w:listSeparator w:val=","/>
  <w14:docId w14:val="7CF40E49"/>
  <w15:docId w15:val="{0DC66A86-06E4-4DE2-8B3D-D543915E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customStyle="1" w:styleId="IPPNumberedList">
    <w:name w:val="IPP NumberedList"/>
    <w:basedOn w:val="Normal"/>
    <w:qFormat/>
    <w:rsid w:val="006159D3"/>
    <w:pPr>
      <w:numPr>
        <w:numId w:val="26"/>
      </w:numPr>
      <w:spacing w:after="60"/>
    </w:pPr>
    <w:rPr>
      <w:rFonts w:eastAsia="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mailto:ippc@fa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pc.int/en/core-activ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footer" Target="footer3.xml"/><Relationship Id="rId10" Type="http://schemas.openxmlformats.org/officeDocument/2006/relationships/hyperlink" Target="https://www.ippc.int/core-activities/standards-setting/list-topics-ippc-standard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DDC6-261F-4388-8023-9AFEA43F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3017</Words>
  <Characters>17201</Characters>
  <Application>Microsoft Office Word</Application>
  <DocSecurity>0</DocSecurity>
  <Lines>143</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2018-08-24T06:28:00Z</cp:lastPrinted>
  <dcterms:created xsi:type="dcterms:W3CDTF">2018-09-03T08:52:00Z</dcterms:created>
  <dcterms:modified xsi:type="dcterms:W3CDTF">2018-09-03T08:52:00Z</dcterms:modified>
</cp:coreProperties>
</file>