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0FACC509" w:rsidR="000B32EC" w:rsidRPr="007075F6" w:rsidRDefault="000B32EC" w:rsidP="007F2E1D">
      <w:pPr>
        <w:wordWrap w:val="0"/>
        <w:jc w:val="right"/>
        <w:rPr>
          <w:lang w:eastAsia="ja-JP"/>
        </w:rPr>
      </w:pPr>
      <w:r w:rsidRPr="007075F6">
        <w:t>Name of Country or Organization</w:t>
      </w:r>
      <w:r w:rsidR="007F2E1D" w:rsidRPr="007F2E1D">
        <w:rPr>
          <w:rFonts w:hint="eastAsia"/>
          <w:u w:val="single"/>
          <w:lang w:eastAsia="ja-JP"/>
        </w:rPr>
        <w:t xml:space="preserve">            Japan                  </w:t>
      </w:r>
      <w:r w:rsidR="007F2E1D">
        <w:rPr>
          <w:rFonts w:hint="eastAsia"/>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36416FB"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61D280C9" w:rsidR="004878E8" w:rsidRPr="00326064" w:rsidRDefault="004878E8" w:rsidP="004878E8">
            <w:pPr>
              <w:ind w:left="360"/>
              <w:rPr>
                <w:lang w:eastAsia="ja-JP"/>
              </w:rPr>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53F08DC5" w:rsidR="000B32EC" w:rsidRPr="00326064" w:rsidRDefault="000B32EC" w:rsidP="00551ED4">
            <w:pPr>
              <w:tabs>
                <w:tab w:val="right" w:leader="dot" w:pos="9480"/>
              </w:tabs>
              <w:spacing w:before="60" w:after="60"/>
              <w:rPr>
                <w:sz w:val="20"/>
                <w:szCs w:val="20"/>
              </w:rPr>
            </w:pPr>
            <w:r w:rsidRPr="00326064">
              <w:rPr>
                <w:sz w:val="20"/>
                <w:szCs w:val="20"/>
              </w:rPr>
              <w:t>Name:</w:t>
            </w:r>
            <w:r w:rsidR="004878E8">
              <w:rPr>
                <w:rFonts w:hint="eastAsia"/>
                <w:sz w:val="20"/>
                <w:szCs w:val="20"/>
                <w:lang w:eastAsia="ja-JP"/>
              </w:rPr>
              <w:t xml:space="preserve">  Yasuro FUNAKI</w:t>
            </w:r>
            <w:r w:rsidRPr="00326064">
              <w:rPr>
                <w:sz w:val="20"/>
                <w:szCs w:val="20"/>
              </w:rPr>
              <w:tab/>
            </w:r>
          </w:p>
          <w:p w14:paraId="0C6983A7" w14:textId="1F5A084F" w:rsidR="000B32EC" w:rsidRPr="00326064" w:rsidRDefault="000B32EC" w:rsidP="004878E8">
            <w:pPr>
              <w:tabs>
                <w:tab w:val="right" w:leader="dot" w:pos="9480"/>
              </w:tabs>
              <w:spacing w:before="60" w:after="60"/>
              <w:ind w:left="100" w:hangingChars="50" w:hanging="100"/>
              <w:rPr>
                <w:sz w:val="20"/>
                <w:szCs w:val="20"/>
              </w:rPr>
            </w:pPr>
            <w:r w:rsidRPr="00326064">
              <w:rPr>
                <w:sz w:val="20"/>
                <w:szCs w:val="20"/>
              </w:rPr>
              <w:t>Position and organization:</w:t>
            </w:r>
            <w:r w:rsidR="004878E8">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46EC424F" w14:textId="3D8390B3" w:rsidR="000B32EC" w:rsidRPr="00326064" w:rsidRDefault="000B32EC" w:rsidP="00551ED4">
            <w:pPr>
              <w:tabs>
                <w:tab w:val="right" w:leader="dot" w:pos="9480"/>
              </w:tabs>
              <w:spacing w:before="60" w:after="60"/>
              <w:rPr>
                <w:sz w:val="20"/>
                <w:szCs w:val="20"/>
              </w:rPr>
            </w:pPr>
            <w:r w:rsidRPr="00326064">
              <w:rPr>
                <w:sz w:val="20"/>
                <w:szCs w:val="20"/>
              </w:rPr>
              <w:t>Mailing address:</w:t>
            </w:r>
            <w:r w:rsidR="004878E8">
              <w:rPr>
                <w:rFonts w:hint="eastAsia"/>
                <w:sz w:val="20"/>
                <w:szCs w:val="20"/>
                <w:lang w:eastAsia="ja-JP"/>
              </w:rPr>
              <w:t xml:space="preserve">  </w:t>
            </w:r>
            <w:r w:rsidR="00A041D5">
              <w:rPr>
                <w:rFonts w:hint="eastAsia"/>
                <w:sz w:val="20"/>
                <w:szCs w:val="20"/>
                <w:lang w:eastAsia="ja-JP"/>
              </w:rPr>
              <w:t>1-2-1 Kasumigaseki, Chiyoda-ku, Tokyo 100-8950, Japan</w:t>
            </w:r>
            <w:r w:rsidRPr="00326064">
              <w:rPr>
                <w:sz w:val="20"/>
                <w:szCs w:val="20"/>
              </w:rPr>
              <w:tab/>
            </w:r>
          </w:p>
          <w:p w14:paraId="70B8A3B8" w14:textId="77777777" w:rsidR="000B32EC" w:rsidRPr="00326064" w:rsidRDefault="000B32EC" w:rsidP="00551ED4">
            <w:pPr>
              <w:tabs>
                <w:tab w:val="right" w:leader="dot" w:pos="9480"/>
              </w:tabs>
              <w:spacing w:before="60" w:after="60"/>
              <w:rPr>
                <w:sz w:val="20"/>
                <w:szCs w:val="20"/>
              </w:rPr>
            </w:pPr>
            <w:r w:rsidRPr="00326064">
              <w:rPr>
                <w:sz w:val="20"/>
                <w:szCs w:val="20"/>
              </w:rPr>
              <w:tab/>
            </w:r>
          </w:p>
          <w:p w14:paraId="766DAD92" w14:textId="21903179" w:rsidR="000B32EC" w:rsidRPr="00326064" w:rsidRDefault="000B32EC" w:rsidP="00551ED4">
            <w:pPr>
              <w:tabs>
                <w:tab w:val="left" w:leader="dot" w:pos="4320"/>
                <w:tab w:val="left" w:pos="4560"/>
                <w:tab w:val="right" w:leader="dot" w:pos="9480"/>
              </w:tabs>
              <w:spacing w:before="60" w:after="60"/>
              <w:rPr>
                <w:sz w:val="20"/>
                <w:szCs w:val="20"/>
              </w:rPr>
            </w:pPr>
            <w:r w:rsidRPr="00326064">
              <w:rPr>
                <w:sz w:val="20"/>
                <w:szCs w:val="20"/>
              </w:rPr>
              <w:t>Phone:</w:t>
            </w:r>
            <w:r w:rsidR="004878E8">
              <w:rPr>
                <w:rFonts w:hint="eastAsia"/>
                <w:sz w:val="20"/>
                <w:szCs w:val="20"/>
                <w:lang w:eastAsia="ja-JP"/>
              </w:rPr>
              <w:t xml:space="preserve">  (</w:t>
            </w:r>
            <w:r w:rsidR="00A041D5">
              <w:rPr>
                <w:rFonts w:hint="eastAsia"/>
                <w:sz w:val="20"/>
                <w:szCs w:val="20"/>
                <w:lang w:eastAsia="ja-JP"/>
              </w:rPr>
              <w:t>+81</w:t>
            </w:r>
            <w:r w:rsidR="004878E8">
              <w:rPr>
                <w:rFonts w:hint="eastAsia"/>
                <w:sz w:val="20"/>
                <w:szCs w:val="20"/>
                <w:lang w:eastAsia="ja-JP"/>
              </w:rPr>
              <w:t>)</w:t>
            </w:r>
            <w:r w:rsidR="00A041D5">
              <w:rPr>
                <w:rFonts w:hint="eastAsia"/>
                <w:sz w:val="20"/>
                <w:szCs w:val="20"/>
                <w:lang w:eastAsia="ja-JP"/>
              </w:rPr>
              <w:t xml:space="preserve"> 3 3502 5978 </w:t>
            </w:r>
            <w:r w:rsidRPr="00326064">
              <w:rPr>
                <w:sz w:val="20"/>
                <w:szCs w:val="20"/>
              </w:rPr>
              <w:tab/>
            </w:r>
            <w:r w:rsidRPr="00326064">
              <w:rPr>
                <w:sz w:val="20"/>
                <w:szCs w:val="20"/>
              </w:rPr>
              <w:tab/>
              <w:t>Fax:</w:t>
            </w:r>
            <w:r w:rsidR="00A041D5">
              <w:rPr>
                <w:rFonts w:hint="eastAsia"/>
                <w:sz w:val="20"/>
                <w:szCs w:val="20"/>
                <w:lang w:eastAsia="ja-JP"/>
              </w:rPr>
              <w:t xml:space="preserve">  (+81) 3 3502 3386 </w:t>
            </w:r>
            <w:r w:rsidRPr="00326064">
              <w:rPr>
                <w:sz w:val="20"/>
                <w:szCs w:val="20"/>
              </w:rPr>
              <w:tab/>
            </w:r>
          </w:p>
          <w:p w14:paraId="68A8B13F" w14:textId="15461AEC" w:rsidR="000B32EC" w:rsidRPr="00326064" w:rsidRDefault="000B32EC" w:rsidP="00551ED4">
            <w:pPr>
              <w:tabs>
                <w:tab w:val="right" w:leader="dot" w:pos="9480"/>
              </w:tabs>
              <w:spacing w:before="60" w:after="60"/>
              <w:rPr>
                <w:sz w:val="20"/>
                <w:szCs w:val="20"/>
              </w:rPr>
            </w:pPr>
            <w:r w:rsidRPr="00326064">
              <w:rPr>
                <w:sz w:val="20"/>
                <w:szCs w:val="20"/>
              </w:rPr>
              <w:t>E-mail:</w:t>
            </w:r>
            <w:r w:rsidR="00A041D5">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39E8ED6B" w:rsidR="00E96D9B" w:rsidRPr="00EE39DD" w:rsidRDefault="0067537B" w:rsidP="00A041D5">
            <w:pPr>
              <w:rPr>
                <w:sz w:val="20"/>
                <w:szCs w:val="20"/>
              </w:rPr>
            </w:pPr>
            <w:r w:rsidRPr="00EE39DD">
              <w:rPr>
                <w:bCs/>
                <w:sz w:val="20"/>
                <w:szCs w:val="20"/>
              </w:rPr>
              <w:t>[__]</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00A041D5">
              <w:rPr>
                <w:bCs/>
                <w:sz w:val="20"/>
                <w:szCs w:val="20"/>
              </w:rPr>
              <w:t>[</w:t>
            </w:r>
            <w:r w:rsidR="00A041D5">
              <w:rPr>
                <w:rFonts w:hint="eastAsia"/>
                <w:bCs/>
                <w:sz w:val="20"/>
                <w:szCs w:val="20"/>
                <w:lang w:eastAsia="ja-JP"/>
              </w:rPr>
              <w:t>✓</w:t>
            </w:r>
            <w:r w:rsidRPr="00EE39DD">
              <w:rPr>
                <w:bCs/>
                <w:sz w:val="20"/>
                <w:szCs w:val="20"/>
              </w:rPr>
              <w:t>]</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77777777" w:rsidR="000B32EC" w:rsidRPr="00326064" w:rsidRDefault="000B32EC" w:rsidP="00551ED4">
            <w:pPr>
              <w:ind w:left="423" w:hanging="423"/>
              <w:rPr>
                <w:sz w:val="20"/>
                <w:szCs w:val="20"/>
              </w:rPr>
            </w:pPr>
            <w:r w:rsidRPr="00326064">
              <w:rPr>
                <w:bCs/>
                <w:sz w:val="20"/>
                <w:szCs w:val="20"/>
              </w:rPr>
              <w:t>[__]</w:t>
            </w:r>
            <w:r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29D18A1" w:rsidR="00EB47FD" w:rsidRPr="00EE39DD" w:rsidRDefault="00A041D5" w:rsidP="00EB47FD">
            <w:pPr>
              <w:tabs>
                <w:tab w:val="right" w:leader="dot" w:pos="4263"/>
                <w:tab w:val="right" w:leader="dot" w:pos="4591"/>
                <w:tab w:val="left" w:leader="dot" w:pos="9360"/>
              </w:tabs>
              <w:spacing w:before="60"/>
              <w:ind w:right="62"/>
              <w:jc w:val="left"/>
              <w:rPr>
                <w:bCs/>
                <w:sz w:val="20"/>
                <w:szCs w:val="20"/>
              </w:rPr>
            </w:pPr>
            <w:r>
              <w:rPr>
                <w:bCs/>
                <w:sz w:val="20"/>
                <w:szCs w:val="20"/>
              </w:rPr>
              <w:t>[</w:t>
            </w:r>
            <w:r w:rsidRPr="00653517">
              <w:rPr>
                <w:rFonts w:hint="eastAsia"/>
                <w:bCs/>
                <w:color w:val="FF0000"/>
                <w:sz w:val="20"/>
                <w:szCs w:val="20"/>
                <w:lang w:eastAsia="ja-JP"/>
              </w:rPr>
              <w:t>✓</w:t>
            </w:r>
            <w:r>
              <w:rPr>
                <w:bCs/>
                <w:sz w:val="20"/>
                <w:szCs w:val="20"/>
              </w:rPr>
              <w:t xml:space="preserve">] Other (Please specify   </w:t>
            </w:r>
            <w:r w:rsidRPr="00653517">
              <w:rPr>
                <w:rFonts w:hint="eastAsia"/>
                <w:bCs/>
                <w:color w:val="FF0000"/>
                <w:sz w:val="20"/>
                <w:szCs w:val="20"/>
                <w:lang w:eastAsia="ja-JP"/>
              </w:rPr>
              <w:t>Symposium</w:t>
            </w:r>
            <w:r w:rsidR="00EB47FD" w:rsidRPr="00653517">
              <w:rPr>
                <w:bCs/>
                <w:color w:val="FF0000"/>
                <w:sz w:val="20"/>
                <w:szCs w:val="20"/>
              </w:rPr>
              <w:t xml:space="preserve"> </w:t>
            </w:r>
            <w:r w:rsidRPr="00653517">
              <w:rPr>
                <w:bCs/>
                <w:color w:val="FF0000"/>
                <w:sz w:val="20"/>
                <w:szCs w:val="20"/>
              </w:rPr>
              <w:t xml:space="preserve">             </w:t>
            </w:r>
            <w:r w:rsidR="00F56C25" w:rsidRPr="00653517">
              <w:rPr>
                <w:bCs/>
                <w:color w:val="FF0000"/>
                <w:sz w:val="20"/>
                <w:szCs w:val="20"/>
              </w:rPr>
              <w:t xml:space="preserve">    </w:t>
            </w:r>
            <w:r w:rsidR="00EB47FD" w:rsidRPr="00653517">
              <w:rPr>
                <w:bCs/>
                <w:color w:val="FF0000"/>
                <w:sz w:val="20"/>
                <w:szCs w:val="20"/>
              </w:rPr>
              <w:t xml:space="preserve">     </w:t>
            </w:r>
            <w:r w:rsidR="00EB47FD" w:rsidRPr="00EE39DD">
              <w:rPr>
                <w:bCs/>
                <w:sz w:val="20"/>
                <w:szCs w:val="20"/>
              </w:rPr>
              <w:t xml:space="preserve">)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7509CC96" w:rsidR="00EB47FD" w:rsidRPr="00EE39DD" w:rsidRDefault="00377FED" w:rsidP="00EB47FD">
            <w:pPr>
              <w:spacing w:before="120"/>
              <w:jc w:val="left"/>
              <w:rPr>
                <w:sz w:val="20"/>
                <w:szCs w:val="20"/>
              </w:rPr>
            </w:pPr>
            <w:r>
              <w:rPr>
                <w:bCs/>
                <w:sz w:val="20"/>
                <w:szCs w:val="20"/>
              </w:rPr>
              <w:t>[</w:t>
            </w:r>
            <w:r w:rsidRPr="00653517">
              <w:rPr>
                <w:rFonts w:hint="eastAsia"/>
                <w:bCs/>
                <w:color w:val="FF0000"/>
                <w:sz w:val="20"/>
                <w:szCs w:val="20"/>
                <w:lang w:eastAsia="ja-JP"/>
              </w:rPr>
              <w:t>✓</w:t>
            </w:r>
            <w:r w:rsidR="00EB47FD" w:rsidRPr="00EE39DD">
              <w:rPr>
                <w:bCs/>
                <w:sz w:val="20"/>
                <w:szCs w:val="20"/>
              </w:rPr>
              <w:t xml:space="preserve">] for </w:t>
            </w:r>
            <w:r w:rsidR="00EB47FD" w:rsidRPr="00EE39DD">
              <w:rPr>
                <w:sz w:val="20"/>
                <w:szCs w:val="20"/>
              </w:rPr>
              <w:t xml:space="preserve">Convention articles (Please specify </w:t>
            </w:r>
            <w:r w:rsidR="00EB47FD" w:rsidRPr="00A426AF">
              <w:rPr>
                <w:color w:val="FF0000"/>
                <w:sz w:val="20"/>
                <w:szCs w:val="20"/>
              </w:rPr>
              <w:t xml:space="preserve">   </w:t>
            </w:r>
            <w:r w:rsidRPr="00A426AF">
              <w:rPr>
                <w:rFonts w:hint="eastAsia"/>
                <w:color w:val="FF0000"/>
                <w:sz w:val="20"/>
                <w:szCs w:val="20"/>
                <w:lang w:eastAsia="ja-JP"/>
              </w:rPr>
              <w:t>IPPC I 1, X 4</w:t>
            </w:r>
            <w:r w:rsidR="00EB47FD" w:rsidRPr="00EE39DD">
              <w:rPr>
                <w:sz w:val="20"/>
                <w:szCs w:val="20"/>
              </w:rPr>
              <w:t xml:space="preserve">     </w:t>
            </w:r>
            <w:r w:rsidR="00F56C25" w:rsidRPr="00EE39DD">
              <w:rPr>
                <w:sz w:val="20"/>
                <w:szCs w:val="20"/>
              </w:rPr>
              <w:t xml:space="preserve">            </w:t>
            </w:r>
            <w:r w:rsidR="00EB47FD" w:rsidRPr="00EE39DD">
              <w:rPr>
                <w:sz w:val="20"/>
                <w:szCs w:val="20"/>
              </w:rPr>
              <w:t xml:space="preserve">     )                                                                                       </w:t>
            </w:r>
          </w:p>
          <w:p w14:paraId="5FD03860" w14:textId="72896A1D" w:rsidR="00EB47FD" w:rsidRPr="00EE39DD" w:rsidRDefault="00EB47FD" w:rsidP="00EB47FD">
            <w:pPr>
              <w:spacing w:before="120"/>
              <w:jc w:val="left"/>
              <w:rPr>
                <w:sz w:val="20"/>
                <w:szCs w:val="20"/>
                <w:lang w:eastAsia="ja-JP"/>
              </w:rPr>
            </w:pPr>
            <w:r w:rsidRPr="00EE39DD">
              <w:rPr>
                <w:bCs/>
                <w:sz w:val="20"/>
                <w:szCs w:val="20"/>
              </w:rPr>
              <w:t>[</w:t>
            </w:r>
            <w:r w:rsidR="00377FED">
              <w:rPr>
                <w:rFonts w:hint="eastAsia"/>
                <w:bCs/>
                <w:sz w:val="20"/>
                <w:szCs w:val="20"/>
                <w:lang w:eastAsia="ja-JP"/>
              </w:rPr>
              <w:t xml:space="preserve">    </w:t>
            </w:r>
            <w:r w:rsidRPr="00EE39DD">
              <w:rPr>
                <w:bCs/>
                <w:sz w:val="20"/>
                <w:szCs w:val="20"/>
              </w:rPr>
              <w:t xml:space="preserve">] for </w:t>
            </w:r>
            <w:r w:rsidRPr="00EE39DD">
              <w:rPr>
                <w:sz w:val="20"/>
                <w:szCs w:val="20"/>
              </w:rPr>
              <w:t xml:space="preserve">ISPM (Please specify      </w:t>
            </w:r>
            <w:r w:rsidR="00377FED">
              <w:rPr>
                <w:rFonts w:hint="eastAsia"/>
                <w:color w:val="FF0000"/>
                <w:sz w:val="20"/>
                <w:szCs w:val="20"/>
                <w:lang w:eastAsia="ja-JP"/>
              </w:rPr>
              <w:t xml:space="preserve"> </w:t>
            </w:r>
            <w:r w:rsidR="00A426AF">
              <w:rPr>
                <w:rFonts w:hint="eastAsia"/>
                <w:color w:val="FF0000"/>
                <w:sz w:val="20"/>
                <w:szCs w:val="20"/>
                <w:lang w:eastAsia="ja-JP"/>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6434CA8B" w14:textId="77777777" w:rsidR="005E6F6B" w:rsidRDefault="005E6F6B" w:rsidP="00E96D9B">
            <w:pPr>
              <w:rPr>
                <w:b/>
                <w:sz w:val="20"/>
                <w:szCs w:val="20"/>
                <w:u w:val="single"/>
                <w:lang w:eastAsia="ja-JP"/>
              </w:rPr>
            </w:pPr>
            <w:r>
              <w:rPr>
                <w:b/>
                <w:sz w:val="20"/>
                <w:szCs w:val="20"/>
                <w:u w:val="single"/>
              </w:rPr>
              <w:t>6</w:t>
            </w:r>
            <w:r w:rsidRPr="00EE39DD">
              <w:rPr>
                <w:b/>
                <w:sz w:val="20"/>
                <w:szCs w:val="20"/>
                <w:u w:val="single"/>
              </w:rPr>
              <w:t xml:space="preserve">. </w:t>
            </w:r>
            <w:r>
              <w:rPr>
                <w:b/>
                <w:sz w:val="20"/>
                <w:szCs w:val="20"/>
                <w:u w:val="single"/>
              </w:rPr>
              <w:t>Proposed title of  document</w:t>
            </w:r>
          </w:p>
          <w:p w14:paraId="306AC8C2" w14:textId="39DA8A2F" w:rsidR="00BC4F98" w:rsidRPr="00BC4F98" w:rsidRDefault="00653517" w:rsidP="00E96D9B">
            <w:pPr>
              <w:rPr>
                <w:b/>
                <w:sz w:val="20"/>
                <w:szCs w:val="20"/>
                <w:u w:val="single"/>
                <w:lang w:eastAsia="ja-JP"/>
              </w:rPr>
            </w:pPr>
            <w:r w:rsidRPr="00653517">
              <w:rPr>
                <w:color w:val="FF0000"/>
                <w:sz w:val="20"/>
                <w:szCs w:val="20"/>
                <w:lang w:val="en-US" w:eastAsia="ja-JP"/>
              </w:rPr>
              <w:t>Symposium on implementation of the Convention and ISPMs</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7EFCF762" w:rsidR="005E6F6B" w:rsidRPr="00EE39DD" w:rsidRDefault="005E6F6B" w:rsidP="005E6F6B">
            <w:pPr>
              <w:rPr>
                <w:sz w:val="20"/>
                <w:szCs w:val="20"/>
              </w:rPr>
            </w:pPr>
            <w:r w:rsidRPr="00EE39DD">
              <w:rPr>
                <w:sz w:val="20"/>
                <w:szCs w:val="20"/>
              </w:rPr>
              <w:t xml:space="preserve"> </w:t>
            </w:r>
            <w:r w:rsidRPr="00EE39DD">
              <w:rPr>
                <w:bCs/>
                <w:sz w:val="20"/>
                <w:szCs w:val="20"/>
              </w:rPr>
              <w:t>[</w:t>
            </w:r>
            <w:r w:rsidR="00BC4F98" w:rsidRPr="00653517">
              <w:rPr>
                <w:rFonts w:hint="eastAsia"/>
                <w:bCs/>
                <w:color w:val="FF0000"/>
                <w:sz w:val="20"/>
                <w:szCs w:val="20"/>
                <w:lang w:eastAsia="ja-JP"/>
              </w:rPr>
              <w:t>✓</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2A561591" w:rsidR="005E6F6B" w:rsidRPr="00FA7F91" w:rsidRDefault="00A8264E" w:rsidP="00E96D9B">
            <w:pPr>
              <w:rPr>
                <w:color w:val="FF0000"/>
                <w:sz w:val="20"/>
                <w:szCs w:val="20"/>
                <w:lang w:eastAsia="ja-JP"/>
              </w:rPr>
            </w:pPr>
            <w:r>
              <w:rPr>
                <w:rFonts w:hint="eastAsia"/>
                <w:color w:val="FF0000"/>
                <w:sz w:val="20"/>
                <w:szCs w:val="20"/>
                <w:lang w:eastAsia="ja-JP"/>
              </w:rPr>
              <w:t>The symposium may</w:t>
            </w:r>
            <w:r w:rsidR="00FA7F91">
              <w:rPr>
                <w:rFonts w:hint="eastAsia"/>
                <w:color w:val="FF0000"/>
                <w:sz w:val="20"/>
                <w:szCs w:val="20"/>
                <w:lang w:eastAsia="ja-JP"/>
              </w:rPr>
              <w:t xml:space="preserve"> include high-level officials from developed and developing countries.</w:t>
            </w:r>
          </w:p>
        </w:tc>
      </w:tr>
      <w:tr w:rsidR="005E6F6B" w:rsidRPr="007075F6" w14:paraId="1151977E" w14:textId="77777777" w:rsidTr="00563FA2">
        <w:trPr>
          <w:trHeight w:val="828"/>
          <w:jc w:val="center"/>
        </w:trPr>
        <w:tc>
          <w:tcPr>
            <w:tcW w:w="5000" w:type="pct"/>
          </w:tcPr>
          <w:p w14:paraId="49AB5719" w14:textId="77777777" w:rsidR="005E6F6B" w:rsidRDefault="005E6F6B" w:rsidP="00E96D9B">
            <w:pPr>
              <w:rPr>
                <w:b/>
                <w:sz w:val="20"/>
                <w:szCs w:val="20"/>
                <w:u w:val="single"/>
                <w:lang w:eastAsia="ja-JP"/>
              </w:rPr>
            </w:pPr>
            <w:r w:rsidRPr="005E6F6B">
              <w:rPr>
                <w:b/>
                <w:sz w:val="20"/>
                <w:szCs w:val="20"/>
                <w:u w:val="single"/>
              </w:rPr>
              <w:t>8. Featur</w:t>
            </w:r>
            <w:r w:rsidR="00F21E55">
              <w:rPr>
                <w:b/>
                <w:sz w:val="20"/>
                <w:szCs w:val="20"/>
                <w:u w:val="single"/>
              </w:rPr>
              <w:t xml:space="preserve">ed outcome of standard/implementation resource </w:t>
            </w:r>
          </w:p>
          <w:p w14:paraId="080A61AB" w14:textId="08705ECA" w:rsidR="00BC4F98" w:rsidRPr="00BC4F98" w:rsidRDefault="00FA7F91" w:rsidP="00FA7F91">
            <w:pPr>
              <w:rPr>
                <w:sz w:val="20"/>
                <w:szCs w:val="20"/>
                <w:lang w:eastAsia="ja-JP"/>
              </w:rPr>
            </w:pPr>
            <w:r>
              <w:rPr>
                <w:rFonts w:hint="eastAsia"/>
                <w:color w:val="FF0000"/>
                <w:sz w:val="20"/>
                <w:szCs w:val="20"/>
                <w:lang w:eastAsia="ja-JP"/>
              </w:rPr>
              <w:t>The symposium aims to improve countries to implement IPPC and ISPMs and/or to raise awareness about importance of the implementation for developed and developing countries.</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6D963931" w:rsidR="00563FA2" w:rsidRPr="00424DA3" w:rsidRDefault="00F81C1A" w:rsidP="00F81C1A">
            <w:pPr>
              <w:rPr>
                <w:sz w:val="20"/>
                <w:szCs w:val="20"/>
                <w:lang w:eastAsia="ja-JP"/>
              </w:rPr>
            </w:pPr>
            <w:r>
              <w:rPr>
                <w:rFonts w:hint="eastAsia"/>
                <w:color w:val="FF0000"/>
                <w:sz w:val="20"/>
                <w:szCs w:val="20"/>
                <w:lang w:eastAsia="ja-JP"/>
              </w:rPr>
              <w:t>No.</w:t>
            </w:r>
            <w:r w:rsidR="00424DA3" w:rsidRPr="00653517">
              <w:rPr>
                <w:rFonts w:hint="eastAsia"/>
                <w:color w:val="FF0000"/>
                <w:sz w:val="20"/>
                <w:szCs w:val="20"/>
                <w:lang w:eastAsia="ja-JP"/>
              </w:rPr>
              <w:t>5 International cooperation among NPPOs</w:t>
            </w:r>
            <w:r w:rsidR="00885B50" w:rsidRPr="00653517">
              <w:rPr>
                <w:rFonts w:hint="eastAsia"/>
                <w:color w:val="FF0000"/>
                <w:sz w:val="20"/>
                <w:szCs w:val="20"/>
                <w:lang w:eastAsia="ja-JP"/>
              </w:rPr>
              <w:t xml:space="preserve"> (Other guidance)</w:t>
            </w:r>
            <w:r w:rsidR="00DD5155">
              <w:rPr>
                <w:rFonts w:hint="eastAsia"/>
                <w:color w:val="FF0000"/>
                <w:sz w:val="20"/>
                <w:szCs w:val="20"/>
                <w:lang w:eastAsia="ja-JP"/>
              </w:rPr>
              <w:t xml:space="preserve">, </w:t>
            </w:r>
            <w:r>
              <w:rPr>
                <w:rFonts w:hint="eastAsia"/>
                <w:color w:val="FF0000"/>
                <w:sz w:val="20"/>
                <w:szCs w:val="20"/>
                <w:lang w:eastAsia="ja-JP"/>
              </w:rPr>
              <w:t xml:space="preserve">No.7 Advocacy for NPPO resource mobilization, No.8 Elements of an effective NPPO, No.13 International Cooperation between contracting parties, No.22 State of plant protection in the world, </w:t>
            </w:r>
            <w:r w:rsidR="00424DA3" w:rsidRPr="00653517">
              <w:rPr>
                <w:rFonts w:hint="eastAsia"/>
                <w:color w:val="FF0000"/>
                <w:sz w:val="20"/>
                <w:szCs w:val="20"/>
                <w:lang w:eastAsia="ja-JP"/>
              </w:rPr>
              <w:t>No.52 Phytosanitary certification (Other guidance)</w:t>
            </w:r>
          </w:p>
        </w:tc>
      </w:tr>
      <w:tr w:rsidR="00563FA2" w:rsidRPr="00326064" w14:paraId="367B04BB" w14:textId="77777777" w:rsidTr="00563FA2">
        <w:trPr>
          <w:trHeight w:val="828"/>
          <w:jc w:val="center"/>
        </w:trPr>
        <w:tc>
          <w:tcPr>
            <w:tcW w:w="5000" w:type="pct"/>
          </w:tcPr>
          <w:p w14:paraId="4794808A" w14:textId="77777777" w:rsidR="00563FA2" w:rsidRDefault="005E6F6B" w:rsidP="00E96D9B">
            <w:pPr>
              <w:rPr>
                <w:sz w:val="20"/>
                <w:szCs w:val="20"/>
                <w:lang w:eastAsia="ja-JP"/>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759C5F2C" w:rsidR="00424DA3" w:rsidRPr="00885B50" w:rsidRDefault="00A8264E" w:rsidP="00FA7F91">
            <w:pPr>
              <w:rPr>
                <w:sz w:val="20"/>
                <w:szCs w:val="20"/>
                <w:lang w:eastAsia="ja-JP"/>
              </w:rPr>
            </w:pPr>
            <w:r>
              <w:rPr>
                <w:rFonts w:hint="eastAsia"/>
                <w:color w:val="FF0000"/>
                <w:sz w:val="20"/>
                <w:szCs w:val="20"/>
                <w:lang w:eastAsia="ja-JP"/>
              </w:rPr>
              <w:t>The symposium will improve</w:t>
            </w:r>
            <w:r w:rsidR="00653517" w:rsidRPr="00653517">
              <w:rPr>
                <w:color w:val="FF0000"/>
                <w:sz w:val="20"/>
                <w:szCs w:val="20"/>
                <w:lang w:eastAsia="ja-JP"/>
              </w:rPr>
              <w:t xml:space="preserve"> countrie</w:t>
            </w:r>
            <w:r w:rsidR="00FA7F91">
              <w:rPr>
                <w:rFonts w:hint="eastAsia"/>
                <w:color w:val="FF0000"/>
                <w:sz w:val="20"/>
                <w:szCs w:val="20"/>
                <w:lang w:eastAsia="ja-JP"/>
              </w:rPr>
              <w:t>s</w:t>
            </w:r>
            <w:r w:rsidR="00FA7F91">
              <w:rPr>
                <w:color w:val="FF0000"/>
                <w:sz w:val="20"/>
                <w:szCs w:val="20"/>
                <w:lang w:eastAsia="ja-JP"/>
              </w:rPr>
              <w:t>’</w:t>
            </w:r>
            <w:r w:rsidR="00653517" w:rsidRPr="00653517">
              <w:rPr>
                <w:color w:val="FF0000"/>
                <w:sz w:val="20"/>
                <w:szCs w:val="20"/>
                <w:lang w:eastAsia="ja-JP"/>
              </w:rPr>
              <w:t xml:space="preserve"> capacity to implement IPPC and ISPMs and/or to raise awareness about importance of the implementation for developing countries.</w:t>
            </w: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7260C66E" w:rsidR="000B32EC" w:rsidRPr="00E86637" w:rsidRDefault="00653517" w:rsidP="00551ED4">
            <w:pPr>
              <w:autoSpaceDE w:val="0"/>
              <w:autoSpaceDN w:val="0"/>
              <w:adjustRightInd w:val="0"/>
              <w:rPr>
                <w:rFonts w:cs="Times-Roman"/>
                <w:sz w:val="18"/>
                <w:szCs w:val="18"/>
                <w:lang w:eastAsia="ja-JP"/>
              </w:rPr>
            </w:pPr>
            <w:r w:rsidRPr="00653517">
              <w:rPr>
                <w:rFonts w:cs="Times-Roman"/>
                <w:color w:val="FF0000"/>
                <w:sz w:val="18"/>
                <w:szCs w:val="18"/>
              </w:rPr>
              <w:t>IPPC IV 2, V 1,2 a, b, c, 3</w:t>
            </w:r>
            <w:r>
              <w:rPr>
                <w:rFonts w:cs="Times-Roman" w:hint="eastAsia"/>
                <w:color w:val="FF0000"/>
                <w:sz w:val="18"/>
                <w:szCs w:val="18"/>
                <w:lang w:eastAsia="ja-JP"/>
              </w:rPr>
              <w:t xml:space="preserve">, VII 1, 2, </w:t>
            </w:r>
            <w:r w:rsidR="00DD5155">
              <w:rPr>
                <w:rFonts w:cs="Times-Roman" w:hint="eastAsia"/>
                <w:color w:val="FF0000"/>
                <w:sz w:val="18"/>
                <w:szCs w:val="18"/>
                <w:lang w:eastAsia="ja-JP"/>
              </w:rPr>
              <w:t>3, 4</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766A74EE" w14:textId="469D7D95" w:rsidR="000B32EC" w:rsidRPr="00E86637" w:rsidRDefault="00E27434" w:rsidP="00653517">
            <w:pPr>
              <w:autoSpaceDE w:val="0"/>
              <w:autoSpaceDN w:val="0"/>
              <w:adjustRightInd w:val="0"/>
              <w:rPr>
                <w:rFonts w:cs="Times-Roman"/>
                <w:sz w:val="18"/>
                <w:szCs w:val="18"/>
              </w:rPr>
            </w:pPr>
            <w:r>
              <w:rPr>
                <w:rFonts w:cs="Times-Roman" w:hint="eastAsia"/>
                <w:color w:val="FF0000"/>
                <w:sz w:val="18"/>
                <w:szCs w:val="18"/>
                <w:lang w:eastAsia="ja-JP"/>
              </w:rPr>
              <w:t xml:space="preserve">A1, A2, </w:t>
            </w:r>
            <w:r w:rsidR="007A3B72">
              <w:rPr>
                <w:rFonts w:cs="Times-Roman" w:hint="eastAsia"/>
                <w:color w:val="FF0000"/>
                <w:sz w:val="18"/>
                <w:szCs w:val="18"/>
                <w:lang w:eastAsia="ja-JP"/>
              </w:rPr>
              <w:t>b, c, e, f</w:t>
            </w: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4498E38C" w14:textId="20C2380E" w:rsidR="00167857" w:rsidRPr="007A3B72" w:rsidRDefault="007A3B72" w:rsidP="007A3B72">
            <w:pPr>
              <w:rPr>
                <w:rFonts w:cs="Times-Bold"/>
                <w:bCs/>
                <w:sz w:val="20"/>
                <w:szCs w:val="20"/>
                <w:u w:val="single"/>
              </w:rPr>
            </w:pPr>
            <w:r w:rsidRPr="007A3B72">
              <w:rPr>
                <w:color w:val="FF0000"/>
                <w:sz w:val="18"/>
                <w:szCs w:val="18"/>
                <w:lang w:eastAsia="ja-JP"/>
              </w:rPr>
              <w:t>The symposium aims to improve countries capacity to implement IPPC</w:t>
            </w:r>
            <w:r>
              <w:rPr>
                <w:rFonts w:hint="eastAsia"/>
                <w:color w:val="FF0000"/>
                <w:sz w:val="18"/>
                <w:szCs w:val="18"/>
                <w:lang w:eastAsia="ja-JP"/>
              </w:rPr>
              <w:t xml:space="preserve"> </w:t>
            </w:r>
            <w:r w:rsidRPr="007A3B72">
              <w:rPr>
                <w:color w:val="FF0000"/>
                <w:sz w:val="18"/>
                <w:szCs w:val="18"/>
                <w:lang w:eastAsia="ja-JP"/>
              </w:rPr>
              <w:t>and ISPMs and/or to raise awareness about importance of the implementation for both developed and developing countries which could include high level officials from these countries.</w:t>
            </w: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357222AB" w:rsidR="000B32EC" w:rsidRPr="00F56C25" w:rsidRDefault="00B07F52" w:rsidP="00551ED4">
            <w:pPr>
              <w:autoSpaceDE w:val="0"/>
              <w:autoSpaceDN w:val="0"/>
              <w:adjustRightInd w:val="0"/>
              <w:rPr>
                <w:rFonts w:cs="Times-Roman"/>
                <w:sz w:val="18"/>
                <w:szCs w:val="18"/>
              </w:rPr>
            </w:pPr>
            <w:r>
              <w:rPr>
                <w:rFonts w:cs="Times-Roman" w:hint="eastAsia"/>
                <w:color w:val="FF0000"/>
                <w:sz w:val="18"/>
                <w:szCs w:val="18"/>
                <w:lang w:eastAsia="ja-JP"/>
              </w:rPr>
              <w:t>Implementation of IPPC and ISPMs are important for all contracting parties.</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46D1EBD0" w14:textId="5460F554" w:rsidR="00167857" w:rsidRPr="00653517" w:rsidRDefault="00B07F52" w:rsidP="00167857">
            <w:pPr>
              <w:autoSpaceDE w:val="0"/>
              <w:autoSpaceDN w:val="0"/>
              <w:adjustRightInd w:val="0"/>
              <w:rPr>
                <w:color w:val="FF0000"/>
                <w:sz w:val="18"/>
                <w:szCs w:val="18"/>
                <w:lang w:eastAsia="ja-JP"/>
              </w:rPr>
            </w:pPr>
            <w:r>
              <w:rPr>
                <w:rFonts w:hint="eastAsia"/>
                <w:color w:val="FF0000"/>
                <w:sz w:val="18"/>
                <w:szCs w:val="18"/>
                <w:lang w:eastAsia="ja-JP"/>
              </w:rPr>
              <w:t>ISPMs and implementation resources are available to hold the symposium.</w:t>
            </w:r>
          </w:p>
          <w:p w14:paraId="7E5076FB" w14:textId="77777777" w:rsidR="000B32EC" w:rsidRPr="00B07F52" w:rsidRDefault="000B32EC" w:rsidP="00551ED4">
            <w:pPr>
              <w:autoSpaceDE w:val="0"/>
              <w:autoSpaceDN w:val="0"/>
              <w:adjustRightInd w:val="0"/>
              <w:rPr>
                <w:rFonts w:cs="Times-Roman"/>
                <w:sz w:val="18"/>
                <w:szCs w:val="18"/>
              </w:rPr>
            </w:pP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lastRenderedPageBreak/>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77777777" w:rsidR="000B32EC" w:rsidRPr="00F56C25"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2B6AB24" w14:textId="2C5BF86B" w:rsidR="00FD01BE" w:rsidRPr="00E86637" w:rsidRDefault="00FD01BE" w:rsidP="00CA5BBE">
            <w:pPr>
              <w:autoSpaceDE w:val="0"/>
              <w:autoSpaceDN w:val="0"/>
              <w:adjustRightInd w:val="0"/>
              <w:rPr>
                <w:rFonts w:cs="Times-Bold"/>
                <w:b/>
                <w:bCs/>
                <w:sz w:val="18"/>
                <w:szCs w:val="18"/>
                <w:u w:val="single"/>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51109E00" w:rsidR="00842047" w:rsidRDefault="000B32EC" w:rsidP="000B32EC">
      <w:pPr>
        <w:tabs>
          <w:tab w:val="left" w:pos="2640"/>
          <w:tab w:val="left" w:pos="5103"/>
          <w:tab w:val="left" w:pos="5520"/>
        </w:tabs>
        <w:rPr>
          <w:sz w:val="20"/>
          <w:szCs w:val="20"/>
        </w:rPr>
      </w:pPr>
      <w:r w:rsidRPr="003B40D4">
        <w:rPr>
          <w:sz w:val="20"/>
          <w:szCs w:val="20"/>
        </w:rPr>
        <w:tab/>
      </w:r>
      <w:r w:rsidRPr="003B40D4">
        <w:rPr>
          <w:sz w:val="20"/>
          <w:szCs w:val="20"/>
        </w:rPr>
        <w:tab/>
        <w:t>00153 Rome, Italy</w:t>
      </w:r>
    </w:p>
    <w:p w14:paraId="058A55A6" w14:textId="27046725" w:rsidR="006E4AB8" w:rsidRDefault="006E4AB8">
      <w:pPr>
        <w:spacing w:after="160" w:line="259" w:lineRule="auto"/>
        <w:jc w:val="left"/>
        <w:rPr>
          <w:sz w:val="20"/>
          <w:szCs w:val="20"/>
        </w:rPr>
      </w:pPr>
      <w:r>
        <w:rPr>
          <w:sz w:val="20"/>
          <w:szCs w:val="20"/>
        </w:rPr>
        <w:br w:type="page"/>
      </w:r>
    </w:p>
    <w:p w14:paraId="290ACC33" w14:textId="77777777" w:rsidR="006E4AB8" w:rsidRPr="006E4AB8" w:rsidRDefault="006E4AB8" w:rsidP="006E4AB8">
      <w:pPr>
        <w:widowControl w:val="0"/>
        <w:jc w:val="center"/>
        <w:rPr>
          <w:rFonts w:ascii="Century" w:hAnsi="Century"/>
          <w:kern w:val="2"/>
          <w:sz w:val="24"/>
          <w:lang w:val="en-US" w:eastAsia="ja-JP"/>
        </w:rPr>
      </w:pPr>
      <w:r w:rsidRPr="006E4AB8">
        <w:rPr>
          <w:rFonts w:ascii="Century" w:hAnsi="Century"/>
          <w:kern w:val="2"/>
          <w:sz w:val="24"/>
          <w:lang w:val="en-US" w:eastAsia="ja-JP"/>
        </w:rPr>
        <w:lastRenderedPageBreak/>
        <w:t>(</w:t>
      </w:r>
      <w:r w:rsidRPr="006E4AB8">
        <w:rPr>
          <w:rFonts w:ascii="Century" w:hAnsi="Century" w:hint="eastAsia"/>
          <w:kern w:val="2"/>
          <w:sz w:val="24"/>
          <w:lang w:val="en-US" w:eastAsia="ja-JP"/>
        </w:rPr>
        <w:t>Draft</w:t>
      </w:r>
      <w:r w:rsidRPr="006E4AB8">
        <w:rPr>
          <w:rFonts w:ascii="Century" w:hAnsi="Century"/>
          <w:kern w:val="2"/>
          <w:sz w:val="24"/>
          <w:lang w:val="en-US" w:eastAsia="ja-JP"/>
        </w:rPr>
        <w:t xml:space="preserve"> Outline)</w:t>
      </w:r>
    </w:p>
    <w:p w14:paraId="1E488AEF" w14:textId="77777777" w:rsidR="006E4AB8" w:rsidRPr="006E4AB8" w:rsidRDefault="006E4AB8" w:rsidP="006E4AB8">
      <w:pPr>
        <w:widowControl w:val="0"/>
        <w:rPr>
          <w:rFonts w:ascii="Century" w:hAnsi="Century"/>
          <w:kern w:val="2"/>
          <w:sz w:val="24"/>
          <w:lang w:val="en-US" w:eastAsia="ja-JP"/>
        </w:rPr>
      </w:pPr>
    </w:p>
    <w:p w14:paraId="6006B476" w14:textId="77777777" w:rsidR="006E4AB8" w:rsidRPr="006E4AB8" w:rsidRDefault="006E4AB8" w:rsidP="006E4AB8">
      <w:pPr>
        <w:widowControl w:val="0"/>
        <w:rPr>
          <w:rFonts w:ascii="Century" w:hAnsi="Century"/>
          <w:kern w:val="2"/>
          <w:sz w:val="24"/>
          <w:lang w:val="en-US" w:eastAsia="ja-JP"/>
        </w:rPr>
      </w:pPr>
      <w:r w:rsidRPr="006E4AB8">
        <w:rPr>
          <w:rFonts w:ascii="Century" w:hAnsi="Century"/>
          <w:kern w:val="2"/>
          <w:sz w:val="24"/>
          <w:lang w:val="en-US" w:eastAsia="ja-JP"/>
        </w:rPr>
        <w:t xml:space="preserve">Title: </w:t>
      </w:r>
      <w:r w:rsidRPr="006E4AB8">
        <w:rPr>
          <w:rFonts w:ascii="Century" w:hAnsi="Century" w:hint="eastAsia"/>
          <w:kern w:val="2"/>
          <w:sz w:val="24"/>
          <w:lang w:val="en-US" w:eastAsia="ja-JP"/>
        </w:rPr>
        <w:t>Symposium on implementation</w:t>
      </w:r>
      <w:r w:rsidRPr="006E4AB8">
        <w:rPr>
          <w:rFonts w:ascii="Century" w:hAnsi="Century"/>
          <w:kern w:val="2"/>
          <w:sz w:val="24"/>
          <w:lang w:val="en-US" w:eastAsia="ja-JP"/>
        </w:rPr>
        <w:t xml:space="preserve"> of the Convention and ISPMs</w:t>
      </w:r>
    </w:p>
    <w:p w14:paraId="7C45F133" w14:textId="77777777" w:rsidR="006E4AB8" w:rsidRPr="006E4AB8" w:rsidRDefault="006E4AB8" w:rsidP="006E4AB8">
      <w:pPr>
        <w:widowControl w:val="0"/>
        <w:rPr>
          <w:rFonts w:ascii="Century" w:hAnsi="Century"/>
          <w:kern w:val="2"/>
          <w:sz w:val="24"/>
          <w:lang w:val="en-US" w:eastAsia="ja-JP"/>
        </w:rPr>
      </w:pPr>
    </w:p>
    <w:p w14:paraId="224325AB" w14:textId="77777777" w:rsidR="006E4AB8" w:rsidRPr="006E4AB8" w:rsidRDefault="006E4AB8" w:rsidP="006E4AB8">
      <w:pPr>
        <w:widowControl w:val="0"/>
        <w:rPr>
          <w:rFonts w:ascii="Century" w:hAnsi="Century"/>
          <w:kern w:val="2"/>
          <w:sz w:val="24"/>
          <w:lang w:val="en-US" w:eastAsia="ja-JP"/>
        </w:rPr>
      </w:pPr>
    </w:p>
    <w:p w14:paraId="0508D995" w14:textId="77777777" w:rsidR="006E4AB8" w:rsidRPr="006E4AB8" w:rsidRDefault="006E4AB8" w:rsidP="006E4AB8">
      <w:pPr>
        <w:widowControl w:val="0"/>
        <w:numPr>
          <w:ilvl w:val="0"/>
          <w:numId w:val="22"/>
        </w:numPr>
        <w:rPr>
          <w:rFonts w:ascii="Century" w:hAnsi="Century"/>
          <w:kern w:val="2"/>
          <w:sz w:val="24"/>
          <w:lang w:val="en-US" w:eastAsia="ja-JP"/>
        </w:rPr>
      </w:pPr>
      <w:r w:rsidRPr="006E4AB8">
        <w:rPr>
          <w:rFonts w:ascii="Century" w:hAnsi="Century" w:hint="eastAsia"/>
          <w:kern w:val="2"/>
          <w:sz w:val="24"/>
          <w:lang w:val="en-US" w:eastAsia="ja-JP"/>
        </w:rPr>
        <w:t xml:space="preserve">Scope and purpose: </w:t>
      </w:r>
    </w:p>
    <w:p w14:paraId="3F8FCF0B" w14:textId="77777777" w:rsidR="006E4AB8" w:rsidRPr="006E4AB8" w:rsidRDefault="006E4AB8" w:rsidP="006E4AB8">
      <w:pPr>
        <w:widowControl w:val="0"/>
        <w:ind w:left="360"/>
        <w:rPr>
          <w:rFonts w:ascii="Century" w:hAnsi="Century"/>
          <w:kern w:val="2"/>
          <w:sz w:val="24"/>
          <w:lang w:val="en-US" w:eastAsia="ja-JP"/>
        </w:rPr>
      </w:pPr>
      <w:r w:rsidRPr="006E4AB8">
        <w:rPr>
          <w:rFonts w:ascii="Century" w:hAnsi="Century"/>
          <w:kern w:val="2"/>
          <w:sz w:val="24"/>
          <w:lang w:val="en-US" w:eastAsia="ja-JP"/>
        </w:rPr>
        <w:t>The symposium aims to improve countries capacity to implement IPPC (the Convention) and ISPMs and/or to raise awareness about importance of the implementation for both developed and developing countries which could include high level officials from these countries.</w:t>
      </w:r>
    </w:p>
    <w:p w14:paraId="0B06AF64" w14:textId="77777777" w:rsidR="006E4AB8" w:rsidRPr="006E4AB8" w:rsidRDefault="006E4AB8" w:rsidP="006E4AB8">
      <w:pPr>
        <w:widowControl w:val="0"/>
        <w:rPr>
          <w:rFonts w:ascii="Century" w:hAnsi="Century"/>
          <w:kern w:val="2"/>
          <w:sz w:val="24"/>
          <w:lang w:val="en-US" w:eastAsia="ja-JP"/>
        </w:rPr>
      </w:pPr>
    </w:p>
    <w:p w14:paraId="1A83535E" w14:textId="77777777" w:rsidR="006E4AB8" w:rsidRPr="006E4AB8" w:rsidRDefault="006E4AB8" w:rsidP="006E4AB8">
      <w:pPr>
        <w:widowControl w:val="0"/>
        <w:numPr>
          <w:ilvl w:val="0"/>
          <w:numId w:val="22"/>
        </w:numPr>
        <w:rPr>
          <w:rFonts w:ascii="Century" w:hAnsi="Century"/>
          <w:kern w:val="2"/>
          <w:sz w:val="24"/>
          <w:lang w:val="en-US" w:eastAsia="ja-JP"/>
        </w:rPr>
      </w:pPr>
      <w:r w:rsidRPr="006E4AB8">
        <w:rPr>
          <w:rFonts w:ascii="Century" w:hAnsi="Century"/>
          <w:kern w:val="2"/>
          <w:sz w:val="24"/>
          <w:lang w:val="en-US" w:eastAsia="ja-JP"/>
        </w:rPr>
        <w:t xml:space="preserve">Expected </w:t>
      </w:r>
      <w:r w:rsidRPr="006E4AB8">
        <w:rPr>
          <w:rFonts w:ascii="Century" w:hAnsi="Century" w:hint="eastAsia"/>
          <w:kern w:val="2"/>
          <w:sz w:val="24"/>
          <w:lang w:val="en-US" w:eastAsia="ja-JP"/>
        </w:rPr>
        <w:t>participants</w:t>
      </w:r>
    </w:p>
    <w:p w14:paraId="3B21EDED" w14:textId="77777777" w:rsidR="006E4AB8" w:rsidRPr="006E4AB8" w:rsidRDefault="006E4AB8" w:rsidP="006E4AB8">
      <w:pPr>
        <w:widowControl w:val="0"/>
        <w:ind w:left="360"/>
        <w:rPr>
          <w:rFonts w:ascii="Century" w:hAnsi="Century"/>
          <w:kern w:val="2"/>
          <w:sz w:val="24"/>
          <w:lang w:val="en-US" w:eastAsia="ja-JP"/>
        </w:rPr>
      </w:pPr>
      <w:r w:rsidRPr="006E4AB8">
        <w:rPr>
          <w:rFonts w:ascii="Century" w:hAnsi="Century"/>
          <w:kern w:val="2"/>
          <w:sz w:val="24"/>
          <w:lang w:val="en-US" w:eastAsia="ja-JP"/>
        </w:rPr>
        <w:t>Contracting parties including G20 members</w:t>
      </w:r>
    </w:p>
    <w:p w14:paraId="1FB18074" w14:textId="77777777" w:rsidR="006E4AB8" w:rsidRPr="006E4AB8" w:rsidRDefault="006E4AB8" w:rsidP="006E4AB8">
      <w:pPr>
        <w:widowControl w:val="0"/>
        <w:rPr>
          <w:rFonts w:ascii="Century" w:hAnsi="Century"/>
          <w:kern w:val="2"/>
          <w:sz w:val="24"/>
          <w:lang w:val="en-US" w:eastAsia="ja-JP"/>
        </w:rPr>
      </w:pPr>
    </w:p>
    <w:p w14:paraId="7799B66F" w14:textId="77777777" w:rsidR="006E4AB8" w:rsidRPr="006E4AB8" w:rsidRDefault="006E4AB8" w:rsidP="006E4AB8">
      <w:pPr>
        <w:widowControl w:val="0"/>
        <w:numPr>
          <w:ilvl w:val="0"/>
          <w:numId w:val="22"/>
        </w:numPr>
        <w:rPr>
          <w:rFonts w:ascii="Century" w:hAnsi="Century"/>
          <w:kern w:val="2"/>
          <w:sz w:val="24"/>
          <w:lang w:val="en-US" w:eastAsia="ja-JP"/>
        </w:rPr>
      </w:pPr>
      <w:r w:rsidRPr="006E4AB8">
        <w:rPr>
          <w:rFonts w:ascii="Century" w:hAnsi="Century" w:hint="eastAsia"/>
          <w:kern w:val="2"/>
          <w:sz w:val="24"/>
          <w:lang w:val="en-US" w:eastAsia="ja-JP"/>
        </w:rPr>
        <w:t>Finance</w:t>
      </w:r>
    </w:p>
    <w:p w14:paraId="5EF8A76D" w14:textId="77777777" w:rsidR="006E4AB8" w:rsidRPr="006E4AB8" w:rsidRDefault="006E4AB8" w:rsidP="006E4AB8">
      <w:pPr>
        <w:widowControl w:val="0"/>
        <w:ind w:left="360"/>
        <w:rPr>
          <w:rFonts w:ascii="Century" w:hAnsi="Century"/>
          <w:kern w:val="2"/>
          <w:sz w:val="24"/>
          <w:lang w:val="en-US" w:eastAsia="ja-JP"/>
        </w:rPr>
      </w:pPr>
      <w:r w:rsidRPr="006E4AB8">
        <w:rPr>
          <w:rFonts w:ascii="Century" w:hAnsi="Century" w:hint="eastAsia"/>
          <w:kern w:val="2"/>
          <w:sz w:val="24"/>
          <w:lang w:val="en-US" w:eastAsia="ja-JP"/>
        </w:rPr>
        <w:t>Japan</w:t>
      </w:r>
      <w:r w:rsidRPr="006E4AB8">
        <w:rPr>
          <w:rFonts w:ascii="Century" w:hAnsi="Century"/>
          <w:kern w:val="2"/>
          <w:sz w:val="24"/>
          <w:lang w:val="en-US" w:eastAsia="ja-JP"/>
        </w:rPr>
        <w:t>-funded trust fund project “Cooperation for development of the ePhyto Solution and implementation of the Convention and International Standards for Phytosanitary Measures</w:t>
      </w:r>
      <w:r w:rsidRPr="006E4AB8">
        <w:rPr>
          <w:rFonts w:ascii="Century" w:hAnsi="Century" w:hint="eastAsia"/>
          <w:kern w:val="2"/>
          <w:sz w:val="24"/>
          <w:lang w:val="en-US" w:eastAsia="ja-JP"/>
        </w:rPr>
        <w:t xml:space="preserve"> (</w:t>
      </w:r>
      <w:r w:rsidRPr="006E4AB8">
        <w:rPr>
          <w:rFonts w:ascii="Century" w:hAnsi="Century"/>
          <w:kern w:val="2"/>
          <w:sz w:val="24"/>
          <w:lang w:val="en-US" w:eastAsia="ja-JP"/>
        </w:rPr>
        <w:t>GCP /GLO/827/JPN)”</w:t>
      </w:r>
      <w:r w:rsidRPr="006E4AB8">
        <w:rPr>
          <w:rFonts w:ascii="Century" w:hAnsi="Century" w:hint="eastAsia"/>
          <w:kern w:val="2"/>
          <w:sz w:val="24"/>
          <w:lang w:val="en-US" w:eastAsia="ja-JP"/>
        </w:rPr>
        <w:t>.</w:t>
      </w:r>
    </w:p>
    <w:p w14:paraId="043BD80B" w14:textId="77777777" w:rsidR="006E4AB8" w:rsidRPr="006E4AB8" w:rsidRDefault="006E4AB8" w:rsidP="006E4AB8">
      <w:pPr>
        <w:widowControl w:val="0"/>
        <w:rPr>
          <w:rFonts w:ascii="Century" w:hAnsi="Century"/>
          <w:kern w:val="2"/>
          <w:sz w:val="24"/>
          <w:lang w:val="en-US" w:eastAsia="ja-JP"/>
        </w:rPr>
      </w:pPr>
    </w:p>
    <w:p w14:paraId="06DBD080" w14:textId="77777777" w:rsidR="006E4AB8" w:rsidRPr="006E4AB8" w:rsidRDefault="006E4AB8" w:rsidP="006E4AB8">
      <w:pPr>
        <w:widowControl w:val="0"/>
        <w:numPr>
          <w:ilvl w:val="0"/>
          <w:numId w:val="22"/>
        </w:numPr>
        <w:rPr>
          <w:rFonts w:ascii="Century" w:hAnsi="Century"/>
          <w:kern w:val="2"/>
          <w:sz w:val="24"/>
          <w:lang w:val="en-US" w:eastAsia="ja-JP"/>
        </w:rPr>
      </w:pPr>
      <w:r w:rsidRPr="006E4AB8">
        <w:rPr>
          <w:rFonts w:ascii="Century" w:hAnsi="Century" w:hint="eastAsia"/>
          <w:kern w:val="2"/>
          <w:sz w:val="24"/>
          <w:lang w:val="en-US" w:eastAsia="ja-JP"/>
        </w:rPr>
        <w:t>Timing</w:t>
      </w:r>
    </w:p>
    <w:p w14:paraId="39DA8250" w14:textId="77777777" w:rsidR="006E4AB8" w:rsidRPr="006E4AB8" w:rsidRDefault="006E4AB8" w:rsidP="006E4AB8">
      <w:pPr>
        <w:widowControl w:val="0"/>
        <w:ind w:left="360"/>
        <w:rPr>
          <w:rFonts w:ascii="Century" w:hAnsi="Century"/>
          <w:kern w:val="2"/>
          <w:sz w:val="24"/>
          <w:lang w:val="en-US" w:eastAsia="ja-JP"/>
        </w:rPr>
      </w:pPr>
      <w:r w:rsidRPr="006E4AB8">
        <w:rPr>
          <w:rFonts w:ascii="Century" w:hAnsi="Century"/>
          <w:kern w:val="2"/>
          <w:sz w:val="24"/>
          <w:lang w:val="en-US" w:eastAsia="ja-JP"/>
        </w:rPr>
        <w:t>Second half of 2019 – first half of 2020</w:t>
      </w:r>
    </w:p>
    <w:p w14:paraId="0EC5F94D" w14:textId="77777777" w:rsidR="006E4AB8" w:rsidRPr="006E4AB8" w:rsidRDefault="006E4AB8" w:rsidP="006E4AB8">
      <w:pPr>
        <w:widowControl w:val="0"/>
        <w:ind w:left="360"/>
        <w:rPr>
          <w:rFonts w:ascii="Century" w:hAnsi="Century"/>
          <w:kern w:val="2"/>
          <w:sz w:val="24"/>
          <w:lang w:val="en-US" w:eastAsia="ja-JP"/>
        </w:rPr>
      </w:pPr>
    </w:p>
    <w:p w14:paraId="5BF9C853" w14:textId="77777777" w:rsidR="006E4AB8" w:rsidRPr="006E4AB8" w:rsidRDefault="006E4AB8" w:rsidP="006E4AB8">
      <w:pPr>
        <w:widowControl w:val="0"/>
        <w:numPr>
          <w:ilvl w:val="0"/>
          <w:numId w:val="22"/>
        </w:numPr>
        <w:rPr>
          <w:rFonts w:ascii="Century" w:hAnsi="Century"/>
          <w:kern w:val="2"/>
          <w:sz w:val="24"/>
          <w:lang w:val="en-US" w:eastAsia="ja-JP"/>
        </w:rPr>
      </w:pPr>
      <w:r w:rsidRPr="006E4AB8">
        <w:rPr>
          <w:rFonts w:ascii="Century" w:hAnsi="Century" w:hint="eastAsia"/>
          <w:kern w:val="2"/>
          <w:sz w:val="24"/>
          <w:lang w:val="en-US" w:eastAsia="ja-JP"/>
        </w:rPr>
        <w:t>Venue</w:t>
      </w:r>
    </w:p>
    <w:p w14:paraId="188711B0" w14:textId="77777777" w:rsidR="006E4AB8" w:rsidRPr="006E4AB8" w:rsidRDefault="006E4AB8" w:rsidP="006E4AB8">
      <w:pPr>
        <w:widowControl w:val="0"/>
        <w:ind w:left="360"/>
        <w:rPr>
          <w:rFonts w:ascii="Century" w:hAnsi="Century"/>
          <w:kern w:val="2"/>
          <w:sz w:val="24"/>
          <w:lang w:val="en-US" w:eastAsia="ja-JP"/>
        </w:rPr>
      </w:pPr>
      <w:r w:rsidRPr="006E4AB8">
        <w:rPr>
          <w:rFonts w:ascii="Century" w:hAnsi="Century"/>
          <w:kern w:val="2"/>
          <w:sz w:val="24"/>
          <w:lang w:val="en-US" w:eastAsia="ja-JP"/>
        </w:rPr>
        <w:t>TBD</w:t>
      </w:r>
    </w:p>
    <w:p w14:paraId="10BE583E" w14:textId="77777777" w:rsidR="006E4AB8" w:rsidRPr="006E4AB8" w:rsidRDefault="006E4AB8" w:rsidP="006E4AB8">
      <w:pPr>
        <w:widowControl w:val="0"/>
        <w:rPr>
          <w:rFonts w:ascii="Century" w:hAnsi="Century"/>
          <w:kern w:val="2"/>
          <w:sz w:val="21"/>
          <w:szCs w:val="21"/>
          <w:lang w:val="en-US" w:eastAsia="ja-JP"/>
        </w:rPr>
      </w:pPr>
    </w:p>
    <w:p w14:paraId="714C0B0D" w14:textId="77777777" w:rsidR="006E4AB8" w:rsidRPr="006E4AB8" w:rsidRDefault="006E4AB8" w:rsidP="006E4AB8">
      <w:pPr>
        <w:widowControl w:val="0"/>
        <w:rPr>
          <w:rFonts w:ascii="Century" w:hAnsi="Century"/>
          <w:kern w:val="2"/>
          <w:sz w:val="21"/>
          <w:szCs w:val="21"/>
          <w:lang w:val="en-US" w:eastAsia="ja-JP"/>
        </w:rPr>
      </w:pPr>
      <w:r w:rsidRPr="006E4AB8">
        <w:rPr>
          <w:rFonts w:ascii="Century" w:hAnsi="Century"/>
          <w:kern w:val="2"/>
          <w:sz w:val="21"/>
          <w:szCs w:val="21"/>
          <w:lang w:val="en-US" w:eastAsia="ja-JP"/>
        </w:rPr>
        <w:t>(Relevant information)</w:t>
      </w:r>
    </w:p>
    <w:p w14:paraId="0D50EB56" w14:textId="77777777" w:rsidR="006E4AB8" w:rsidRPr="006E4AB8" w:rsidRDefault="006E4AB8" w:rsidP="006E4AB8">
      <w:pPr>
        <w:widowControl w:val="0"/>
        <w:numPr>
          <w:ilvl w:val="0"/>
          <w:numId w:val="23"/>
        </w:numPr>
        <w:rPr>
          <w:rFonts w:ascii="Century" w:hAnsi="Century"/>
          <w:kern w:val="2"/>
          <w:sz w:val="21"/>
          <w:szCs w:val="21"/>
          <w:lang w:val="en-US" w:eastAsia="ja-JP"/>
        </w:rPr>
      </w:pPr>
      <w:r w:rsidRPr="006E4AB8">
        <w:rPr>
          <w:rFonts w:ascii="Century" w:hAnsi="Century"/>
          <w:kern w:val="2"/>
          <w:sz w:val="21"/>
          <w:szCs w:val="21"/>
          <w:lang w:val="en-US" w:eastAsia="ja-JP"/>
        </w:rPr>
        <w:t>The G20 Meeting of Agriculture Ministers on 27-28 July 2018 in Buenos Aires, Argentina has noted the Electronic Phytosanitary Certification (ePhyto) system and International Year of Plant Health in 2020 (IYPH2020) in the declaration of the meeting.</w:t>
      </w:r>
    </w:p>
    <w:p w14:paraId="7460EE39" w14:textId="77777777" w:rsidR="006E4AB8" w:rsidRPr="006E4AB8" w:rsidRDefault="006E4AB8" w:rsidP="006E4AB8">
      <w:pPr>
        <w:widowControl w:val="0"/>
        <w:numPr>
          <w:ilvl w:val="0"/>
          <w:numId w:val="23"/>
        </w:numPr>
        <w:rPr>
          <w:rFonts w:ascii="Century" w:hAnsi="Century"/>
          <w:kern w:val="2"/>
          <w:sz w:val="21"/>
          <w:szCs w:val="21"/>
          <w:lang w:val="en-US" w:eastAsia="ja-JP"/>
        </w:rPr>
      </w:pPr>
      <w:r w:rsidRPr="006E4AB8">
        <w:rPr>
          <w:rFonts w:ascii="Century" w:hAnsi="Century"/>
          <w:kern w:val="2"/>
          <w:sz w:val="21"/>
          <w:szCs w:val="21"/>
          <w:lang w:val="en-US" w:eastAsia="ja-JP"/>
        </w:rPr>
        <w:t>Japan will host the next G20 Meeting of Agriculture Ministers in May 2019 in Nigata, Japan in which there might be further discussions on IPPC activities.</w:t>
      </w:r>
    </w:p>
    <w:p w14:paraId="459FF273" w14:textId="77777777" w:rsidR="006E4AB8" w:rsidRPr="006E4AB8" w:rsidRDefault="006E4AB8" w:rsidP="006E4AB8">
      <w:pPr>
        <w:widowControl w:val="0"/>
        <w:numPr>
          <w:ilvl w:val="0"/>
          <w:numId w:val="23"/>
        </w:numPr>
        <w:rPr>
          <w:rFonts w:ascii="Century" w:hAnsi="Century"/>
          <w:kern w:val="2"/>
          <w:sz w:val="21"/>
          <w:szCs w:val="21"/>
          <w:lang w:val="en-US" w:eastAsia="ja-JP"/>
        </w:rPr>
      </w:pPr>
      <w:r w:rsidRPr="006E4AB8">
        <w:rPr>
          <w:rFonts w:ascii="Century" w:hAnsi="Century"/>
          <w:kern w:val="2"/>
          <w:sz w:val="21"/>
          <w:szCs w:val="21"/>
          <w:lang w:val="en-US" w:eastAsia="ja-JP"/>
        </w:rPr>
        <w:t xml:space="preserve">The result of discussions of the above-mentioned G20 Meetings may be taken into account when developing the agenda of the symposium. Therefore, G20 members, in particular, might be encouraged to participate in the symposium. </w:t>
      </w:r>
    </w:p>
    <w:p w14:paraId="2424F56E" w14:textId="77777777" w:rsidR="006E4AB8" w:rsidRPr="006E4AB8" w:rsidRDefault="006E4AB8" w:rsidP="006E4AB8">
      <w:pPr>
        <w:widowControl w:val="0"/>
        <w:numPr>
          <w:ilvl w:val="0"/>
          <w:numId w:val="23"/>
        </w:numPr>
        <w:rPr>
          <w:rFonts w:ascii="Century" w:hAnsi="Century"/>
          <w:kern w:val="2"/>
          <w:sz w:val="21"/>
          <w:szCs w:val="21"/>
          <w:lang w:val="en-US" w:eastAsia="ja-JP"/>
        </w:rPr>
      </w:pPr>
      <w:r w:rsidRPr="006E4AB8">
        <w:rPr>
          <w:rFonts w:ascii="Century" w:hAnsi="Century"/>
          <w:kern w:val="2"/>
          <w:sz w:val="21"/>
          <w:szCs w:val="21"/>
          <w:lang w:val="en-US" w:eastAsia="ja-JP"/>
        </w:rPr>
        <w:t>The symposium may refer to IYPH2020 as a significant initiative to raise awareness of the importance and impacts of plant health. It may also include works related to ePhyto.</w:t>
      </w:r>
    </w:p>
    <w:p w14:paraId="38E833A9" w14:textId="77777777" w:rsidR="006E4AB8" w:rsidRPr="006E4AB8" w:rsidRDefault="006E4AB8" w:rsidP="006E4AB8">
      <w:pPr>
        <w:widowControl w:val="0"/>
        <w:rPr>
          <w:rFonts w:ascii="Century" w:hAnsi="Century"/>
          <w:kern w:val="2"/>
          <w:sz w:val="24"/>
          <w:lang w:val="en-US" w:eastAsia="ja-JP"/>
        </w:rPr>
      </w:pPr>
    </w:p>
    <w:p w14:paraId="6EF5C5DD" w14:textId="77777777" w:rsidR="006E4AB8" w:rsidRDefault="006E4AB8" w:rsidP="000B32EC">
      <w:pPr>
        <w:tabs>
          <w:tab w:val="left" w:pos="2640"/>
          <w:tab w:val="left" w:pos="5103"/>
          <w:tab w:val="left" w:pos="5520"/>
        </w:tabs>
      </w:pPr>
    </w:p>
    <w:sectPr w:rsidR="006E4AB8" w:rsidSect="006E4AB8">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C09" w14:textId="77777777" w:rsidR="002E71B7" w:rsidRDefault="002E71B7" w:rsidP="000B32EC">
      <w:r>
        <w:separator/>
      </w:r>
    </w:p>
  </w:endnote>
  <w:endnote w:type="continuationSeparator" w:id="0">
    <w:p w14:paraId="4D70D7A8" w14:textId="77777777" w:rsidR="002E71B7" w:rsidRDefault="002E71B7"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Yu Mincho">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Yu Gothic Light">
    <w:altName w:val="ＭＳ ゴシック"/>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6211902E"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6E4AB8">
      <w:rPr>
        <w:noProof/>
      </w:rPr>
      <w:t>4</w:t>
    </w:r>
    <w:r>
      <w:fldChar w:fldCharType="end"/>
    </w:r>
    <w:r w:rsidRPr="00C6380D">
      <w:t xml:space="preserve"> of </w:t>
    </w:r>
    <w:fldSimple w:instr=" NUMPAGES  ">
      <w:r w:rsidR="006E4AB8">
        <w:rPr>
          <w:noProof/>
        </w:rPr>
        <w:t>5</w:t>
      </w:r>
    </w:fldSimple>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826E8" w14:textId="2DB323B2" w:rsidR="006E4AB8" w:rsidRDefault="006E4AB8" w:rsidP="006E4AB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B6F3" w14:textId="378A9DB8" w:rsidR="006E4AB8" w:rsidRDefault="006E4AB8" w:rsidP="006E4AB8">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76D86" w14:textId="77777777" w:rsidR="002E71B7" w:rsidRDefault="002E71B7" w:rsidP="000B32EC">
      <w:r>
        <w:separator/>
      </w:r>
    </w:p>
  </w:footnote>
  <w:footnote w:type="continuationSeparator" w:id="0">
    <w:p w14:paraId="32CCCAE0" w14:textId="77777777" w:rsidR="002E71B7" w:rsidRDefault="002E71B7"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2264" w14:textId="58A7D5FD" w:rsidR="006E4AB8" w:rsidRPr="00E77B4C" w:rsidRDefault="006E4AB8" w:rsidP="006E4AB8">
    <w:pPr>
      <w:pStyle w:val="IPPHeader"/>
      <w:pBdr>
        <w:bottom w:val="single" w:sz="4" w:space="6" w:color="auto"/>
      </w:pBdr>
    </w:pPr>
    <w:r>
      <w:rPr>
        <w:noProof/>
      </w:rPr>
      <w:t>2018-0</w:t>
    </w:r>
    <w:r>
      <w:rPr>
        <w:noProof/>
      </w:rPr>
      <w:t>33</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6BF1" w14:textId="765B8D43" w:rsidR="006E4AB8" w:rsidRPr="001B3508" w:rsidRDefault="006E4AB8" w:rsidP="006E4AB8">
    <w:pPr>
      <w:pStyle w:val="IPPHeader"/>
    </w:pPr>
    <w:r>
      <w:rPr>
        <w:noProof/>
      </w:rPr>
      <w:t>2018 Call for Topics: Standards and Implementation</w:t>
    </w:r>
    <w:r>
      <w:rPr>
        <w:noProof/>
      </w:rPr>
      <w:tab/>
      <w:t>2018-0</w:t>
    </w:r>
    <w:r>
      <w:rPr>
        <w:noProof/>
      </w:rPr>
      <w:t>33</w:t>
    </w:r>
  </w:p>
  <w:p w14:paraId="4A3833B7" w14:textId="5F632B76" w:rsidR="006E4AB8" w:rsidRPr="006E4AB8" w:rsidRDefault="006E4AB8" w:rsidP="006E4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864D9" w14:textId="77777777" w:rsidR="006E4AB8" w:rsidRPr="009F3834" w:rsidRDefault="006E4AB8" w:rsidP="006E4AB8">
    <w:pPr>
      <w:pStyle w:val="IPPHeader"/>
      <w:ind w:left="1134"/>
    </w:pPr>
    <w:r>
      <w:rPr>
        <w:noProof/>
      </w:rPr>
      <w:drawing>
        <wp:anchor distT="0" distB="0" distL="114300" distR="114300" simplePos="0" relativeHeight="251665408" behindDoc="0" locked="0" layoutInCell="1" allowOverlap="0" wp14:anchorId="5E71AC00" wp14:editId="49E06DAA">
          <wp:simplePos x="0" y="0"/>
          <wp:positionH relativeFrom="page">
            <wp:posOffset>-28575</wp:posOffset>
          </wp:positionH>
          <wp:positionV relativeFrom="paragraph">
            <wp:posOffset>-530225</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1DC01A7" wp14:editId="303836EA">
          <wp:simplePos x="0" y="0"/>
          <wp:positionH relativeFrom="column">
            <wp:posOffset>-12700</wp:posOffset>
          </wp:positionH>
          <wp:positionV relativeFrom="paragraph">
            <wp:posOffset>3810</wp:posOffset>
          </wp:positionV>
          <wp:extent cx="632460" cy="321310"/>
          <wp:effectExtent l="0" t="0" r="0" b="254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2018-033</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661"/>
    <w:multiLevelType w:val="hybridMultilevel"/>
    <w:tmpl w:val="4482B82A"/>
    <w:lvl w:ilvl="0" w:tplc="A30A660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F639BC"/>
    <w:multiLevelType w:val="hybridMultilevel"/>
    <w:tmpl w:val="60364E2E"/>
    <w:lvl w:ilvl="0" w:tplc="558AF8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8"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0"/>
  </w:num>
  <w:num w:numId="4">
    <w:abstractNumId w:val="12"/>
  </w:num>
  <w:num w:numId="5">
    <w:abstractNumId w:val="18"/>
  </w:num>
  <w:num w:numId="6">
    <w:abstractNumId w:val="19"/>
  </w:num>
  <w:num w:numId="7">
    <w:abstractNumId w:val="11"/>
  </w:num>
  <w:num w:numId="8">
    <w:abstractNumId w:val="14"/>
  </w:num>
  <w:num w:numId="9">
    <w:abstractNumId w:val="21"/>
  </w:num>
  <w:num w:numId="10">
    <w:abstractNumId w:val="5"/>
  </w:num>
  <w:num w:numId="11">
    <w:abstractNumId w:val="13"/>
  </w:num>
  <w:num w:numId="12">
    <w:abstractNumId w:val="16"/>
  </w:num>
  <w:num w:numId="13">
    <w:abstractNumId w:val="8"/>
  </w:num>
  <w:num w:numId="14">
    <w:abstractNumId w:val="10"/>
  </w:num>
  <w:num w:numId="15">
    <w:abstractNumId w:val="7"/>
  </w:num>
  <w:num w:numId="16">
    <w:abstractNumId w:val="1"/>
  </w:num>
  <w:num w:numId="17">
    <w:abstractNumId w:val="9"/>
  </w:num>
  <w:num w:numId="18">
    <w:abstractNumId w:val="17"/>
  </w:num>
  <w:num w:numId="19">
    <w:abstractNumId w:val="22"/>
  </w:num>
  <w:num w:numId="20">
    <w:abstractNumId w:val="4"/>
  </w:num>
  <w:num w:numId="21">
    <w:abstractNumId w:val="1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6758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74A88"/>
    <w:rsid w:val="000B31FB"/>
    <w:rsid w:val="000B32EC"/>
    <w:rsid w:val="001047AE"/>
    <w:rsid w:val="00160B95"/>
    <w:rsid w:val="00167857"/>
    <w:rsid w:val="00183D3D"/>
    <w:rsid w:val="001E7364"/>
    <w:rsid w:val="001F7F84"/>
    <w:rsid w:val="00257DCF"/>
    <w:rsid w:val="002613D4"/>
    <w:rsid w:val="002B5A9A"/>
    <w:rsid w:val="002C4D4D"/>
    <w:rsid w:val="002E71B7"/>
    <w:rsid w:val="002F27D7"/>
    <w:rsid w:val="002F705C"/>
    <w:rsid w:val="00312C2A"/>
    <w:rsid w:val="00315FB8"/>
    <w:rsid w:val="00377343"/>
    <w:rsid w:val="00377FED"/>
    <w:rsid w:val="003A14FF"/>
    <w:rsid w:val="003D6110"/>
    <w:rsid w:val="00424DA3"/>
    <w:rsid w:val="00427923"/>
    <w:rsid w:val="004377E7"/>
    <w:rsid w:val="0046084A"/>
    <w:rsid w:val="004613BB"/>
    <w:rsid w:val="00470E1E"/>
    <w:rsid w:val="004878E8"/>
    <w:rsid w:val="004A373D"/>
    <w:rsid w:val="004C6850"/>
    <w:rsid w:val="005205CE"/>
    <w:rsid w:val="005438FB"/>
    <w:rsid w:val="00563FA2"/>
    <w:rsid w:val="005C1BD0"/>
    <w:rsid w:val="005D6636"/>
    <w:rsid w:val="005E6F6B"/>
    <w:rsid w:val="005F17DA"/>
    <w:rsid w:val="00644EA3"/>
    <w:rsid w:val="00653517"/>
    <w:rsid w:val="0067537B"/>
    <w:rsid w:val="006B50AE"/>
    <w:rsid w:val="006E4AB8"/>
    <w:rsid w:val="007075F6"/>
    <w:rsid w:val="0077292D"/>
    <w:rsid w:val="007A3B72"/>
    <w:rsid w:val="007E5FE0"/>
    <w:rsid w:val="007F2E1D"/>
    <w:rsid w:val="00811B8D"/>
    <w:rsid w:val="00842047"/>
    <w:rsid w:val="00875202"/>
    <w:rsid w:val="00885B50"/>
    <w:rsid w:val="008C3E20"/>
    <w:rsid w:val="008E1E55"/>
    <w:rsid w:val="00915D11"/>
    <w:rsid w:val="0096151C"/>
    <w:rsid w:val="009A3A5A"/>
    <w:rsid w:val="009B3464"/>
    <w:rsid w:val="009E1649"/>
    <w:rsid w:val="009F1B23"/>
    <w:rsid w:val="009F4400"/>
    <w:rsid w:val="00A0350E"/>
    <w:rsid w:val="00A041D5"/>
    <w:rsid w:val="00A22F56"/>
    <w:rsid w:val="00A426AF"/>
    <w:rsid w:val="00A63775"/>
    <w:rsid w:val="00A8264E"/>
    <w:rsid w:val="00B07F52"/>
    <w:rsid w:val="00B139BA"/>
    <w:rsid w:val="00B57EA1"/>
    <w:rsid w:val="00B733D5"/>
    <w:rsid w:val="00BC4F98"/>
    <w:rsid w:val="00BD2002"/>
    <w:rsid w:val="00BE6D70"/>
    <w:rsid w:val="00C256EC"/>
    <w:rsid w:val="00C30FAE"/>
    <w:rsid w:val="00C82B35"/>
    <w:rsid w:val="00CA63CA"/>
    <w:rsid w:val="00CB0629"/>
    <w:rsid w:val="00CC70C3"/>
    <w:rsid w:val="00CF39EA"/>
    <w:rsid w:val="00D46538"/>
    <w:rsid w:val="00D676E6"/>
    <w:rsid w:val="00D768AF"/>
    <w:rsid w:val="00DA3D93"/>
    <w:rsid w:val="00DB23B5"/>
    <w:rsid w:val="00DB5DEA"/>
    <w:rsid w:val="00DC62EE"/>
    <w:rsid w:val="00DD5155"/>
    <w:rsid w:val="00E27434"/>
    <w:rsid w:val="00E322D6"/>
    <w:rsid w:val="00E407A1"/>
    <w:rsid w:val="00E41772"/>
    <w:rsid w:val="00E470F7"/>
    <w:rsid w:val="00E547A2"/>
    <w:rsid w:val="00E57BC8"/>
    <w:rsid w:val="00E72A55"/>
    <w:rsid w:val="00E86637"/>
    <w:rsid w:val="00E95202"/>
    <w:rsid w:val="00E96D9B"/>
    <w:rsid w:val="00EB47FD"/>
    <w:rsid w:val="00EC1D32"/>
    <w:rsid w:val="00ED78B4"/>
    <w:rsid w:val="00EE09E0"/>
    <w:rsid w:val="00EE39DD"/>
    <w:rsid w:val="00F1458C"/>
    <w:rsid w:val="00F21E55"/>
    <w:rsid w:val="00F37128"/>
    <w:rsid w:val="00F50D5F"/>
    <w:rsid w:val="00F56C25"/>
    <w:rsid w:val="00F6085C"/>
    <w:rsid w:val="00F81C1A"/>
    <w:rsid w:val="00FA7F91"/>
    <w:rsid w:val="00FC1907"/>
    <w:rsid w:val="00FC7D12"/>
    <w:rsid w:val="00FD0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7">
      <v:textbox inset="5.85pt,.7pt,5.85pt,.7pt"/>
    </o:shapedefaults>
    <o:shapelayout v:ext="edit">
      <o:idmap v:ext="edit" data="1"/>
    </o:shapelayout>
  </w:shapeDefaults>
  <w:decimalSymbol w:val="."/>
  <w:listSeparator w:val=","/>
  <w14:docId w14:val="7CF40E49"/>
  <w15:docId w15:val="{858185CD-8692-4DDE-8041-1DDD6C72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E315-BCD4-4C88-8548-105F3747C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2135</Words>
  <Characters>12174</Characters>
  <Application>Microsoft Office Word</Application>
  <DocSecurity>0</DocSecurity>
  <Lines>101</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2018-08-24T02:48:00Z</cp:lastPrinted>
  <dcterms:created xsi:type="dcterms:W3CDTF">2018-08-31T12:22:00Z</dcterms:created>
  <dcterms:modified xsi:type="dcterms:W3CDTF">2018-08-31T12:22:00Z</dcterms:modified>
</cp:coreProperties>
</file>