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2C" w:rsidRPr="00B9412C" w:rsidRDefault="00B9412C" w:rsidP="00B9412C">
      <w:pPr>
        <w:pStyle w:val="Title"/>
        <w:rPr>
          <w:sz w:val="36"/>
          <w:lang w:val="en-US"/>
        </w:rPr>
      </w:pPr>
      <w:r>
        <w:rPr>
          <w:sz w:val="36"/>
          <w:lang w:val="en-US"/>
        </w:rPr>
        <w:t xml:space="preserve">IPPC </w:t>
      </w:r>
      <w:proofErr w:type="spellStart"/>
      <w:r>
        <w:rPr>
          <w:sz w:val="36"/>
          <w:lang w:val="en-US"/>
        </w:rPr>
        <w:t>ePhyto</w:t>
      </w:r>
      <w:proofErr w:type="spellEnd"/>
      <w:r>
        <w:rPr>
          <w:sz w:val="36"/>
          <w:lang w:val="en-US"/>
        </w:rPr>
        <w:t xml:space="preserve"> </w:t>
      </w:r>
      <w:r w:rsidRPr="00B9412C">
        <w:rPr>
          <w:sz w:val="36"/>
          <w:lang w:val="en-US"/>
        </w:rPr>
        <w:t>Strategic Implementation Plan</w:t>
      </w:r>
    </w:p>
    <w:p w:rsidR="00B9412C" w:rsidRDefault="00B9412C" w:rsidP="00B9412C">
      <w:pPr>
        <w:pStyle w:val="Title"/>
        <w:rPr>
          <w:sz w:val="36"/>
          <w:lang w:val="en-US"/>
        </w:rPr>
      </w:pPr>
      <w:r w:rsidRPr="00B9412C">
        <w:rPr>
          <w:sz w:val="36"/>
          <w:lang w:val="en-US"/>
        </w:rPr>
        <w:t>2019</w:t>
      </w:r>
      <w:r>
        <w:rPr>
          <w:sz w:val="36"/>
          <w:lang w:val="en-US"/>
        </w:rPr>
        <w:t xml:space="preserve"> </w:t>
      </w:r>
      <w:r w:rsidRPr="00B9412C">
        <w:rPr>
          <w:sz w:val="36"/>
          <w:lang w:val="en-US"/>
        </w:rPr>
        <w:t>-</w:t>
      </w:r>
      <w:r>
        <w:rPr>
          <w:sz w:val="36"/>
          <w:lang w:val="en-US"/>
        </w:rPr>
        <w:t xml:space="preserve"> </w:t>
      </w:r>
      <w:r w:rsidR="00D9373F">
        <w:rPr>
          <w:sz w:val="36"/>
          <w:lang w:val="en-US"/>
        </w:rPr>
        <w:t>202</w:t>
      </w:r>
      <w:r w:rsidRPr="00B9412C">
        <w:rPr>
          <w:sz w:val="36"/>
          <w:lang w:val="en-US"/>
        </w:rPr>
        <w:t>3</w:t>
      </w:r>
    </w:p>
    <w:p w:rsidR="003845DD" w:rsidRDefault="00D4763F" w:rsidP="00B9412C">
      <w:pPr>
        <w:pStyle w:val="Heading1"/>
      </w:pPr>
      <w:r>
        <w:rPr>
          <w:noProof/>
          <w:lang w:val="en-US"/>
        </w:rPr>
        <w:drawing>
          <wp:inline distT="0" distB="0" distL="0" distR="0" wp14:anchorId="7D0C6A6F" wp14:editId="605C24D3">
            <wp:extent cx="5486400" cy="2508069"/>
            <wp:effectExtent l="19050" t="38100" r="38100" b="2603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845DD" w:rsidRDefault="003845DD" w:rsidP="00B9412C">
      <w:pPr>
        <w:pStyle w:val="Heading1"/>
      </w:pPr>
    </w:p>
    <w:p w:rsidR="00732D81" w:rsidRDefault="00732D81" w:rsidP="003845DD">
      <w:pPr>
        <w:pStyle w:val="Heading2"/>
      </w:pPr>
    </w:p>
    <w:p w:rsidR="00B9412C" w:rsidRDefault="00732D81" w:rsidP="009A7BE5">
      <w:pPr>
        <w:pStyle w:val="IPPHeading1"/>
      </w:pPr>
      <w:r>
        <w:t>Introduction</w:t>
      </w:r>
    </w:p>
    <w:p w:rsidR="00732D81" w:rsidRPr="001500E0" w:rsidRDefault="00732D81" w:rsidP="00786A64">
      <w:pPr>
        <w:pStyle w:val="IPPParagraphnumbering"/>
        <w:numPr>
          <w:ilvl w:val="0"/>
          <w:numId w:val="11"/>
        </w:numPr>
      </w:pPr>
      <w:r>
        <w:t xml:space="preserve">The Commission on Phytosanitary Measures (CPM) </w:t>
      </w:r>
      <w:r w:rsidR="00B23B21">
        <w:t xml:space="preserve">has </w:t>
      </w:r>
      <w:r w:rsidRPr="00BF4C34">
        <w:t>develop</w:t>
      </w:r>
      <w:r w:rsidR="00B23B21">
        <w:t>ed</w:t>
      </w:r>
      <w:r w:rsidRPr="00BF4C34">
        <w:t xml:space="preserve"> and </w:t>
      </w:r>
      <w:r w:rsidR="00B23B21">
        <w:t>implemented</w:t>
      </w:r>
      <w:r w:rsidRPr="00BF4C34">
        <w:t xml:space="preserve"> a technology solution to advance the global use of electronic phytosanitary certificates</w:t>
      </w:r>
      <w:r w:rsidR="00B23B21">
        <w:t xml:space="preserve"> (</w:t>
      </w:r>
      <w:proofErr w:type="spellStart"/>
      <w:r w:rsidR="00B23B21">
        <w:t>ePhytos</w:t>
      </w:r>
      <w:proofErr w:type="spellEnd"/>
      <w:r w:rsidR="00B23B21">
        <w:t>)</w:t>
      </w:r>
      <w:r w:rsidRPr="00BF4C34">
        <w:t xml:space="preserve"> in international </w:t>
      </w:r>
      <w:r>
        <w:t xml:space="preserve">trade. The </w:t>
      </w:r>
      <w:r w:rsidRPr="001500E0">
        <w:t xml:space="preserve">Solution consists of three technology components: </w:t>
      </w:r>
    </w:p>
    <w:p w:rsidR="00732D81" w:rsidRPr="001500E0" w:rsidRDefault="00732D81" w:rsidP="00786A64">
      <w:pPr>
        <w:pStyle w:val="IPPBullet1"/>
        <w:numPr>
          <w:ilvl w:val="0"/>
          <w:numId w:val="12"/>
        </w:numPr>
      </w:pPr>
      <w:r w:rsidRPr="001500E0">
        <w:t>A hub to facilitate the exchange of electronic certificates between participating countries and</w:t>
      </w:r>
    </w:p>
    <w:p w:rsidR="00732D81" w:rsidRPr="001500E0" w:rsidRDefault="00732D81" w:rsidP="00786A64">
      <w:pPr>
        <w:pStyle w:val="IPPBullet1"/>
        <w:numPr>
          <w:ilvl w:val="0"/>
          <w:numId w:val="12"/>
        </w:numPr>
      </w:pPr>
      <w:r w:rsidRPr="001500E0">
        <w:t xml:space="preserve">A web-based </w:t>
      </w:r>
      <w:r>
        <w:t>G</w:t>
      </w:r>
      <w:r w:rsidRPr="001500E0">
        <w:t xml:space="preserve">eneric </w:t>
      </w:r>
      <w:proofErr w:type="spellStart"/>
      <w:r w:rsidRPr="001500E0">
        <w:t>ePhyto</w:t>
      </w:r>
      <w:proofErr w:type="spellEnd"/>
      <w:r w:rsidRPr="001500E0">
        <w:t xml:space="preserve"> </w:t>
      </w:r>
      <w:r>
        <w:t>N</w:t>
      </w:r>
      <w:r w:rsidRPr="001500E0">
        <w:t xml:space="preserve">ational </w:t>
      </w:r>
      <w:r>
        <w:t>S</w:t>
      </w:r>
      <w:r w:rsidRPr="001500E0">
        <w:t>ystem (</w:t>
      </w:r>
      <w:proofErr w:type="spellStart"/>
      <w:r w:rsidRPr="001500E0">
        <w:t>GeNS</w:t>
      </w:r>
      <w:proofErr w:type="spellEnd"/>
      <w:r w:rsidRPr="001500E0">
        <w:t xml:space="preserve">) to allow countries </w:t>
      </w:r>
      <w:r w:rsidR="00F25865">
        <w:t xml:space="preserve">to participate </w:t>
      </w:r>
      <w:r w:rsidRPr="001500E0">
        <w:t xml:space="preserve">without </w:t>
      </w:r>
      <w:r w:rsidR="00F25865">
        <w:t xml:space="preserve">having </w:t>
      </w:r>
      <w:r w:rsidRPr="001500E0">
        <w:t xml:space="preserve">the necessary infrastructure to create, send and receive electronic certificates. </w:t>
      </w:r>
    </w:p>
    <w:p w:rsidR="00732D81" w:rsidRPr="001500E0" w:rsidRDefault="00732D81" w:rsidP="00786A64">
      <w:pPr>
        <w:pStyle w:val="IPPBullet1"/>
        <w:numPr>
          <w:ilvl w:val="0"/>
          <w:numId w:val="12"/>
        </w:numPr>
      </w:pPr>
      <w:r w:rsidRPr="001500E0">
        <w:t>Harmonized message format</w:t>
      </w:r>
      <w:r>
        <w:t xml:space="preserve"> </w:t>
      </w:r>
      <w:r w:rsidR="00F25865">
        <w:t xml:space="preserve">and contents </w:t>
      </w:r>
      <w:r>
        <w:t>(i.e. message schema, accompanying codes, lists and terms to be used in the schema)</w:t>
      </w:r>
    </w:p>
    <w:p w:rsidR="00732D81" w:rsidRDefault="00732D81" w:rsidP="00786A64">
      <w:pPr>
        <w:pStyle w:val="IPPParagraphnumbering"/>
        <w:numPr>
          <w:ilvl w:val="0"/>
          <w:numId w:val="11"/>
        </w:numPr>
      </w:pPr>
      <w:r>
        <w:t xml:space="preserve">The ongoing operation of the Solution </w:t>
      </w:r>
      <w:r w:rsidR="005255A9">
        <w:t>is</w:t>
      </w:r>
      <w:r>
        <w:t xml:space="preserve"> the </w:t>
      </w:r>
      <w:r w:rsidR="00B23B21">
        <w:t xml:space="preserve">responsibility of </w:t>
      </w:r>
      <w:r>
        <w:t>IPPC Secretariat. The Secretariat which is housed within the Agriculture Division of the Food and Agriculture Organization</w:t>
      </w:r>
      <w:r w:rsidR="00B23B21">
        <w:t xml:space="preserve"> (FAO)</w:t>
      </w:r>
      <w:r>
        <w:t xml:space="preserve"> of the United Nations </w:t>
      </w:r>
      <w:r w:rsidR="00B23B21">
        <w:t>is not resourced</w:t>
      </w:r>
      <w:r>
        <w:t xml:space="preserve"> to support the operation of the Solution.</w:t>
      </w:r>
      <w:r w:rsidRPr="00732D81">
        <w:t xml:space="preserve"> </w:t>
      </w:r>
      <w:r>
        <w:t xml:space="preserve">As countries </w:t>
      </w:r>
      <w:r w:rsidR="00B23B21">
        <w:t xml:space="preserve">continue to adopt </w:t>
      </w:r>
      <w:proofErr w:type="spellStart"/>
      <w:r w:rsidR="00B23B21">
        <w:t>ePhytos</w:t>
      </w:r>
      <w:proofErr w:type="spellEnd"/>
      <w:r w:rsidR="00B23B21">
        <w:t xml:space="preserve"> as the basis of their trade, t</w:t>
      </w:r>
      <w:r>
        <w:t xml:space="preserve">he Solution </w:t>
      </w:r>
      <w:r w:rsidR="00B23B21">
        <w:t xml:space="preserve">must </w:t>
      </w:r>
      <w:r>
        <w:t xml:space="preserve">operate in a stable </w:t>
      </w:r>
      <w:r w:rsidR="00B23B21">
        <w:t xml:space="preserve">and sustainable </w:t>
      </w:r>
      <w:r>
        <w:t xml:space="preserve">manner. </w:t>
      </w:r>
      <w:r w:rsidR="005255A9">
        <w:t>T</w:t>
      </w:r>
      <w:r>
        <w:t xml:space="preserve">his strategic </w:t>
      </w:r>
      <w:r w:rsidR="00C31CDE">
        <w:t xml:space="preserve">implementation </w:t>
      </w:r>
      <w:r>
        <w:t>plan</w:t>
      </w:r>
      <w:r w:rsidR="00C31CDE">
        <w:t xml:space="preserve"> 2019-2023 (SIP)</w:t>
      </w:r>
      <w:r>
        <w:t xml:space="preserve"> has been developed</w:t>
      </w:r>
      <w:r w:rsidR="005255A9" w:rsidRPr="005255A9">
        <w:t xml:space="preserve"> </w:t>
      </w:r>
      <w:r w:rsidR="005255A9">
        <w:t xml:space="preserve">to transition from </w:t>
      </w:r>
      <w:r w:rsidR="002C4D94">
        <w:t xml:space="preserve">a </w:t>
      </w:r>
      <w:r w:rsidR="005255A9">
        <w:t>project</w:t>
      </w:r>
      <w:r w:rsidR="002C4D94">
        <w:t xml:space="preserve"> with defined funding</w:t>
      </w:r>
      <w:r w:rsidR="005255A9">
        <w:t xml:space="preserve"> to a program administered by the IPPC Secretariat</w:t>
      </w:r>
      <w:r>
        <w:t xml:space="preserve">. </w:t>
      </w:r>
      <w:r w:rsidR="00C31CDE">
        <w:t>The SIP</w:t>
      </w:r>
      <w:r>
        <w:t xml:space="preserve"> lays out the strategic objectives</w:t>
      </w:r>
      <w:r w:rsidR="00B23B21">
        <w:t xml:space="preserve"> and outcomes expected</w:t>
      </w:r>
      <w:r>
        <w:t xml:space="preserve"> in keeping with the IPPC Strategic Framework 2020 – 2030.  </w:t>
      </w:r>
    </w:p>
    <w:p w:rsidR="00FE6C92" w:rsidRPr="009A7BE5" w:rsidRDefault="00166CE8" w:rsidP="003845DD">
      <w:pPr>
        <w:pStyle w:val="Heading2"/>
        <w:rPr>
          <w:rFonts w:ascii="Times New Roman" w:eastAsia="Times" w:hAnsi="Times New Roman"/>
          <w:bCs w:val="0"/>
          <w:i w:val="0"/>
          <w:iCs w:val="0"/>
          <w:sz w:val="24"/>
          <w:szCs w:val="22"/>
        </w:rPr>
      </w:pPr>
      <w:r w:rsidRPr="009A7BE5">
        <w:rPr>
          <w:rFonts w:ascii="Times New Roman" w:eastAsia="Times" w:hAnsi="Times New Roman"/>
          <w:bCs w:val="0"/>
          <w:i w:val="0"/>
          <w:iCs w:val="0"/>
          <w:sz w:val="24"/>
          <w:szCs w:val="22"/>
        </w:rPr>
        <w:t>Strategic Objectives</w:t>
      </w:r>
    </w:p>
    <w:p w:rsidR="0078051E" w:rsidRDefault="0078051E" w:rsidP="00786A64">
      <w:pPr>
        <w:pStyle w:val="IPPParagraphnumbering"/>
        <w:numPr>
          <w:ilvl w:val="0"/>
          <w:numId w:val="11"/>
        </w:numPr>
      </w:pPr>
      <w:r>
        <w:t xml:space="preserve">The </w:t>
      </w:r>
      <w:r w:rsidR="00294D65">
        <w:t xml:space="preserve">IPPC </w:t>
      </w:r>
      <w:r>
        <w:t xml:space="preserve">Strategic Framework </w:t>
      </w:r>
      <w:r w:rsidR="00294D65">
        <w:t xml:space="preserve">2020 – 2030 </w:t>
      </w:r>
      <w:r>
        <w:t xml:space="preserve">includes as one of </w:t>
      </w:r>
      <w:r w:rsidR="005C224E">
        <w:t xml:space="preserve">its </w:t>
      </w:r>
      <w:r>
        <w:t xml:space="preserve">key </w:t>
      </w:r>
      <w:r w:rsidR="00DA099B">
        <w:t>components</w:t>
      </w:r>
      <w:r w:rsidR="00294D65">
        <w:t xml:space="preserve"> for its Development Agenda “</w:t>
      </w:r>
      <w:r w:rsidR="00DA099B">
        <w:t>the implementation of a global system for production and exchange of electronic certification information</w:t>
      </w:r>
      <w:r w:rsidR="00294D65">
        <w:t>”</w:t>
      </w:r>
      <w:r w:rsidR="00DA099B">
        <w:t xml:space="preserve">. It specifies </w:t>
      </w:r>
      <w:r>
        <w:t>5 key activities to be carried out:</w:t>
      </w:r>
    </w:p>
    <w:p w:rsidR="0078051E" w:rsidRDefault="0078051E" w:rsidP="009A7BE5">
      <w:pPr>
        <w:pStyle w:val="IPPBullet1"/>
      </w:pPr>
      <w:r w:rsidRPr="0078051E">
        <w:t xml:space="preserve">Successful establishment of the IPPC </w:t>
      </w:r>
      <w:proofErr w:type="spellStart"/>
      <w:r w:rsidRPr="0078051E">
        <w:t>ePhyto</w:t>
      </w:r>
      <w:proofErr w:type="spellEnd"/>
      <w:r w:rsidRPr="0078051E">
        <w:t xml:space="preserve"> hub as the international system for exchange of electronic phytos</w:t>
      </w:r>
      <w:r>
        <w:t>anitary certificate information</w:t>
      </w:r>
    </w:p>
    <w:p w:rsidR="00DA099B" w:rsidRDefault="0078051E" w:rsidP="009A7BE5">
      <w:pPr>
        <w:pStyle w:val="IPPBullet1"/>
      </w:pPr>
      <w:r w:rsidRPr="0078051E">
        <w:lastRenderedPageBreak/>
        <w:t xml:space="preserve">Successful establishment of the IPPC </w:t>
      </w:r>
      <w:proofErr w:type="spellStart"/>
      <w:r w:rsidRPr="0078051E">
        <w:t>ePhyto</w:t>
      </w:r>
      <w:proofErr w:type="spellEnd"/>
      <w:r w:rsidRPr="0078051E">
        <w:t xml:space="preserve"> </w:t>
      </w:r>
      <w:r>
        <w:t xml:space="preserve">Generic </w:t>
      </w:r>
      <w:proofErr w:type="spellStart"/>
      <w:r>
        <w:t>ePhyto</w:t>
      </w:r>
      <w:proofErr w:type="spellEnd"/>
      <w:r>
        <w:t xml:space="preserve"> National System for production, sending and receiving </w:t>
      </w:r>
      <w:r w:rsidRPr="0078051E">
        <w:t xml:space="preserve"> </w:t>
      </w:r>
      <w:r>
        <w:t xml:space="preserve">of </w:t>
      </w:r>
      <w:r w:rsidRPr="0078051E">
        <w:t>electronic phytos</w:t>
      </w:r>
      <w:r>
        <w:t>anitary certificate information</w:t>
      </w:r>
    </w:p>
    <w:p w:rsidR="00DA099B" w:rsidRPr="00DA099B" w:rsidRDefault="00DA099B" w:rsidP="009A7BE5">
      <w:pPr>
        <w:pStyle w:val="IPPBullet1"/>
      </w:pPr>
      <w:r>
        <w:t xml:space="preserve">The successful implementation of both the </w:t>
      </w:r>
      <w:proofErr w:type="spellStart"/>
      <w:r>
        <w:t>ePhyto</w:t>
      </w:r>
      <w:proofErr w:type="spellEnd"/>
      <w:r>
        <w:t xml:space="preserve"> hub and the Generic National System, where needed, in all member countries.</w:t>
      </w:r>
    </w:p>
    <w:p w:rsidR="00DA099B" w:rsidRPr="00DA099B" w:rsidRDefault="00DA099B" w:rsidP="009A7BE5">
      <w:pPr>
        <w:pStyle w:val="IPPBullet1"/>
      </w:pPr>
      <w:r>
        <w:t xml:space="preserve">Investigation of </w:t>
      </w:r>
      <w:r w:rsidR="005255A9">
        <w:t>associating</w:t>
      </w:r>
      <w:r>
        <w:t xml:space="preserve"> other databases </w:t>
      </w:r>
      <w:r w:rsidR="005255A9">
        <w:t xml:space="preserve">(such as regulatory import requirements) </w:t>
      </w:r>
      <w:r>
        <w:t xml:space="preserve">into the </w:t>
      </w:r>
      <w:proofErr w:type="spellStart"/>
      <w:r>
        <w:t>ePhyto</w:t>
      </w:r>
      <w:proofErr w:type="spellEnd"/>
      <w:r>
        <w:t xml:space="preserve"> hub.</w:t>
      </w:r>
    </w:p>
    <w:p w:rsidR="0078051E" w:rsidRDefault="00DA099B" w:rsidP="009A7BE5">
      <w:pPr>
        <w:pStyle w:val="IPPBullet1"/>
      </w:pPr>
      <w:r>
        <w:t>Establishment of pilot projects for new or improved electronic systems.</w:t>
      </w:r>
      <w:r w:rsidRPr="00DA099B">
        <w:t xml:space="preserve"> </w:t>
      </w:r>
      <w:r w:rsidR="0078051E" w:rsidRPr="00DA099B">
        <w:t xml:space="preserve">Uninterrupted operation of the hub and </w:t>
      </w:r>
      <w:proofErr w:type="spellStart"/>
      <w:r w:rsidR="0078051E" w:rsidRPr="00DA099B">
        <w:t>GeNS</w:t>
      </w:r>
      <w:proofErr w:type="spellEnd"/>
    </w:p>
    <w:p w:rsidR="000F7F73" w:rsidRPr="009A7BE5" w:rsidRDefault="00DA099B" w:rsidP="00786A64">
      <w:pPr>
        <w:pStyle w:val="IPPParagraphnumbering"/>
        <w:numPr>
          <w:ilvl w:val="0"/>
          <w:numId w:val="11"/>
        </w:numPr>
      </w:pPr>
      <w:r w:rsidRPr="009A7BE5">
        <w:t xml:space="preserve">The </w:t>
      </w:r>
      <w:proofErr w:type="spellStart"/>
      <w:r w:rsidR="003845DD" w:rsidRPr="009A7BE5">
        <w:t>ePhyto</w:t>
      </w:r>
      <w:proofErr w:type="spellEnd"/>
      <w:r w:rsidR="003845DD" w:rsidRPr="009A7BE5">
        <w:t xml:space="preserve"> Solution </w:t>
      </w:r>
      <w:r w:rsidRPr="009A7BE5">
        <w:t>project</w:t>
      </w:r>
      <w:r w:rsidR="003845DD" w:rsidRPr="009A7BE5">
        <w:t xml:space="preserve"> has </w:t>
      </w:r>
      <w:r w:rsidR="009F740C" w:rsidRPr="009A7BE5">
        <w:t xml:space="preserve">completed the development of </w:t>
      </w:r>
      <w:r w:rsidR="003845DD" w:rsidRPr="009A7BE5">
        <w:t xml:space="preserve">technology </w:t>
      </w:r>
      <w:r w:rsidRPr="009A7BE5">
        <w:t>systems</w:t>
      </w:r>
      <w:r w:rsidR="009F740C" w:rsidRPr="009A7BE5">
        <w:t xml:space="preserve"> for use by contracting parties</w:t>
      </w:r>
      <w:r w:rsidRPr="009A7BE5">
        <w:t xml:space="preserve">. </w:t>
      </w:r>
      <w:r w:rsidR="009F740C" w:rsidRPr="009A7BE5">
        <w:t>T</w:t>
      </w:r>
      <w:r w:rsidRPr="009A7BE5">
        <w:t>h</w:t>
      </w:r>
      <w:r w:rsidR="00C31CDE" w:rsidRPr="009A7BE5">
        <w:t>e</w:t>
      </w:r>
      <w:r w:rsidRPr="009A7BE5">
        <w:t xml:space="preserve"> </w:t>
      </w:r>
      <w:r w:rsidR="00C31CDE" w:rsidRPr="009A7BE5">
        <w:t>SIP</w:t>
      </w:r>
      <w:r w:rsidRPr="009A7BE5">
        <w:t xml:space="preserve"> </w:t>
      </w:r>
      <w:r w:rsidR="00294D65" w:rsidRPr="009A7BE5">
        <w:t>implement</w:t>
      </w:r>
      <w:r w:rsidR="00C31CDE" w:rsidRPr="009A7BE5">
        <w:t>s</w:t>
      </w:r>
      <w:r w:rsidR="00294D65" w:rsidRPr="009A7BE5">
        <w:t xml:space="preserve"> the activities </w:t>
      </w:r>
      <w:r w:rsidR="000F7F73" w:rsidRPr="009A7BE5">
        <w:t xml:space="preserve">outlined </w:t>
      </w:r>
      <w:r w:rsidR="00294D65" w:rsidRPr="009A7BE5">
        <w:t>in the IPPC Strategic Framework 2020 – 2030</w:t>
      </w:r>
      <w:r w:rsidR="000F7F73" w:rsidRPr="009A7BE5">
        <w:t xml:space="preserve"> with an initial focus on</w:t>
      </w:r>
      <w:r w:rsidR="00294D65" w:rsidRPr="009A7BE5">
        <w:t xml:space="preserve"> implementation of </w:t>
      </w:r>
      <w:r w:rsidRPr="009A7BE5">
        <w:t xml:space="preserve">the </w:t>
      </w:r>
      <w:r w:rsidR="00294D65" w:rsidRPr="009A7BE5">
        <w:t xml:space="preserve">systems by countries, </w:t>
      </w:r>
      <w:r w:rsidR="000F7F73" w:rsidRPr="009A7BE5">
        <w:t xml:space="preserve">securing </w:t>
      </w:r>
      <w:r w:rsidR="00294D65" w:rsidRPr="009A7BE5">
        <w:t xml:space="preserve">uninterrupted service </w:t>
      </w:r>
      <w:r w:rsidRPr="009A7BE5">
        <w:t xml:space="preserve">and </w:t>
      </w:r>
      <w:r w:rsidR="000F7F73" w:rsidRPr="009A7BE5">
        <w:t xml:space="preserve">establishing effective governance and financial management structures for </w:t>
      </w:r>
      <w:r w:rsidR="00294D65" w:rsidRPr="009A7BE5">
        <w:t>its</w:t>
      </w:r>
      <w:r w:rsidRPr="009A7BE5">
        <w:t xml:space="preserve"> long term operation. </w:t>
      </w:r>
    </w:p>
    <w:p w:rsidR="003418C2" w:rsidRDefault="00DA099B" w:rsidP="00786A64">
      <w:pPr>
        <w:pStyle w:val="IPPParagraphnumbering"/>
        <w:numPr>
          <w:ilvl w:val="0"/>
          <w:numId w:val="11"/>
        </w:numPr>
        <w:rPr>
          <w:lang w:val="en-AU"/>
        </w:rPr>
      </w:pPr>
      <w:r>
        <w:t xml:space="preserve">To achieve the </w:t>
      </w:r>
      <w:r w:rsidR="00294D65">
        <w:t>activities outlined in the IPPC Strategic F</w:t>
      </w:r>
      <w:r>
        <w:t xml:space="preserve">ramework </w:t>
      </w:r>
      <w:r w:rsidR="00294D65">
        <w:t xml:space="preserve">2020 – 2030, </w:t>
      </w:r>
      <w:r>
        <w:t xml:space="preserve">this plan proposes the following </w:t>
      </w:r>
      <w:r w:rsidR="00B23B21">
        <w:rPr>
          <w:lang w:val="en-AU"/>
        </w:rPr>
        <w:t>medium</w:t>
      </w:r>
      <w:r w:rsidR="003418C2">
        <w:rPr>
          <w:lang w:val="en-AU"/>
        </w:rPr>
        <w:t xml:space="preserve"> term agenda </w:t>
      </w:r>
      <w:r w:rsidR="003418C2">
        <w:t>for</w:t>
      </w:r>
      <w:r>
        <w:t xml:space="preserve"> the </w:t>
      </w:r>
      <w:r w:rsidR="000F7F73">
        <w:t xml:space="preserve">five year </w:t>
      </w:r>
      <w:r>
        <w:t>period</w:t>
      </w:r>
      <w:r w:rsidR="000F7F73">
        <w:t xml:space="preserve"> from</w:t>
      </w:r>
      <w:r>
        <w:t xml:space="preserve"> 2019 </w:t>
      </w:r>
      <w:r w:rsidR="000F7F73">
        <w:t xml:space="preserve">to </w:t>
      </w:r>
      <w:r>
        <w:t>2023</w:t>
      </w:r>
      <w:r w:rsidR="003418C2">
        <w:rPr>
          <w:lang w:val="en-AU"/>
        </w:rPr>
        <w:t>:</w:t>
      </w:r>
    </w:p>
    <w:p w:rsidR="003418C2" w:rsidRDefault="00B41648" w:rsidP="00786A64">
      <w:pPr>
        <w:pStyle w:val="IPPBullet1"/>
        <w:numPr>
          <w:ilvl w:val="0"/>
          <w:numId w:val="13"/>
        </w:numPr>
      </w:pPr>
      <w:r>
        <w:t>S</w:t>
      </w:r>
      <w:r w:rsidR="008044A9">
        <w:t xml:space="preserve">table operation </w:t>
      </w:r>
      <w:r w:rsidR="003418C2" w:rsidRPr="003418C2">
        <w:t xml:space="preserve">of </w:t>
      </w:r>
      <w:r w:rsidR="008044A9">
        <w:t xml:space="preserve">the </w:t>
      </w:r>
      <w:r w:rsidR="003418C2" w:rsidRPr="003418C2">
        <w:t xml:space="preserve">hub and </w:t>
      </w:r>
      <w:proofErr w:type="spellStart"/>
      <w:r w:rsidR="003418C2" w:rsidRPr="003418C2">
        <w:t>GeNS</w:t>
      </w:r>
      <w:proofErr w:type="spellEnd"/>
      <w:r w:rsidR="001C4F58">
        <w:t xml:space="preserve"> to permit implementation</w:t>
      </w:r>
      <w:r w:rsidR="003418C2" w:rsidRPr="003418C2">
        <w:t xml:space="preserve"> </w:t>
      </w:r>
      <w:r w:rsidR="003418C2">
        <w:t>by contracting parties</w:t>
      </w:r>
      <w:r w:rsidR="003418C2" w:rsidRPr="003418C2">
        <w:t>;</w:t>
      </w:r>
    </w:p>
    <w:p w:rsidR="003418C2" w:rsidRDefault="00B41648" w:rsidP="00786A64">
      <w:pPr>
        <w:pStyle w:val="IPPBullet1"/>
        <w:numPr>
          <w:ilvl w:val="0"/>
          <w:numId w:val="13"/>
        </w:numPr>
      </w:pPr>
      <w:r>
        <w:t>S</w:t>
      </w:r>
      <w:r w:rsidR="003418C2" w:rsidRPr="003418C2">
        <w:t xml:space="preserve">ustainable financial operation based upon a </w:t>
      </w:r>
      <w:r w:rsidR="000F7F73">
        <w:t xml:space="preserve">compelling and </w:t>
      </w:r>
      <w:r w:rsidR="003418C2" w:rsidRPr="003418C2">
        <w:t>coherent donor strategy;</w:t>
      </w:r>
    </w:p>
    <w:p w:rsidR="003418C2" w:rsidRDefault="003418C2" w:rsidP="00786A64">
      <w:pPr>
        <w:pStyle w:val="IPPBullet1"/>
        <w:numPr>
          <w:ilvl w:val="0"/>
          <w:numId w:val="13"/>
        </w:numPr>
      </w:pPr>
      <w:r w:rsidRPr="003418C2">
        <w:t>Monitoring and reporting on the performance of the solution;</w:t>
      </w:r>
    </w:p>
    <w:p w:rsidR="003418C2" w:rsidRDefault="00B41648" w:rsidP="00786A64">
      <w:pPr>
        <w:pStyle w:val="IPPBullet1"/>
        <w:numPr>
          <w:ilvl w:val="0"/>
          <w:numId w:val="13"/>
        </w:numPr>
      </w:pPr>
      <w:r>
        <w:t>F</w:t>
      </w:r>
      <w:r w:rsidR="003418C2" w:rsidRPr="003418C2">
        <w:t>ully-funded capacity development strategy</w:t>
      </w:r>
      <w:r w:rsidR="005255A9">
        <w:t xml:space="preserve"> separate and distinct from a sustained </w:t>
      </w:r>
      <w:proofErr w:type="spellStart"/>
      <w:r w:rsidR="005255A9">
        <w:t>ePhyto</w:t>
      </w:r>
      <w:proofErr w:type="spellEnd"/>
      <w:r w:rsidR="005255A9">
        <w:t xml:space="preserve"> operational fund;</w:t>
      </w:r>
    </w:p>
    <w:p w:rsidR="003418C2" w:rsidRDefault="003418C2" w:rsidP="00786A64">
      <w:pPr>
        <w:pStyle w:val="IPPBullet1"/>
        <w:numPr>
          <w:ilvl w:val="0"/>
          <w:numId w:val="13"/>
        </w:numPr>
      </w:pPr>
      <w:r w:rsidRPr="003418C2">
        <w:t>Monitoring and reporting on financial management;</w:t>
      </w:r>
    </w:p>
    <w:p w:rsidR="003418C2" w:rsidRDefault="00B41648" w:rsidP="00786A64">
      <w:pPr>
        <w:pStyle w:val="IPPBullet1"/>
        <w:numPr>
          <w:ilvl w:val="0"/>
          <w:numId w:val="13"/>
        </w:numPr>
      </w:pPr>
      <w:r>
        <w:t>C</w:t>
      </w:r>
      <w:r w:rsidR="003418C2" w:rsidRPr="003418C2">
        <w:t>ommunications and advocacy framework;</w:t>
      </w:r>
    </w:p>
    <w:p w:rsidR="003418C2" w:rsidRDefault="00B41648" w:rsidP="00786A64">
      <w:pPr>
        <w:pStyle w:val="IPPBullet1"/>
        <w:numPr>
          <w:ilvl w:val="0"/>
          <w:numId w:val="13"/>
        </w:numPr>
      </w:pPr>
      <w:r>
        <w:t>C</w:t>
      </w:r>
      <w:r w:rsidR="003418C2" w:rsidRPr="003418C2">
        <w:t xml:space="preserve">ost-benefit analysis; </w:t>
      </w:r>
    </w:p>
    <w:p w:rsidR="003418C2" w:rsidRDefault="00B41648" w:rsidP="00786A64">
      <w:pPr>
        <w:pStyle w:val="IPPBullet1"/>
        <w:numPr>
          <w:ilvl w:val="0"/>
          <w:numId w:val="13"/>
        </w:numPr>
      </w:pPr>
      <w:r>
        <w:t>L</w:t>
      </w:r>
      <w:r w:rsidR="003418C2" w:rsidRPr="003418C2">
        <w:t xml:space="preserve">ong term cost recovery plan </w:t>
      </w:r>
      <w:r w:rsidR="003418C2">
        <w:t>to maintain ongoing operation</w:t>
      </w:r>
      <w:r w:rsidR="00F25865">
        <w:t xml:space="preserve"> including change management</w:t>
      </w:r>
      <w:r w:rsidR="00D94E61">
        <w:t>,</w:t>
      </w:r>
      <w:r w:rsidR="00D94E61" w:rsidRPr="00D94E61">
        <w:t xml:space="preserve"> </w:t>
      </w:r>
      <w:r w:rsidR="00D94E61">
        <w:t>and</w:t>
      </w:r>
      <w:r>
        <w:t>;</w:t>
      </w:r>
    </w:p>
    <w:p w:rsidR="00B41648" w:rsidRPr="003418C2" w:rsidRDefault="00B41648" w:rsidP="00786A64">
      <w:pPr>
        <w:pStyle w:val="IPPBullet1"/>
        <w:numPr>
          <w:ilvl w:val="0"/>
          <w:numId w:val="13"/>
        </w:numPr>
      </w:pPr>
      <w:r>
        <w:t>Cooperation with international and regional partners to advance in</w:t>
      </w:r>
      <w:r w:rsidR="00F25865">
        <w:t>ter</w:t>
      </w:r>
      <w:r>
        <w:t xml:space="preserve">operability and cost reduction </w:t>
      </w:r>
    </w:p>
    <w:p w:rsidR="003441C5" w:rsidRDefault="003441C5" w:rsidP="00786A64">
      <w:pPr>
        <w:pStyle w:val="IPPParagraphnumbering"/>
        <w:numPr>
          <w:ilvl w:val="0"/>
          <w:numId w:val="11"/>
        </w:numPr>
      </w:pPr>
      <w:r w:rsidRPr="003441C5">
        <w:t>The c</w:t>
      </w:r>
      <w:r w:rsidR="003418C2">
        <w:t xml:space="preserve">ore elements </w:t>
      </w:r>
      <w:r w:rsidR="000F7F73">
        <w:t xml:space="preserve">of </w:t>
      </w:r>
      <w:r w:rsidR="003418C2">
        <w:t xml:space="preserve">this agenda </w:t>
      </w:r>
      <w:r w:rsidR="000F7F73">
        <w:t>are</w:t>
      </w:r>
      <w:r w:rsidRPr="003441C5">
        <w:t xml:space="preserve"> governance, operations, </w:t>
      </w:r>
      <w:r w:rsidR="003418C2" w:rsidRPr="003441C5">
        <w:t>finance</w:t>
      </w:r>
      <w:r w:rsidR="003418C2">
        <w:t>,</w:t>
      </w:r>
      <w:r w:rsidR="003418C2" w:rsidRPr="003441C5">
        <w:t xml:space="preserve"> </w:t>
      </w:r>
      <w:r w:rsidR="003418C2">
        <w:t xml:space="preserve">country </w:t>
      </w:r>
      <w:r w:rsidRPr="003441C5">
        <w:t xml:space="preserve">implementation, communication and </w:t>
      </w:r>
      <w:r w:rsidR="007104C5">
        <w:t>international cooperation</w:t>
      </w:r>
      <w:r w:rsidRPr="003441C5">
        <w:t xml:space="preserve">. </w:t>
      </w:r>
      <w:r w:rsidR="003845DD">
        <w:t xml:space="preserve">The key results expected by 2023 </w:t>
      </w:r>
      <w:r w:rsidR="007F7910">
        <w:t xml:space="preserve">and </w:t>
      </w:r>
      <w:r w:rsidR="001C4F58">
        <w:t xml:space="preserve">annual key </w:t>
      </w:r>
      <w:r w:rsidRPr="003441C5">
        <w:t xml:space="preserve">milestones </w:t>
      </w:r>
      <w:r w:rsidR="007F7910">
        <w:t xml:space="preserve">are </w:t>
      </w:r>
      <w:r w:rsidR="00BD1C90">
        <w:t>outlined</w:t>
      </w:r>
      <w:r w:rsidR="00BD1C90" w:rsidRPr="003441C5">
        <w:t xml:space="preserve"> </w:t>
      </w:r>
      <w:r w:rsidRPr="003441C5">
        <w:t>in Annex 1.</w:t>
      </w:r>
      <w:r w:rsidR="001C4F58">
        <w:t xml:space="preserve"> </w:t>
      </w:r>
    </w:p>
    <w:p w:rsidR="001C4F58" w:rsidRPr="003441C5" w:rsidRDefault="001C4F58" w:rsidP="00786A64">
      <w:pPr>
        <w:pStyle w:val="IPPParagraphnumbering"/>
        <w:numPr>
          <w:ilvl w:val="0"/>
          <w:numId w:val="11"/>
        </w:numPr>
      </w:pPr>
      <w:r>
        <w:t xml:space="preserve">The IPPC Secretariat as part of the </w:t>
      </w:r>
      <w:proofErr w:type="spellStart"/>
      <w:r>
        <w:t>ePhyto</w:t>
      </w:r>
      <w:proofErr w:type="spellEnd"/>
      <w:r>
        <w:t xml:space="preserve"> Solution project commissioned Trade Development and Facilitation (TDAF) Consulting to evaluate potential options for a business model for the operation </w:t>
      </w:r>
      <w:r w:rsidR="000D1014">
        <w:t>of</w:t>
      </w:r>
      <w:r>
        <w:t xml:space="preserve"> the </w:t>
      </w:r>
      <w:proofErr w:type="spellStart"/>
      <w:r>
        <w:t>ePhyto</w:t>
      </w:r>
      <w:proofErr w:type="spellEnd"/>
      <w:r>
        <w:t xml:space="preserve"> Solution. In June 2018, TDAF presented a report to the Secretariat. The </w:t>
      </w:r>
      <w:r w:rsidR="000D1014">
        <w:t xml:space="preserve">report was fully considered by the </w:t>
      </w:r>
      <w:r w:rsidR="007104C5">
        <w:t xml:space="preserve">IPPC </w:t>
      </w:r>
      <w:r w:rsidR="000D1014">
        <w:t xml:space="preserve">Secretariat and the </w:t>
      </w:r>
      <w:r w:rsidR="007104C5">
        <w:t xml:space="preserve">IPPC </w:t>
      </w:r>
      <w:proofErr w:type="spellStart"/>
      <w:r w:rsidR="000D1014">
        <w:t>ePhyto</w:t>
      </w:r>
      <w:proofErr w:type="spellEnd"/>
      <w:r w:rsidR="000D1014">
        <w:t xml:space="preserve"> Steering Group and has</w:t>
      </w:r>
      <w:r>
        <w:t xml:space="preserve"> been in</w:t>
      </w:r>
      <w:r w:rsidR="007104C5">
        <w:t xml:space="preserve">cluded in the development of </w:t>
      </w:r>
      <w:r w:rsidR="00C31CDE">
        <w:t>the SIP</w:t>
      </w:r>
      <w:r w:rsidR="000D1014">
        <w:t>. W</w:t>
      </w:r>
      <w:r>
        <w:t xml:space="preserve">here </w:t>
      </w:r>
      <w:r w:rsidR="000D1014">
        <w:t xml:space="preserve">appropriate, the </w:t>
      </w:r>
      <w:r>
        <w:t>references to the specific recommendations have been added to the text.</w:t>
      </w:r>
    </w:p>
    <w:p w:rsidR="003441C5" w:rsidRPr="009A7BE5" w:rsidRDefault="003441C5" w:rsidP="003845DD">
      <w:pPr>
        <w:pStyle w:val="Heading2"/>
        <w:rPr>
          <w:rFonts w:ascii="Times New Roman" w:eastAsia="Times" w:hAnsi="Times New Roman"/>
          <w:bCs w:val="0"/>
          <w:i w:val="0"/>
          <w:iCs w:val="0"/>
          <w:sz w:val="24"/>
          <w:szCs w:val="22"/>
        </w:rPr>
      </w:pPr>
      <w:r w:rsidRPr="009A7BE5">
        <w:rPr>
          <w:rFonts w:ascii="Times New Roman" w:eastAsia="Times" w:hAnsi="Times New Roman"/>
          <w:bCs w:val="0"/>
          <w:i w:val="0"/>
          <w:iCs w:val="0"/>
          <w:sz w:val="24"/>
          <w:szCs w:val="22"/>
        </w:rPr>
        <w:t>Governance</w:t>
      </w:r>
    </w:p>
    <w:p w:rsidR="00BD1C90" w:rsidRDefault="005C437E" w:rsidP="00786A64">
      <w:pPr>
        <w:pStyle w:val="IPPParagraphnumbering"/>
        <w:numPr>
          <w:ilvl w:val="0"/>
          <w:numId w:val="11"/>
        </w:numPr>
      </w:pPr>
      <w:r>
        <w:t>The IPPC Strategic Framework 2020 – 2030 proposes that the “</w:t>
      </w:r>
      <w:r w:rsidRPr="000B2FC9">
        <w:rPr>
          <w:i/>
        </w:rPr>
        <w:t>operation of an export system capable of providing official assurances through phytosanitary certification</w:t>
      </w:r>
      <w:r>
        <w:t xml:space="preserve">” falls within the core activities of implementation and capacity development (ICD). </w:t>
      </w:r>
      <w:r w:rsidR="00BD1C90">
        <w:t xml:space="preserve">However, the </w:t>
      </w:r>
      <w:r>
        <w:t>ICD unit of t</w:t>
      </w:r>
      <w:r w:rsidR="003441C5">
        <w:t xml:space="preserve">he IPPC Secretariat is not resourced to oversee the operation of the </w:t>
      </w:r>
      <w:proofErr w:type="spellStart"/>
      <w:r w:rsidR="003441C5">
        <w:t>ePhyto</w:t>
      </w:r>
      <w:proofErr w:type="spellEnd"/>
      <w:r w:rsidR="003441C5">
        <w:t xml:space="preserve"> Solution</w:t>
      </w:r>
      <w:r w:rsidR="005255A9">
        <w:t xml:space="preserve"> and as an alternative establishing an independent trade facilitation unit within the Secretariat should be considered</w:t>
      </w:r>
      <w:r w:rsidR="003441C5">
        <w:t>.</w:t>
      </w:r>
      <w:r w:rsidR="005255A9">
        <w:t xml:space="preserve"> Such a unit could address issues on </w:t>
      </w:r>
      <w:proofErr w:type="spellStart"/>
      <w:r w:rsidR="005255A9">
        <w:t>eCommerce</w:t>
      </w:r>
      <w:proofErr w:type="spellEnd"/>
      <w:r w:rsidR="005255A9">
        <w:t>, sea containers, and others relevant to the implementation of the Trade Facilitation Agreement in the context of trade in plants and plant products.</w:t>
      </w:r>
      <w:r w:rsidR="003441C5">
        <w:t xml:space="preserve"> </w:t>
      </w:r>
      <w:r w:rsidR="00BD1C90">
        <w:t>Countries have provided donor support to fund the staff associated with the project and this will need to continue until ongoing funding arrangements are in place.</w:t>
      </w:r>
    </w:p>
    <w:p w:rsidR="00BD1C90" w:rsidRDefault="003441C5" w:rsidP="00786A64">
      <w:pPr>
        <w:pStyle w:val="IPPParagraphnumbering"/>
        <w:numPr>
          <w:ilvl w:val="0"/>
          <w:numId w:val="11"/>
        </w:numPr>
      </w:pPr>
      <w:r>
        <w:t xml:space="preserve">Operation of the </w:t>
      </w:r>
      <w:r w:rsidR="003418C2">
        <w:t>technology</w:t>
      </w:r>
      <w:r>
        <w:t xml:space="preserve"> will be provided by the United Nations International Computing Centre (UNICC) under </w:t>
      </w:r>
      <w:r w:rsidR="000B2FC9">
        <w:t xml:space="preserve">service delivery </w:t>
      </w:r>
      <w:r>
        <w:t>agreements</w:t>
      </w:r>
      <w:r w:rsidR="000B2FC9">
        <w:t xml:space="preserve"> (SDAs)</w:t>
      </w:r>
      <w:r>
        <w:t xml:space="preserve"> with the IPPC (FAO). </w:t>
      </w:r>
      <w:r w:rsidR="000B2FC9">
        <w:t xml:space="preserve">The SDAs provide for the </w:t>
      </w:r>
      <w:r w:rsidR="000B2FC9">
        <w:lastRenderedPageBreak/>
        <w:t xml:space="preserve">operation of the systems and </w:t>
      </w:r>
      <w:r w:rsidR="007104C5">
        <w:t xml:space="preserve">a </w:t>
      </w:r>
      <w:r w:rsidR="000B2FC9">
        <w:t xml:space="preserve">technical help desk </w:t>
      </w:r>
      <w:r w:rsidR="007104C5">
        <w:t xml:space="preserve">to address </w:t>
      </w:r>
      <w:r w:rsidR="000B2FC9">
        <w:t>technology</w:t>
      </w:r>
      <w:r w:rsidR="007104C5">
        <w:t xml:space="preserve"> issues</w:t>
      </w:r>
      <w:r w:rsidR="000B2FC9">
        <w:t xml:space="preserve">. </w:t>
      </w:r>
      <w:r w:rsidR="00BD1C90">
        <w:t xml:space="preserve"> This will ensure that, as a minimum, continuous operation of the Solution is assured.</w:t>
      </w:r>
      <w:r w:rsidR="00BD1C90" w:rsidRPr="00BD1C90">
        <w:t xml:space="preserve"> </w:t>
      </w:r>
    </w:p>
    <w:p w:rsidR="005C437E" w:rsidRDefault="003441C5" w:rsidP="00786A64">
      <w:pPr>
        <w:pStyle w:val="IPPParagraphnumbering"/>
        <w:numPr>
          <w:ilvl w:val="0"/>
          <w:numId w:val="11"/>
        </w:numPr>
      </w:pPr>
      <w:r>
        <w:t xml:space="preserve">Other administrative services </w:t>
      </w:r>
      <w:r w:rsidR="000B2FC9">
        <w:t xml:space="preserve">related to operation of the Solution </w:t>
      </w:r>
      <w:r w:rsidR="00BD1C90">
        <w:t>would</w:t>
      </w:r>
      <w:r>
        <w:t xml:space="preserve"> be provided by the IPPC Secretariat</w:t>
      </w:r>
      <w:r w:rsidR="000D1014">
        <w:rPr>
          <w:rStyle w:val="FootnoteReference"/>
        </w:rPr>
        <w:footnoteReference w:id="1"/>
      </w:r>
      <w:r>
        <w:t xml:space="preserve">. </w:t>
      </w:r>
      <w:r w:rsidR="001C4F58">
        <w:t xml:space="preserve"> A</w:t>
      </w:r>
      <w:r w:rsidR="00B65F0F">
        <w:t xml:space="preserve"> </w:t>
      </w:r>
      <w:r w:rsidR="001C4F58">
        <w:t>small 1</w:t>
      </w:r>
      <w:r w:rsidR="005C437E" w:rsidRPr="005C437E">
        <w:t xml:space="preserve"> or 2 person team </w:t>
      </w:r>
      <w:r w:rsidR="00A408B7">
        <w:t xml:space="preserve">would be responsible for </w:t>
      </w:r>
      <w:r w:rsidR="005C437E">
        <w:t>carry</w:t>
      </w:r>
      <w:r w:rsidR="00A408B7">
        <w:t>ing</w:t>
      </w:r>
      <w:r w:rsidR="005C437E">
        <w:t xml:space="preserve"> out the </w:t>
      </w:r>
      <w:r w:rsidR="00A408B7">
        <w:t xml:space="preserve">following </w:t>
      </w:r>
      <w:r w:rsidR="005C437E">
        <w:t>activities</w:t>
      </w:r>
      <w:r w:rsidR="00A408B7">
        <w:t>:</w:t>
      </w:r>
      <w:r w:rsidR="005C437E">
        <w:t xml:space="preserve"> </w:t>
      </w:r>
    </w:p>
    <w:p w:rsidR="003441C5" w:rsidRDefault="003441C5" w:rsidP="009A7BE5">
      <w:pPr>
        <w:pStyle w:val="IPPBullet1"/>
      </w:pPr>
      <w:r>
        <w:t xml:space="preserve">business help desk support to national plant protection organizations, </w:t>
      </w:r>
    </w:p>
    <w:p w:rsidR="003441C5" w:rsidRDefault="003441C5" w:rsidP="009A7BE5">
      <w:pPr>
        <w:pStyle w:val="IPPBullet1"/>
      </w:pPr>
      <w:r>
        <w:t xml:space="preserve">supervision, evaluation, and administration of agreements with UNICC to deliver systems operation; </w:t>
      </w:r>
    </w:p>
    <w:p w:rsidR="000924EA" w:rsidRDefault="003441C5" w:rsidP="009A7BE5">
      <w:pPr>
        <w:pStyle w:val="IPPBullet1"/>
      </w:pPr>
      <w:r>
        <w:t>engagement with donors;</w:t>
      </w:r>
    </w:p>
    <w:p w:rsidR="000924EA" w:rsidRDefault="000924EA" w:rsidP="009A7BE5">
      <w:pPr>
        <w:pStyle w:val="IPPBullet1"/>
      </w:pPr>
      <w:r>
        <w:t>financial accountability to donors</w:t>
      </w:r>
      <w:r w:rsidR="005C437E">
        <w:t>;</w:t>
      </w:r>
    </w:p>
    <w:p w:rsidR="003441C5" w:rsidRDefault="003441C5" w:rsidP="009A7BE5">
      <w:pPr>
        <w:pStyle w:val="IPPBullet1"/>
      </w:pPr>
      <w:r>
        <w:t>reporting</w:t>
      </w:r>
      <w:r w:rsidR="000924EA">
        <w:t xml:space="preserve"> to CPM</w:t>
      </w:r>
      <w:r>
        <w:t>;</w:t>
      </w:r>
    </w:p>
    <w:p w:rsidR="003239E7" w:rsidRPr="00294D65" w:rsidRDefault="000924EA" w:rsidP="009A7BE5">
      <w:pPr>
        <w:pStyle w:val="IPPBullet1"/>
      </w:pPr>
      <w:r>
        <w:t>monitoring of advances in electronic certification; engagement and collaboration on</w:t>
      </w:r>
      <w:r w:rsidR="003441C5">
        <w:t xml:space="preserve"> interoperability </w:t>
      </w:r>
      <w:r>
        <w:t>of systems including industry advances</w:t>
      </w:r>
      <w:r w:rsidR="003441C5" w:rsidRPr="003441C5">
        <w:t xml:space="preserve"> </w:t>
      </w:r>
    </w:p>
    <w:p w:rsidR="000D1014" w:rsidRPr="000D1014" w:rsidRDefault="000D1014" w:rsidP="00786A64">
      <w:pPr>
        <w:pStyle w:val="IPPParagraphnumbering"/>
        <w:numPr>
          <w:ilvl w:val="0"/>
          <w:numId w:val="11"/>
        </w:numPr>
      </w:pPr>
      <w:r w:rsidRPr="000D1014">
        <w:t xml:space="preserve">The delivery of services by the IPPC Secretariat should be fully evaluated </w:t>
      </w:r>
      <w:r w:rsidR="00C31CDE">
        <w:t>well in advance of the completion of the SIP</w:t>
      </w:r>
      <w:r>
        <w:t xml:space="preserve"> to </w:t>
      </w:r>
      <w:r w:rsidR="00BD1C90">
        <w:t xml:space="preserve">determine </w:t>
      </w:r>
      <w:r>
        <w:t xml:space="preserve">if </w:t>
      </w:r>
      <w:r w:rsidR="00D94E61">
        <w:t xml:space="preserve">the staffing is </w:t>
      </w:r>
      <w:r w:rsidR="007104C5">
        <w:t xml:space="preserve">required, </w:t>
      </w:r>
      <w:r w:rsidR="00D94E61">
        <w:t xml:space="preserve">adequate or whether </w:t>
      </w:r>
      <w:r>
        <w:t>some services may be better managed outside of the Secretariat or by other organizations</w:t>
      </w:r>
      <w:r>
        <w:rPr>
          <w:rStyle w:val="FootnoteReference"/>
        </w:rPr>
        <w:footnoteReference w:id="2"/>
      </w:r>
      <w:r>
        <w:t xml:space="preserve">.  </w:t>
      </w:r>
    </w:p>
    <w:p w:rsidR="00294D65" w:rsidRDefault="00BD1C90" w:rsidP="00A408B7">
      <w:pPr>
        <w:pStyle w:val="Subtitle"/>
        <w:rPr>
          <w:lang w:val="en-US"/>
        </w:rPr>
      </w:pPr>
      <w:r>
        <w:rPr>
          <w:lang w:val="en-US"/>
        </w:rPr>
        <w:t>Key</w:t>
      </w:r>
      <w:r w:rsidR="006004C5">
        <w:rPr>
          <w:lang w:val="en-US"/>
        </w:rPr>
        <w:t xml:space="preserve"> results</w:t>
      </w:r>
      <w:r w:rsidR="00A408B7">
        <w:rPr>
          <w:lang w:val="en-US"/>
        </w:rPr>
        <w:t>:</w:t>
      </w:r>
    </w:p>
    <w:p w:rsidR="000B2FC9" w:rsidRDefault="000B2FC9" w:rsidP="00786A64">
      <w:pPr>
        <w:pStyle w:val="IPPBullet1"/>
        <w:numPr>
          <w:ilvl w:val="0"/>
          <w:numId w:val="14"/>
        </w:numPr>
      </w:pPr>
      <w:r>
        <w:t xml:space="preserve">CPM approval of the IPPC </w:t>
      </w:r>
      <w:proofErr w:type="spellStart"/>
      <w:r>
        <w:t>ePhyto</w:t>
      </w:r>
      <w:proofErr w:type="spellEnd"/>
      <w:r>
        <w:t xml:space="preserve"> Strategic Framework 2019-2023</w:t>
      </w:r>
      <w:r w:rsidR="00BD1C90">
        <w:t xml:space="preserve"> in 2019</w:t>
      </w:r>
      <w:r w:rsidR="007104C5">
        <w:t>;</w:t>
      </w:r>
    </w:p>
    <w:p w:rsidR="003441C5" w:rsidRDefault="002A40B3" w:rsidP="00786A64">
      <w:pPr>
        <w:pStyle w:val="IPPBullet1"/>
        <w:numPr>
          <w:ilvl w:val="0"/>
          <w:numId w:val="14"/>
        </w:numPr>
      </w:pPr>
      <w:r>
        <w:t xml:space="preserve">An </w:t>
      </w:r>
      <w:r w:rsidR="005255A9">
        <w:t xml:space="preserve">independent </w:t>
      </w:r>
      <w:r w:rsidR="00294D65">
        <w:t xml:space="preserve">IPPC </w:t>
      </w:r>
      <w:proofErr w:type="spellStart"/>
      <w:r w:rsidR="00294D65">
        <w:t>ePhyto</w:t>
      </w:r>
      <w:proofErr w:type="spellEnd"/>
      <w:r w:rsidR="00294D65">
        <w:t xml:space="preserve"> unit established</w:t>
      </w:r>
      <w:r w:rsidR="00A408B7">
        <w:t xml:space="preserve"> within </w:t>
      </w:r>
      <w:r w:rsidR="008044A9">
        <w:t>the IPPC Secretariat</w:t>
      </w:r>
      <w:r w:rsidR="005255A9">
        <w:t xml:space="preserve"> Trade Facilitation Unit</w:t>
      </w:r>
      <w:r w:rsidR="008044A9">
        <w:t xml:space="preserve"> </w:t>
      </w:r>
      <w:r w:rsidR="00C31CDE">
        <w:t>in 2019</w:t>
      </w:r>
      <w:r w:rsidR="007104C5">
        <w:t>;</w:t>
      </w:r>
    </w:p>
    <w:p w:rsidR="007104C5" w:rsidRDefault="007104C5" w:rsidP="00786A64">
      <w:pPr>
        <w:pStyle w:val="IPPBullet1"/>
        <w:numPr>
          <w:ilvl w:val="0"/>
          <w:numId w:val="14"/>
        </w:numPr>
      </w:pPr>
      <w:r>
        <w:t xml:space="preserve">Confirmation of the staffing requirements for the IPPC </w:t>
      </w:r>
      <w:proofErr w:type="spellStart"/>
      <w:r>
        <w:t>ePhyto</w:t>
      </w:r>
      <w:proofErr w:type="spellEnd"/>
      <w:r>
        <w:t xml:space="preserve"> unit presented to CPM</w:t>
      </w:r>
      <w:r w:rsidR="00C31CDE">
        <w:t xml:space="preserve"> by 2021</w:t>
      </w:r>
      <w:r>
        <w:t>;</w:t>
      </w:r>
    </w:p>
    <w:p w:rsidR="00A408B7" w:rsidRDefault="00A408B7" w:rsidP="00786A64">
      <w:pPr>
        <w:pStyle w:val="IPPBullet1"/>
        <w:numPr>
          <w:ilvl w:val="0"/>
          <w:numId w:val="14"/>
        </w:numPr>
      </w:pPr>
      <w:r>
        <w:t>Reports presented</w:t>
      </w:r>
      <w:r w:rsidRPr="00A408B7">
        <w:t xml:space="preserve"> </w:t>
      </w:r>
      <w:r>
        <w:t xml:space="preserve">to CPM annually on the performance of the system, the operation of the </w:t>
      </w:r>
      <w:proofErr w:type="spellStart"/>
      <w:r>
        <w:t>ePhyto</w:t>
      </w:r>
      <w:proofErr w:type="spellEnd"/>
      <w:r>
        <w:t xml:space="preserve"> unit and recommendations to advance interoperability of </w:t>
      </w:r>
      <w:proofErr w:type="spellStart"/>
      <w:r>
        <w:t>ePhyto</w:t>
      </w:r>
      <w:proofErr w:type="spellEnd"/>
      <w:r>
        <w:t xml:space="preserve"> with other international electronic certificat</w:t>
      </w:r>
      <w:r w:rsidR="00F25865">
        <w:t>e</w:t>
      </w:r>
      <w:r>
        <w:t xml:space="preserve"> </w:t>
      </w:r>
      <w:r w:rsidR="008044A9">
        <w:t xml:space="preserve">initiatives or industry systems </w:t>
      </w:r>
    </w:p>
    <w:p w:rsidR="003418C2" w:rsidRPr="004E732F" w:rsidRDefault="003418C2" w:rsidP="003845DD">
      <w:pPr>
        <w:pStyle w:val="Heading2"/>
        <w:rPr>
          <w:rFonts w:ascii="Times New Roman" w:eastAsia="Times" w:hAnsi="Times New Roman"/>
          <w:bCs w:val="0"/>
          <w:i w:val="0"/>
          <w:iCs w:val="0"/>
          <w:sz w:val="24"/>
          <w:szCs w:val="22"/>
        </w:rPr>
      </w:pPr>
      <w:r w:rsidRPr="004E732F">
        <w:rPr>
          <w:rFonts w:ascii="Times New Roman" w:eastAsia="Times" w:hAnsi="Times New Roman"/>
          <w:bCs w:val="0"/>
          <w:i w:val="0"/>
          <w:iCs w:val="0"/>
          <w:sz w:val="24"/>
          <w:szCs w:val="22"/>
        </w:rPr>
        <w:t>Operation</w:t>
      </w:r>
    </w:p>
    <w:p w:rsidR="002F2122" w:rsidRDefault="00C31CDE" w:rsidP="00786A64">
      <w:pPr>
        <w:pStyle w:val="IPPParagraphnumbering"/>
        <w:numPr>
          <w:ilvl w:val="0"/>
          <w:numId w:val="15"/>
        </w:numPr>
        <w:ind w:left="270"/>
      </w:pPr>
      <w:r>
        <w:t>Service Delivery Arrangements (</w:t>
      </w:r>
      <w:r w:rsidR="00B328B7">
        <w:t>SDAs</w:t>
      </w:r>
      <w:r>
        <w:t>)</w:t>
      </w:r>
      <w:r w:rsidR="00B328B7">
        <w:t xml:space="preserve"> with UNICC to provide the operating technology ha</w:t>
      </w:r>
      <w:r w:rsidR="005E412D">
        <w:t>ve</w:t>
      </w:r>
      <w:r w:rsidR="00B328B7">
        <w:t xml:space="preserve"> been established and remain in effect until terminated by either party.  </w:t>
      </w:r>
      <w:r w:rsidR="002F2122" w:rsidRPr="00B328B7">
        <w:rPr>
          <w:sz w:val="24"/>
        </w:rPr>
        <w:t>These</w:t>
      </w:r>
      <w:r w:rsidR="00B328B7" w:rsidRPr="00B328B7">
        <w:rPr>
          <w:sz w:val="24"/>
        </w:rPr>
        <w:t xml:space="preserve"> </w:t>
      </w:r>
      <w:r w:rsidR="00B328B7">
        <w:t>should</w:t>
      </w:r>
      <w:r w:rsidR="00B328B7" w:rsidRPr="00B328B7">
        <w:rPr>
          <w:sz w:val="24"/>
        </w:rPr>
        <w:t xml:space="preserve"> be reviewed by IPPC/FAO and </w:t>
      </w:r>
      <w:r w:rsidR="00B328B7" w:rsidRPr="005C224E">
        <w:t>UNICC</w:t>
      </w:r>
      <w:r w:rsidR="00B328B7" w:rsidRPr="00B328B7">
        <w:rPr>
          <w:sz w:val="24"/>
        </w:rPr>
        <w:t xml:space="preserve"> </w:t>
      </w:r>
      <w:r w:rsidR="00B328B7">
        <w:t xml:space="preserve">on a routine basis </w:t>
      </w:r>
      <w:r w:rsidR="005C224E">
        <w:t>(a minimum of every 24</w:t>
      </w:r>
      <w:r w:rsidR="002F2122">
        <w:t xml:space="preserve"> months) </w:t>
      </w:r>
      <w:r w:rsidR="00B328B7">
        <w:t xml:space="preserve">to ensure that the technology remains responsive to </w:t>
      </w:r>
      <w:r w:rsidR="002F2122">
        <w:t xml:space="preserve">the </w:t>
      </w:r>
      <w:r w:rsidR="00B328B7">
        <w:t xml:space="preserve">users and </w:t>
      </w:r>
      <w:r w:rsidR="002F2122">
        <w:t xml:space="preserve">where appropriate </w:t>
      </w:r>
      <w:r w:rsidR="005C224E">
        <w:t>incorporates</w:t>
      </w:r>
      <w:r w:rsidR="00B328B7">
        <w:t xml:space="preserve"> technology advances. </w:t>
      </w:r>
      <w:r w:rsidR="00216B18">
        <w:t xml:space="preserve">A detailed process of change management should be established </w:t>
      </w:r>
      <w:r w:rsidR="005C224E">
        <w:t xml:space="preserve">by </w:t>
      </w:r>
      <w:r w:rsidR="00216B18">
        <w:t>early 2019. The process</w:t>
      </w:r>
      <w:r w:rsidR="007104C5">
        <w:t>es</w:t>
      </w:r>
      <w:r w:rsidR="00216B18">
        <w:t xml:space="preserve"> should be sensitive to the differences in countries abilities to adopt changes. </w:t>
      </w:r>
      <w:r w:rsidR="002F2122" w:rsidRPr="00216B18">
        <w:t>A</w:t>
      </w:r>
      <w:r w:rsidR="00B328B7" w:rsidRPr="00216B18">
        <w:t xml:space="preserve">ny changes in the services should be reflected through the establishment of </w:t>
      </w:r>
      <w:r w:rsidR="00506D82" w:rsidRPr="00216B18">
        <w:t>business change requests</w:t>
      </w:r>
      <w:r w:rsidR="00F47D3B">
        <w:t>,</w:t>
      </w:r>
      <w:r w:rsidR="00506D82" w:rsidRPr="00216B18">
        <w:t xml:space="preserve"> </w:t>
      </w:r>
      <w:r w:rsidR="00216B18" w:rsidRPr="00216B18">
        <w:t xml:space="preserve">which should be clearly communicated to users </w:t>
      </w:r>
      <w:r w:rsidR="00F47D3B">
        <w:t xml:space="preserve">through established and maintained channels, </w:t>
      </w:r>
      <w:r w:rsidR="00216B18" w:rsidRPr="00216B18">
        <w:t xml:space="preserve">well in advance of enacting changes. Operational changes should be communicated </w:t>
      </w:r>
      <w:r w:rsidR="002F2122" w:rsidRPr="00216B18">
        <w:t xml:space="preserve">as part of </w:t>
      </w:r>
      <w:r w:rsidR="00B328B7" w:rsidRPr="00216B18">
        <w:t>annual reporting</w:t>
      </w:r>
      <w:r w:rsidR="002F2122" w:rsidRPr="00216B18">
        <w:t xml:space="preserve"> described in the section on governance</w:t>
      </w:r>
      <w:r w:rsidR="00B328B7">
        <w:t>.</w:t>
      </w:r>
      <w:r w:rsidR="00216B18">
        <w:t xml:space="preserve"> User surveys or the establishment of user groups to provide feedback on operation should be established to facilitate environmental scanning and continuous improvement. </w:t>
      </w:r>
    </w:p>
    <w:p w:rsidR="002F2122" w:rsidRDefault="002F2122" w:rsidP="00786A64">
      <w:pPr>
        <w:pStyle w:val="IPPParagraphnumbering"/>
        <w:numPr>
          <w:ilvl w:val="0"/>
          <w:numId w:val="15"/>
        </w:numPr>
        <w:ind w:left="270"/>
      </w:pPr>
      <w:r>
        <w:lastRenderedPageBreak/>
        <w:t xml:space="preserve">The adoption of </w:t>
      </w:r>
      <w:proofErr w:type="spellStart"/>
      <w:r w:rsidR="007F1113">
        <w:t>ePhytos</w:t>
      </w:r>
      <w:proofErr w:type="spellEnd"/>
      <w:r>
        <w:t xml:space="preserve"> by countries is expected to stead</w:t>
      </w:r>
      <w:r w:rsidR="00E01B9D">
        <w:t xml:space="preserve">ily increase </w:t>
      </w:r>
      <w:r w:rsidR="00F47D3B">
        <w:t xml:space="preserve">as access electronic exchange technology is </w:t>
      </w:r>
      <w:r w:rsidR="00E01B9D">
        <w:t xml:space="preserve">simplified and improved. Benefits to both traders and governments in increased efficiencies and effectiveness should result in steady adoption of electronic certificates. </w:t>
      </w:r>
      <w:r w:rsidR="00216B18">
        <w:t>To encourage steady adoption of the Solution, a</w:t>
      </w:r>
      <w:r w:rsidR="00E01B9D">
        <w:t xml:space="preserve"> program of advocacy </w:t>
      </w:r>
      <w:r w:rsidR="00216B18">
        <w:t xml:space="preserve">should also be established based on a thorough analysis and reporting on the impacts to </w:t>
      </w:r>
      <w:r w:rsidR="007F1113">
        <w:t>trade</w:t>
      </w:r>
      <w:r w:rsidR="00506D82">
        <w:t xml:space="preserve"> (see cost-benefit analysis described in finance below)</w:t>
      </w:r>
      <w:r w:rsidR="007F1113">
        <w:t xml:space="preserve">. </w:t>
      </w:r>
      <w:r w:rsidR="00885302">
        <w:t>The IPPC Secretariat</w:t>
      </w:r>
      <w:r w:rsidR="00C31CDE">
        <w:t xml:space="preserve"> must also anticipate higher than expected demand for use of both the </w:t>
      </w:r>
      <w:proofErr w:type="spellStart"/>
      <w:r w:rsidR="00C31CDE">
        <w:t>GeNS</w:t>
      </w:r>
      <w:proofErr w:type="spellEnd"/>
      <w:r w:rsidR="00C31CDE">
        <w:t xml:space="preserve"> and hub and must ensure that SDAs can accommodate service expectations. </w:t>
      </w:r>
      <w:r w:rsidR="00B51112">
        <w:t>A preliminary study of imp</w:t>
      </w:r>
      <w:r w:rsidR="00DD7136">
        <w:t xml:space="preserve">acts to trade </w:t>
      </w:r>
      <w:r w:rsidR="007104C5">
        <w:t>is being</w:t>
      </w:r>
      <w:r w:rsidR="00DD7136">
        <w:t xml:space="preserve"> </w:t>
      </w:r>
      <w:r w:rsidR="00B51112">
        <w:t>conducted</w:t>
      </w:r>
      <w:r w:rsidR="00DD7136">
        <w:t xml:space="preserve"> by the </w:t>
      </w:r>
      <w:proofErr w:type="spellStart"/>
      <w:r w:rsidR="00DD7136">
        <w:t>ePhyto</w:t>
      </w:r>
      <w:proofErr w:type="spellEnd"/>
      <w:r w:rsidR="00DD7136">
        <w:t xml:space="preserve"> Industry Advisory Group</w:t>
      </w:r>
      <w:r w:rsidR="007104C5">
        <w:t xml:space="preserve"> (IAG)</w:t>
      </w:r>
      <w:r w:rsidR="00DD7136">
        <w:t xml:space="preserve"> working with </w:t>
      </w:r>
      <w:r w:rsidR="00F47D3B">
        <w:t xml:space="preserve">the </w:t>
      </w:r>
      <w:r w:rsidR="00DD7136">
        <w:t xml:space="preserve">NPPOs </w:t>
      </w:r>
      <w:r w:rsidR="007104C5">
        <w:t>who have</w:t>
      </w:r>
      <w:r w:rsidR="00DD7136">
        <w:t xml:space="preserve"> adopted the hub. The </w:t>
      </w:r>
      <w:r w:rsidR="00B51112">
        <w:t xml:space="preserve">study design and </w:t>
      </w:r>
      <w:r w:rsidR="00DD7136">
        <w:t xml:space="preserve">results of this </w:t>
      </w:r>
      <w:r w:rsidR="00B51112">
        <w:t>effort should be reviewed and expanded to</w:t>
      </w:r>
      <w:r w:rsidR="00885302">
        <w:t xml:space="preserve"> </w:t>
      </w:r>
      <w:proofErr w:type="gramStart"/>
      <w:r w:rsidR="00885302">
        <w:t>include</w:t>
      </w:r>
      <w:proofErr w:type="gramEnd"/>
      <w:r w:rsidR="00885302">
        <w:t xml:space="preserve"> a specific monitoring of </w:t>
      </w:r>
      <w:r w:rsidR="00B51112">
        <w:t xml:space="preserve">the full impacts </w:t>
      </w:r>
      <w:r w:rsidR="00885302">
        <w:t xml:space="preserve">implementation </w:t>
      </w:r>
      <w:r w:rsidR="00B51112">
        <w:t>to governments and traders.</w:t>
      </w:r>
    </w:p>
    <w:p w:rsidR="006004C5" w:rsidRDefault="00F47D3B" w:rsidP="006004C5">
      <w:pPr>
        <w:pStyle w:val="Subtitle"/>
        <w:rPr>
          <w:lang w:val="en-US"/>
        </w:rPr>
      </w:pPr>
      <w:r>
        <w:rPr>
          <w:lang w:val="en-US"/>
        </w:rPr>
        <w:t>Key</w:t>
      </w:r>
      <w:r w:rsidR="006004C5">
        <w:rPr>
          <w:lang w:val="en-US"/>
        </w:rPr>
        <w:t xml:space="preserve"> results:</w:t>
      </w:r>
    </w:p>
    <w:p w:rsidR="000B2FC9" w:rsidRDefault="000B2FC9" w:rsidP="00786A64">
      <w:pPr>
        <w:pStyle w:val="IPPBullet1"/>
        <w:numPr>
          <w:ilvl w:val="0"/>
          <w:numId w:val="16"/>
        </w:numPr>
      </w:pPr>
      <w:r>
        <w:t>Service delivery agreements with UNICC reviewed</w:t>
      </w:r>
      <w:r w:rsidR="002F2122">
        <w:t xml:space="preserve"> and adjusted as required</w:t>
      </w:r>
      <w:r w:rsidR="008044A9">
        <w:t xml:space="preserve"> </w:t>
      </w:r>
      <w:r w:rsidR="00F47D3B">
        <w:t>at least every two years</w:t>
      </w:r>
    </w:p>
    <w:p w:rsidR="002F2122" w:rsidRDefault="00E01B9D" w:rsidP="00786A64">
      <w:pPr>
        <w:pStyle w:val="IPPBullet1"/>
        <w:numPr>
          <w:ilvl w:val="0"/>
          <w:numId w:val="16"/>
        </w:numPr>
      </w:pPr>
      <w:r>
        <w:t xml:space="preserve">Steady increase in the adoption of the hub and </w:t>
      </w:r>
      <w:proofErr w:type="spellStart"/>
      <w:r>
        <w:t>GeNS</w:t>
      </w:r>
      <w:proofErr w:type="spellEnd"/>
      <w:r w:rsidR="004C7A81">
        <w:t xml:space="preserve"> with at least 30 countries using the hub and 30 countries using the </w:t>
      </w:r>
      <w:proofErr w:type="spellStart"/>
      <w:r w:rsidR="004C7A81">
        <w:t>GeNS</w:t>
      </w:r>
      <w:proofErr w:type="spellEnd"/>
      <w:r w:rsidR="004C7A81" w:rsidRPr="004C7A81">
        <w:t xml:space="preserve"> </w:t>
      </w:r>
      <w:r w:rsidR="004C7A81">
        <w:t>by 2023</w:t>
      </w:r>
      <w:r>
        <w:t>.</w:t>
      </w:r>
    </w:p>
    <w:p w:rsidR="00F47D3B" w:rsidRDefault="00F47D3B" w:rsidP="00786A64">
      <w:pPr>
        <w:pStyle w:val="IPPBullet1"/>
        <w:numPr>
          <w:ilvl w:val="0"/>
          <w:numId w:val="16"/>
        </w:numPr>
      </w:pPr>
      <w:r>
        <w:t>Contingency arrangements in place to cope with greater than anticipated demand</w:t>
      </w:r>
      <w:r w:rsidR="00885302">
        <w:t xml:space="preserve"> by 2020</w:t>
      </w:r>
    </w:p>
    <w:p w:rsidR="003418C2" w:rsidRDefault="00DD7136" w:rsidP="00786A64">
      <w:pPr>
        <w:pStyle w:val="IPPBullet1"/>
        <w:numPr>
          <w:ilvl w:val="0"/>
          <w:numId w:val="16"/>
        </w:numPr>
      </w:pPr>
      <w:r>
        <w:t>NPPOs and t</w:t>
      </w:r>
      <w:r w:rsidR="00E01B9D">
        <w:t>raders of plants and plant products report improved efficiencies in trade moving between countries exchanging electronic certificates</w:t>
      </w:r>
      <w:r w:rsidR="00885302">
        <w:t xml:space="preserve"> by 2023</w:t>
      </w:r>
      <w:r>
        <w:t xml:space="preserve"> </w:t>
      </w:r>
    </w:p>
    <w:p w:rsidR="003441C5" w:rsidRPr="004E732F" w:rsidRDefault="00D7678A" w:rsidP="003845DD">
      <w:pPr>
        <w:pStyle w:val="Heading2"/>
        <w:rPr>
          <w:rFonts w:ascii="Times New Roman" w:eastAsia="Times" w:hAnsi="Times New Roman"/>
          <w:bCs w:val="0"/>
          <w:i w:val="0"/>
          <w:iCs w:val="0"/>
          <w:sz w:val="24"/>
          <w:szCs w:val="22"/>
        </w:rPr>
      </w:pPr>
      <w:r w:rsidRPr="004E732F">
        <w:rPr>
          <w:rFonts w:ascii="Times New Roman" w:eastAsia="Times" w:hAnsi="Times New Roman"/>
          <w:bCs w:val="0"/>
          <w:i w:val="0"/>
          <w:iCs w:val="0"/>
          <w:sz w:val="24"/>
          <w:szCs w:val="22"/>
        </w:rPr>
        <w:t>Finance</w:t>
      </w:r>
    </w:p>
    <w:p w:rsidR="00252E4C" w:rsidRDefault="004E732F" w:rsidP="00786A64">
      <w:pPr>
        <w:pStyle w:val="IPPParagraphnumbering"/>
        <w:numPr>
          <w:ilvl w:val="0"/>
          <w:numId w:val="17"/>
        </w:numPr>
        <w:ind w:left="270" w:hanging="270"/>
      </w:pPr>
      <w:r>
        <w:t xml:space="preserve"> </w:t>
      </w:r>
      <w:r w:rsidR="00D9373F">
        <w:t xml:space="preserve">The operation of the hub and </w:t>
      </w:r>
      <w:proofErr w:type="spellStart"/>
      <w:r w:rsidR="00D9373F">
        <w:t>GeNS</w:t>
      </w:r>
      <w:proofErr w:type="spellEnd"/>
      <w:r w:rsidR="00D9373F">
        <w:t xml:space="preserve"> is anticipated to cost approximately U.S. $</w:t>
      </w:r>
      <w:r w:rsidR="00730B2B">
        <w:t>706,</w:t>
      </w:r>
      <w:r w:rsidR="00D9373F">
        <w:t>000 annually</w:t>
      </w:r>
      <w:r w:rsidR="00D9373F">
        <w:rPr>
          <w:rStyle w:val="FootnoteReference"/>
        </w:rPr>
        <w:footnoteReference w:id="3"/>
      </w:r>
      <w:r w:rsidR="008B3038">
        <w:t xml:space="preserve"> as described below:</w:t>
      </w:r>
    </w:p>
    <w:tbl>
      <w:tblPr>
        <w:tblStyle w:val="TableGrid"/>
        <w:tblW w:w="0" w:type="auto"/>
        <w:jc w:val="center"/>
        <w:tblLook w:val="04A0" w:firstRow="1" w:lastRow="0" w:firstColumn="1" w:lastColumn="0" w:noHBand="0" w:noVBand="1"/>
      </w:tblPr>
      <w:tblGrid>
        <w:gridCol w:w="4248"/>
        <w:gridCol w:w="1890"/>
      </w:tblGrid>
      <w:tr w:rsidR="00D9373F" w:rsidTr="00730B2B">
        <w:trPr>
          <w:jc w:val="center"/>
        </w:trPr>
        <w:tc>
          <w:tcPr>
            <w:tcW w:w="4248" w:type="dxa"/>
          </w:tcPr>
          <w:p w:rsidR="00D9373F" w:rsidRPr="004E732F" w:rsidRDefault="00D9373F" w:rsidP="00506D82">
            <w:pPr>
              <w:spacing w:after="200"/>
              <w:contextualSpacing/>
              <w:jc w:val="center"/>
              <w:rPr>
                <w:rFonts w:ascii="Arial" w:hAnsi="Arial" w:cs="Arial"/>
                <w:i/>
                <w:sz w:val="18"/>
                <w:szCs w:val="18"/>
              </w:rPr>
            </w:pPr>
            <w:r w:rsidRPr="004E732F">
              <w:rPr>
                <w:rFonts w:ascii="Arial" w:hAnsi="Arial" w:cs="Arial"/>
                <w:i/>
                <w:sz w:val="18"/>
                <w:szCs w:val="18"/>
              </w:rPr>
              <w:t>Service</w:t>
            </w:r>
          </w:p>
        </w:tc>
        <w:tc>
          <w:tcPr>
            <w:tcW w:w="1890" w:type="dxa"/>
          </w:tcPr>
          <w:p w:rsidR="00D9373F" w:rsidRPr="004E732F" w:rsidRDefault="00D9373F" w:rsidP="00506D82">
            <w:pPr>
              <w:spacing w:after="200"/>
              <w:contextualSpacing/>
              <w:jc w:val="center"/>
              <w:rPr>
                <w:rFonts w:ascii="Arial" w:hAnsi="Arial" w:cs="Arial"/>
                <w:i/>
                <w:sz w:val="18"/>
                <w:szCs w:val="18"/>
              </w:rPr>
            </w:pPr>
            <w:r w:rsidRPr="004E732F">
              <w:rPr>
                <w:rFonts w:ascii="Arial" w:hAnsi="Arial" w:cs="Arial"/>
                <w:i/>
                <w:sz w:val="18"/>
                <w:szCs w:val="18"/>
              </w:rPr>
              <w:t>Cost (U.S. $)</w:t>
            </w:r>
          </w:p>
        </w:tc>
      </w:tr>
      <w:tr w:rsidR="00D9373F" w:rsidTr="00730B2B">
        <w:trPr>
          <w:jc w:val="center"/>
        </w:trPr>
        <w:tc>
          <w:tcPr>
            <w:tcW w:w="4248" w:type="dxa"/>
          </w:tcPr>
          <w:p w:rsidR="00D9373F" w:rsidRPr="004E732F" w:rsidRDefault="00D9373F" w:rsidP="00506D82">
            <w:pPr>
              <w:spacing w:after="200"/>
              <w:contextualSpacing/>
              <w:rPr>
                <w:rFonts w:ascii="Arial" w:hAnsi="Arial" w:cs="Arial"/>
                <w:sz w:val="18"/>
                <w:szCs w:val="18"/>
              </w:rPr>
            </w:pPr>
            <w:r w:rsidRPr="004E732F">
              <w:rPr>
                <w:rFonts w:ascii="Arial" w:hAnsi="Arial" w:cs="Arial"/>
                <w:sz w:val="18"/>
                <w:szCs w:val="18"/>
              </w:rPr>
              <w:t>Hub operating costs (UNICC)</w:t>
            </w:r>
          </w:p>
        </w:tc>
        <w:tc>
          <w:tcPr>
            <w:tcW w:w="1890" w:type="dxa"/>
          </w:tcPr>
          <w:p w:rsidR="00D9373F" w:rsidRPr="004E732F" w:rsidRDefault="00730B2B" w:rsidP="00506D82">
            <w:pPr>
              <w:spacing w:after="200"/>
              <w:contextualSpacing/>
              <w:rPr>
                <w:rFonts w:ascii="Arial" w:hAnsi="Arial" w:cs="Arial"/>
                <w:sz w:val="18"/>
                <w:szCs w:val="18"/>
              </w:rPr>
            </w:pPr>
            <w:r w:rsidRPr="004E732F">
              <w:rPr>
                <w:rFonts w:ascii="Arial" w:hAnsi="Arial" w:cs="Arial"/>
                <w:sz w:val="18"/>
                <w:szCs w:val="18"/>
              </w:rPr>
              <w:t>165,000</w:t>
            </w:r>
          </w:p>
        </w:tc>
      </w:tr>
      <w:tr w:rsidR="00D9373F" w:rsidTr="00730B2B">
        <w:trPr>
          <w:jc w:val="center"/>
        </w:trPr>
        <w:tc>
          <w:tcPr>
            <w:tcW w:w="4248" w:type="dxa"/>
          </w:tcPr>
          <w:p w:rsidR="00D9373F" w:rsidRPr="004E732F" w:rsidRDefault="00730B2B" w:rsidP="00506D82">
            <w:pPr>
              <w:spacing w:after="200"/>
              <w:contextualSpacing/>
              <w:rPr>
                <w:rFonts w:ascii="Arial" w:hAnsi="Arial" w:cs="Arial"/>
                <w:sz w:val="18"/>
                <w:szCs w:val="18"/>
              </w:rPr>
            </w:pPr>
            <w:proofErr w:type="spellStart"/>
            <w:r w:rsidRPr="004E732F">
              <w:rPr>
                <w:rFonts w:ascii="Arial" w:hAnsi="Arial" w:cs="Arial"/>
                <w:sz w:val="18"/>
                <w:szCs w:val="18"/>
              </w:rPr>
              <w:t>GeNS</w:t>
            </w:r>
            <w:proofErr w:type="spellEnd"/>
            <w:r w:rsidRPr="004E732F">
              <w:rPr>
                <w:rFonts w:ascii="Arial" w:hAnsi="Arial" w:cs="Arial"/>
                <w:sz w:val="18"/>
                <w:szCs w:val="18"/>
              </w:rPr>
              <w:t xml:space="preserve"> operating costs (UNICC)</w:t>
            </w:r>
          </w:p>
        </w:tc>
        <w:tc>
          <w:tcPr>
            <w:tcW w:w="1890" w:type="dxa"/>
          </w:tcPr>
          <w:p w:rsidR="00D9373F" w:rsidRPr="004E732F" w:rsidRDefault="00730B2B" w:rsidP="00506D82">
            <w:pPr>
              <w:spacing w:after="200"/>
              <w:contextualSpacing/>
              <w:rPr>
                <w:rFonts w:ascii="Arial" w:hAnsi="Arial" w:cs="Arial"/>
                <w:sz w:val="18"/>
                <w:szCs w:val="18"/>
              </w:rPr>
            </w:pPr>
            <w:r w:rsidRPr="004E732F">
              <w:rPr>
                <w:rFonts w:ascii="Arial" w:hAnsi="Arial" w:cs="Arial"/>
                <w:sz w:val="18"/>
                <w:szCs w:val="18"/>
              </w:rPr>
              <w:t>246,000</w:t>
            </w:r>
          </w:p>
        </w:tc>
      </w:tr>
      <w:tr w:rsidR="00D9373F" w:rsidTr="00730B2B">
        <w:trPr>
          <w:jc w:val="center"/>
        </w:trPr>
        <w:tc>
          <w:tcPr>
            <w:tcW w:w="4248" w:type="dxa"/>
          </w:tcPr>
          <w:p w:rsidR="00D9373F" w:rsidRPr="004E732F" w:rsidRDefault="00730B2B" w:rsidP="00885302">
            <w:pPr>
              <w:spacing w:after="200"/>
              <w:contextualSpacing/>
              <w:rPr>
                <w:rFonts w:ascii="Arial" w:hAnsi="Arial" w:cs="Arial"/>
                <w:sz w:val="18"/>
                <w:szCs w:val="18"/>
              </w:rPr>
            </w:pPr>
            <w:r w:rsidRPr="004E732F">
              <w:rPr>
                <w:rFonts w:ascii="Arial" w:hAnsi="Arial" w:cs="Arial"/>
                <w:sz w:val="18"/>
                <w:szCs w:val="18"/>
              </w:rPr>
              <w:t xml:space="preserve">IPPC </w:t>
            </w:r>
            <w:proofErr w:type="spellStart"/>
            <w:r w:rsidR="00885302" w:rsidRPr="004E732F">
              <w:rPr>
                <w:rFonts w:ascii="Arial" w:hAnsi="Arial" w:cs="Arial"/>
                <w:sz w:val="18"/>
                <w:szCs w:val="18"/>
              </w:rPr>
              <w:t>ePhyto</w:t>
            </w:r>
            <w:proofErr w:type="spellEnd"/>
            <w:r w:rsidR="00885302" w:rsidRPr="004E732F">
              <w:rPr>
                <w:rFonts w:ascii="Arial" w:hAnsi="Arial" w:cs="Arial"/>
                <w:sz w:val="18"/>
                <w:szCs w:val="18"/>
              </w:rPr>
              <w:t xml:space="preserve"> unit</w:t>
            </w:r>
            <w:r w:rsidR="00506D82" w:rsidRPr="004E732F">
              <w:rPr>
                <w:rFonts w:ascii="Arial" w:hAnsi="Arial" w:cs="Arial"/>
                <w:sz w:val="18"/>
                <w:szCs w:val="18"/>
              </w:rPr>
              <w:t xml:space="preserve"> (</w:t>
            </w:r>
            <w:r w:rsidR="00885302" w:rsidRPr="004E732F">
              <w:rPr>
                <w:rFonts w:ascii="Arial" w:hAnsi="Arial" w:cs="Arial"/>
                <w:sz w:val="18"/>
                <w:szCs w:val="18"/>
              </w:rPr>
              <w:t>estimated</w:t>
            </w:r>
            <w:r w:rsidR="00506D82" w:rsidRPr="004E732F">
              <w:rPr>
                <w:rFonts w:ascii="Arial" w:hAnsi="Arial" w:cs="Arial"/>
                <w:sz w:val="18"/>
                <w:szCs w:val="18"/>
              </w:rPr>
              <w:t>)</w:t>
            </w:r>
          </w:p>
        </w:tc>
        <w:tc>
          <w:tcPr>
            <w:tcW w:w="1890" w:type="dxa"/>
          </w:tcPr>
          <w:p w:rsidR="00D9373F" w:rsidRPr="004E732F" w:rsidRDefault="00730B2B" w:rsidP="00506D82">
            <w:pPr>
              <w:spacing w:after="200"/>
              <w:contextualSpacing/>
              <w:rPr>
                <w:rFonts w:ascii="Arial" w:hAnsi="Arial" w:cs="Arial"/>
                <w:sz w:val="18"/>
                <w:szCs w:val="18"/>
              </w:rPr>
            </w:pPr>
            <w:r w:rsidRPr="004E732F">
              <w:rPr>
                <w:rFonts w:ascii="Arial" w:hAnsi="Arial" w:cs="Arial"/>
                <w:sz w:val="18"/>
                <w:szCs w:val="18"/>
              </w:rPr>
              <w:t>295,000</w:t>
            </w:r>
          </w:p>
        </w:tc>
      </w:tr>
      <w:tr w:rsidR="00730B2B" w:rsidTr="00730B2B">
        <w:trPr>
          <w:jc w:val="center"/>
        </w:trPr>
        <w:tc>
          <w:tcPr>
            <w:tcW w:w="4248" w:type="dxa"/>
          </w:tcPr>
          <w:p w:rsidR="00730B2B" w:rsidRPr="004E732F" w:rsidRDefault="00730B2B" w:rsidP="00506D82">
            <w:pPr>
              <w:spacing w:after="200"/>
              <w:contextualSpacing/>
              <w:jc w:val="right"/>
              <w:rPr>
                <w:rFonts w:ascii="Arial" w:hAnsi="Arial" w:cs="Arial"/>
                <w:sz w:val="18"/>
                <w:szCs w:val="18"/>
              </w:rPr>
            </w:pPr>
            <w:r w:rsidRPr="004E732F">
              <w:rPr>
                <w:rFonts w:ascii="Arial" w:hAnsi="Arial" w:cs="Arial"/>
                <w:sz w:val="18"/>
                <w:szCs w:val="18"/>
              </w:rPr>
              <w:t>Total operating costs</w:t>
            </w:r>
          </w:p>
        </w:tc>
        <w:tc>
          <w:tcPr>
            <w:tcW w:w="1890" w:type="dxa"/>
          </w:tcPr>
          <w:p w:rsidR="00730B2B" w:rsidRPr="004E732F" w:rsidRDefault="00730B2B" w:rsidP="00506D82">
            <w:pPr>
              <w:spacing w:after="200"/>
              <w:contextualSpacing/>
              <w:rPr>
                <w:rFonts w:ascii="Arial" w:hAnsi="Arial" w:cs="Arial"/>
                <w:sz w:val="18"/>
                <w:szCs w:val="18"/>
              </w:rPr>
            </w:pPr>
            <w:r w:rsidRPr="004E732F">
              <w:rPr>
                <w:rFonts w:ascii="Arial" w:hAnsi="Arial" w:cs="Arial"/>
                <w:sz w:val="18"/>
                <w:szCs w:val="18"/>
              </w:rPr>
              <w:fldChar w:fldCharType="begin"/>
            </w:r>
            <w:r w:rsidRPr="004E732F">
              <w:rPr>
                <w:rFonts w:ascii="Arial" w:hAnsi="Arial" w:cs="Arial"/>
                <w:sz w:val="18"/>
                <w:szCs w:val="18"/>
              </w:rPr>
              <w:instrText xml:space="preserve"> =SUM(ABOVE) \# "0" </w:instrText>
            </w:r>
            <w:r w:rsidRPr="004E732F">
              <w:rPr>
                <w:rFonts w:ascii="Arial" w:hAnsi="Arial" w:cs="Arial"/>
                <w:sz w:val="18"/>
                <w:szCs w:val="18"/>
              </w:rPr>
              <w:fldChar w:fldCharType="separate"/>
            </w:r>
            <w:r w:rsidRPr="004E732F">
              <w:rPr>
                <w:rFonts w:ascii="Arial" w:hAnsi="Arial" w:cs="Arial"/>
                <w:noProof/>
                <w:sz w:val="18"/>
                <w:szCs w:val="18"/>
              </w:rPr>
              <w:t>706,000</w:t>
            </w:r>
            <w:r w:rsidRPr="004E732F">
              <w:rPr>
                <w:rFonts w:ascii="Arial" w:hAnsi="Arial" w:cs="Arial"/>
                <w:sz w:val="18"/>
                <w:szCs w:val="18"/>
              </w:rPr>
              <w:fldChar w:fldCharType="end"/>
            </w:r>
          </w:p>
        </w:tc>
      </w:tr>
    </w:tbl>
    <w:p w:rsidR="00506D82" w:rsidRDefault="00506D82" w:rsidP="00D9373F"/>
    <w:p w:rsidR="008B3038" w:rsidRDefault="00730B2B" w:rsidP="00786A64">
      <w:pPr>
        <w:pStyle w:val="IPPParagraphnumbering"/>
        <w:numPr>
          <w:ilvl w:val="0"/>
          <w:numId w:val="17"/>
        </w:numPr>
        <w:ind w:left="270"/>
      </w:pPr>
      <w:r>
        <w:t xml:space="preserve">The operating costs do not include any specific operational enhancements to the technology. Therefore additional costs could be incurred to improve the operation of the hub and/or </w:t>
      </w:r>
      <w:proofErr w:type="spellStart"/>
      <w:r>
        <w:t>GeNS</w:t>
      </w:r>
      <w:proofErr w:type="spellEnd"/>
      <w:r w:rsidR="002E5ADB">
        <w:t>, although some potential costs are included within the existing SDAs</w:t>
      </w:r>
      <w:r>
        <w:t xml:space="preserve">. </w:t>
      </w:r>
      <w:r w:rsidR="000314D7">
        <w:t xml:space="preserve">A more detailed analysis of the operating costs </w:t>
      </w:r>
      <w:r w:rsidR="00F47D3B">
        <w:t xml:space="preserve">will </w:t>
      </w:r>
      <w:r w:rsidR="000314D7">
        <w:t>be completed early in the operation of the plan includ</w:t>
      </w:r>
      <w:r w:rsidR="007104C5">
        <w:t xml:space="preserve">ing a consideration of </w:t>
      </w:r>
      <w:r w:rsidR="00D35F4C">
        <w:t xml:space="preserve">the </w:t>
      </w:r>
      <w:r w:rsidR="000314D7">
        <w:t>IPPC Secretariat costs</w:t>
      </w:r>
      <w:r w:rsidR="000314D7">
        <w:rPr>
          <w:rStyle w:val="FootnoteReference"/>
        </w:rPr>
        <w:footnoteReference w:id="4"/>
      </w:r>
      <w:r w:rsidR="000314D7">
        <w:t xml:space="preserve">. </w:t>
      </w:r>
    </w:p>
    <w:p w:rsidR="00D9373F" w:rsidRDefault="000314D7" w:rsidP="00786A64">
      <w:pPr>
        <w:pStyle w:val="IPPParagraphnumbering"/>
        <w:numPr>
          <w:ilvl w:val="0"/>
          <w:numId w:val="17"/>
        </w:numPr>
        <w:ind w:left="270"/>
      </w:pPr>
      <w:r>
        <w:t xml:space="preserve">Following consideration of a number of models proposed by </w:t>
      </w:r>
      <w:r w:rsidR="00E2142F">
        <w:t>TDAF</w:t>
      </w:r>
      <w:r>
        <w:t>, a</w:t>
      </w:r>
      <w:r w:rsidR="000858C3">
        <w:t xml:space="preserve"> donor funding model</w:t>
      </w:r>
      <w:r>
        <w:t xml:space="preserve"> was considered the most feasible and</w:t>
      </w:r>
      <w:r w:rsidR="000858C3">
        <w:t xml:space="preserve"> should be established to fund the operation of the system in the short term (</w:t>
      </w:r>
      <w:r w:rsidR="00D35F4C">
        <w:t>2019-2023</w:t>
      </w:r>
      <w:r w:rsidR="000858C3">
        <w:t xml:space="preserve">) until </w:t>
      </w:r>
      <w:r w:rsidR="00E2142F">
        <w:t xml:space="preserve">a full </w:t>
      </w:r>
      <w:r w:rsidR="000858C3">
        <w:t>cost-recovery model</w:t>
      </w:r>
      <w:r w:rsidR="00E2142F">
        <w:t>,</w:t>
      </w:r>
      <w:r w:rsidR="000858C3">
        <w:t xml:space="preserve"> </w:t>
      </w:r>
      <w:r w:rsidR="00D35F4C">
        <w:t>based on a th</w:t>
      </w:r>
      <w:r w:rsidR="00E2142F">
        <w:t>o</w:t>
      </w:r>
      <w:r w:rsidR="00D35F4C">
        <w:t>rough cost-benefit analysis</w:t>
      </w:r>
      <w:r w:rsidR="00E2142F">
        <w:t>,</w:t>
      </w:r>
      <w:r w:rsidR="00D35F4C">
        <w:t xml:space="preserve"> </w:t>
      </w:r>
      <w:r w:rsidR="000858C3">
        <w:t xml:space="preserve">can be </w:t>
      </w:r>
      <w:r w:rsidR="00D35F4C">
        <w:t>completed</w:t>
      </w:r>
      <w:r>
        <w:rPr>
          <w:rStyle w:val="FootnoteReference"/>
        </w:rPr>
        <w:footnoteReference w:id="5"/>
      </w:r>
      <w:r w:rsidR="000858C3">
        <w:t xml:space="preserve">. </w:t>
      </w:r>
      <w:r>
        <w:t>A</w:t>
      </w:r>
      <w:r w:rsidR="003239E7">
        <w:t xml:space="preserve">dditional funding strategies should be </w:t>
      </w:r>
      <w:r>
        <w:t xml:space="preserve">further </w:t>
      </w:r>
      <w:r w:rsidR="003239E7">
        <w:t xml:space="preserve">examined during the </w:t>
      </w:r>
      <w:r w:rsidR="00E2142F">
        <w:t xml:space="preserve">first three years of this strategy so that </w:t>
      </w:r>
      <w:r w:rsidR="00885302">
        <w:t>a</w:t>
      </w:r>
      <w:r w:rsidR="003239E7">
        <w:t xml:space="preserve"> long term operating model that may include a spectrum of cost recovery options</w:t>
      </w:r>
      <w:r>
        <w:rPr>
          <w:rStyle w:val="FootnoteReference"/>
        </w:rPr>
        <w:footnoteReference w:id="6"/>
      </w:r>
      <w:r w:rsidR="00E2142F">
        <w:t xml:space="preserve"> can be implemented prior to 2023</w:t>
      </w:r>
      <w:r w:rsidR="003239E7">
        <w:t>.</w:t>
      </w:r>
    </w:p>
    <w:p w:rsidR="008F3A12" w:rsidRDefault="008F3A12" w:rsidP="00786A64">
      <w:pPr>
        <w:pStyle w:val="IPPParagraphnumbering"/>
        <w:numPr>
          <w:ilvl w:val="0"/>
          <w:numId w:val="17"/>
        </w:numPr>
        <w:ind w:left="270"/>
      </w:pPr>
      <w:r>
        <w:lastRenderedPageBreak/>
        <w:t xml:space="preserve">The estimates for operating the </w:t>
      </w:r>
      <w:r w:rsidR="00506D82">
        <w:t>Solution</w:t>
      </w:r>
      <w:r w:rsidR="00D35F4C">
        <w:t xml:space="preserve"> presented above</w:t>
      </w:r>
      <w:r>
        <w:t xml:space="preserve"> do not account for additional overhead costs to the IPPC Secretariat in maintaining the various </w:t>
      </w:r>
      <w:r w:rsidR="00506D82">
        <w:t xml:space="preserve">standards and technical information </w:t>
      </w:r>
      <w:r>
        <w:t>associated with the system</w:t>
      </w:r>
      <w:r w:rsidR="00252E4C">
        <w:t>s</w:t>
      </w:r>
      <w:r>
        <w:t>. For example</w:t>
      </w:r>
      <w:r w:rsidR="00506D82">
        <w:t>,</w:t>
      </w:r>
      <w:r>
        <w:t xml:space="preserve"> the messaging structure may continue to require support from member countries to maintain or improve the standard or to keep it compliant with adjustments arising from interoperability. </w:t>
      </w:r>
      <w:r w:rsidR="00506D82">
        <w:t xml:space="preserve">Additionally, technical documents regarding operating the systems may continue to require improvements. </w:t>
      </w:r>
      <w:r>
        <w:t xml:space="preserve">The costs of holding meetings; support to developing countries to attend meetings; and other activities may add to the overall costs of operating the </w:t>
      </w:r>
      <w:r w:rsidR="00252E4C">
        <w:t>S</w:t>
      </w:r>
      <w:r>
        <w:t xml:space="preserve">olution. </w:t>
      </w:r>
      <w:r w:rsidR="00E2142F">
        <w:t>T</w:t>
      </w:r>
      <w:r w:rsidR="00D35F4C">
        <w:t xml:space="preserve">hese activities </w:t>
      </w:r>
      <w:r w:rsidR="00E2142F">
        <w:t>are</w:t>
      </w:r>
      <w:r w:rsidR="00D35F4C">
        <w:t xml:space="preserve"> considered </w:t>
      </w:r>
      <w:r w:rsidR="00E2142F">
        <w:t xml:space="preserve">to be </w:t>
      </w:r>
      <w:r w:rsidR="00D35F4C">
        <w:t xml:space="preserve">within the context of the normal operating activities of the Secretariat’s standard setting and implementation work, </w:t>
      </w:r>
      <w:r w:rsidR="00E2142F">
        <w:t xml:space="preserve">but </w:t>
      </w:r>
      <w:r w:rsidR="00D35F4C">
        <w:t>the</w:t>
      </w:r>
      <w:r w:rsidR="00E2142F">
        <w:t>se ongoing</w:t>
      </w:r>
      <w:r w:rsidR="00D35F4C">
        <w:t xml:space="preserve"> costs should be identified.</w:t>
      </w:r>
    </w:p>
    <w:p w:rsidR="00D35F4C" w:rsidRPr="004E732F" w:rsidRDefault="00E2142F" w:rsidP="00786A64">
      <w:pPr>
        <w:pStyle w:val="IPPParagraphnumbering"/>
        <w:numPr>
          <w:ilvl w:val="0"/>
          <w:numId w:val="17"/>
        </w:numPr>
        <w:ind w:left="270"/>
      </w:pPr>
      <w:r w:rsidRPr="004E732F">
        <w:t>The</w:t>
      </w:r>
      <w:r w:rsidR="00D35F4C" w:rsidRPr="004E732F">
        <w:t xml:space="preserve"> IPPC Secretariat </w:t>
      </w:r>
      <w:r w:rsidRPr="004E732F">
        <w:t>will commission</w:t>
      </w:r>
      <w:r w:rsidR="00D35F4C" w:rsidRPr="004E732F">
        <w:t xml:space="preserve"> a thorough cost-benefit analysis to clearly identify economic improvements in government and industry operations as well as improvements to national and international biosecurity. </w:t>
      </w:r>
      <w:r w:rsidRPr="004E732F">
        <w:t>The analysis will provide</w:t>
      </w:r>
      <w:r w:rsidR="00D35F4C" w:rsidRPr="004E732F">
        <w:t xml:space="preserve"> support </w:t>
      </w:r>
      <w:r w:rsidRPr="004E732F">
        <w:t xml:space="preserve">to the development of </w:t>
      </w:r>
      <w:r w:rsidR="00D35F4C" w:rsidRPr="004E732F">
        <w:t xml:space="preserve">a donor </w:t>
      </w:r>
      <w:r w:rsidRPr="004E732F">
        <w:t xml:space="preserve">funding </w:t>
      </w:r>
      <w:r w:rsidR="00D35F4C" w:rsidRPr="004E732F">
        <w:t xml:space="preserve">strategy. </w:t>
      </w:r>
    </w:p>
    <w:p w:rsidR="00E2142F" w:rsidRPr="004E732F" w:rsidRDefault="00D05D99" w:rsidP="00786A64">
      <w:pPr>
        <w:pStyle w:val="IPPParagraphnumbering"/>
        <w:numPr>
          <w:ilvl w:val="0"/>
          <w:numId w:val="17"/>
        </w:numPr>
        <w:ind w:left="270"/>
      </w:pPr>
      <w:r w:rsidRPr="004E732F">
        <w:t>A donor funding strategy</w:t>
      </w:r>
      <w:r w:rsidR="00E2142F" w:rsidRPr="004E732F">
        <w:t xml:space="preserve"> should </w:t>
      </w:r>
      <w:r w:rsidR="003239E7" w:rsidRPr="004E732F">
        <w:t xml:space="preserve">be established </w:t>
      </w:r>
      <w:r w:rsidR="00E2142F" w:rsidRPr="004E732F">
        <w:t xml:space="preserve">by the end </w:t>
      </w:r>
      <w:r w:rsidR="00D35F4C" w:rsidRPr="004E732F">
        <w:t xml:space="preserve">of 2019 </w:t>
      </w:r>
      <w:r w:rsidR="00E2142F" w:rsidRPr="004E732F">
        <w:t xml:space="preserve">and </w:t>
      </w:r>
      <w:r w:rsidR="003239E7" w:rsidRPr="004E732F">
        <w:t>clearly outline the objectives of the strategy, the process</w:t>
      </w:r>
      <w:r w:rsidR="00506D82" w:rsidRPr="004E732F">
        <w:t>es</w:t>
      </w:r>
      <w:r w:rsidR="003239E7" w:rsidRPr="004E732F">
        <w:t xml:space="preserve"> to be undertaken </w:t>
      </w:r>
      <w:r w:rsidR="00D35F4C" w:rsidRPr="004E732F">
        <w:t>for</w:t>
      </w:r>
      <w:r w:rsidR="003239E7" w:rsidRPr="004E732F">
        <w:t xml:space="preserve"> cultivating and retaining donors, and an agreed upon monitoring and reporting framework for the funds</w:t>
      </w:r>
      <w:r w:rsidR="00506D82" w:rsidRPr="004E732F">
        <w:t xml:space="preserve">. </w:t>
      </w:r>
      <w:r w:rsidR="00E2142F" w:rsidRPr="004E732F">
        <w:t xml:space="preserve"> It will need to ensure that service levels are not reduced as a result of insufficient funding.  Donor funding must be sufficient and ongoing</w:t>
      </w:r>
    </w:p>
    <w:p w:rsidR="00D35F4C" w:rsidRPr="004E732F" w:rsidRDefault="00D35F4C" w:rsidP="00786A64">
      <w:pPr>
        <w:pStyle w:val="IPPParagraphnumbering"/>
        <w:numPr>
          <w:ilvl w:val="0"/>
          <w:numId w:val="17"/>
        </w:numPr>
        <w:ind w:left="270"/>
      </w:pPr>
      <w:r w:rsidRPr="004E732F">
        <w:t xml:space="preserve">Donor funding contributed to the operation of the Solution should be protected from use in other IPPC Secretariat activities. To ensure transparency and to maintain the confidence of donors, a multi-donor trust fund specific to the funds for </w:t>
      </w:r>
      <w:proofErr w:type="spellStart"/>
      <w:r w:rsidRPr="004E732F">
        <w:t>ePhyto</w:t>
      </w:r>
      <w:proofErr w:type="spellEnd"/>
      <w:r w:rsidRPr="004E732F">
        <w:t xml:space="preserve"> </w:t>
      </w:r>
      <w:r w:rsidR="0035317E" w:rsidRPr="004E732F">
        <w:t xml:space="preserve">will </w:t>
      </w:r>
      <w:r w:rsidRPr="004E732F">
        <w:t xml:space="preserve">be established early in the implementation strategy. Reporting on the use of funds </w:t>
      </w:r>
      <w:r w:rsidR="0035317E" w:rsidRPr="004E732F">
        <w:t xml:space="preserve">will </w:t>
      </w:r>
      <w:r w:rsidRPr="004E732F">
        <w:t xml:space="preserve">be a key element of governance reporting and based on </w:t>
      </w:r>
      <w:r w:rsidR="001B4BF3" w:rsidRPr="004E732F">
        <w:t>agreed</w:t>
      </w:r>
      <w:r w:rsidR="0035317E" w:rsidRPr="004E732F">
        <w:t xml:space="preserve"> expenditure plans</w:t>
      </w:r>
      <w:r w:rsidRPr="00717399">
        <w:footnoteReference w:id="7"/>
      </w:r>
      <w:r w:rsidRPr="004E732F">
        <w:t>.</w:t>
      </w:r>
    </w:p>
    <w:p w:rsidR="006004C5" w:rsidRDefault="0035317E" w:rsidP="006004C5">
      <w:pPr>
        <w:pStyle w:val="Subtitle"/>
        <w:rPr>
          <w:lang w:val="en-US"/>
        </w:rPr>
      </w:pPr>
      <w:r>
        <w:rPr>
          <w:lang w:val="en-US"/>
        </w:rPr>
        <w:t>Key</w:t>
      </w:r>
      <w:r w:rsidR="006004C5">
        <w:rPr>
          <w:lang w:val="en-US"/>
        </w:rPr>
        <w:t xml:space="preserve"> results:</w:t>
      </w:r>
    </w:p>
    <w:p w:rsidR="007D7914" w:rsidRDefault="00506D82" w:rsidP="00786A64">
      <w:pPr>
        <w:pStyle w:val="IPPBullet1"/>
        <w:numPr>
          <w:ilvl w:val="0"/>
          <w:numId w:val="18"/>
        </w:numPr>
      </w:pPr>
      <w:r>
        <w:t>Donor strategy drafted, adopted by CPM</w:t>
      </w:r>
      <w:r w:rsidR="0035317E">
        <w:t>-15</w:t>
      </w:r>
      <w:r>
        <w:t xml:space="preserve"> and implemented</w:t>
      </w:r>
      <w:r w:rsidR="007D7914" w:rsidRPr="007D7914">
        <w:t xml:space="preserve"> </w:t>
      </w:r>
    </w:p>
    <w:p w:rsidR="007D7914" w:rsidRDefault="007D7914" w:rsidP="00786A64">
      <w:pPr>
        <w:pStyle w:val="IPPBullet1"/>
        <w:numPr>
          <w:ilvl w:val="0"/>
          <w:numId w:val="18"/>
        </w:numPr>
      </w:pPr>
      <w:r>
        <w:t xml:space="preserve">Minimum of 7 years funding </w:t>
      </w:r>
      <w:r w:rsidR="00DB00C9">
        <w:t>at $</w:t>
      </w:r>
      <w:r w:rsidR="00885302">
        <w:t>1,000,000</w:t>
      </w:r>
      <w:r w:rsidR="00DB00C9">
        <w:t xml:space="preserve"> per annum </w:t>
      </w:r>
      <w:r>
        <w:t xml:space="preserve">obtained to operate hub and </w:t>
      </w:r>
      <w:proofErr w:type="spellStart"/>
      <w:r>
        <w:t>GeNS</w:t>
      </w:r>
      <w:proofErr w:type="spellEnd"/>
      <w:r w:rsidR="008044A9">
        <w:t xml:space="preserve"> </w:t>
      </w:r>
    </w:p>
    <w:p w:rsidR="00B51112" w:rsidRDefault="002E5ADB" w:rsidP="00786A64">
      <w:pPr>
        <w:pStyle w:val="IPPBullet1"/>
        <w:numPr>
          <w:ilvl w:val="0"/>
          <w:numId w:val="18"/>
        </w:numPr>
      </w:pPr>
      <w:r>
        <w:t xml:space="preserve">Separate and distinct financial mechanisms for </w:t>
      </w:r>
      <w:proofErr w:type="spellStart"/>
      <w:r>
        <w:t>ePhyto</w:t>
      </w:r>
      <w:proofErr w:type="spellEnd"/>
      <w:r>
        <w:t xml:space="preserve"> operations and </w:t>
      </w:r>
      <w:proofErr w:type="spellStart"/>
      <w:r>
        <w:t>ePhyto</w:t>
      </w:r>
      <w:proofErr w:type="spellEnd"/>
      <w:r>
        <w:t xml:space="preserve"> capacity development established, funded and being executed by 2019</w:t>
      </w:r>
    </w:p>
    <w:p w:rsidR="003845DD" w:rsidRPr="003418C2" w:rsidRDefault="003845DD" w:rsidP="00786A64">
      <w:pPr>
        <w:pStyle w:val="IPPBullet1"/>
        <w:numPr>
          <w:ilvl w:val="0"/>
          <w:numId w:val="18"/>
        </w:numPr>
      </w:pPr>
      <w:r>
        <w:t xml:space="preserve">Cost-benefit analysis of </w:t>
      </w:r>
      <w:proofErr w:type="spellStart"/>
      <w:r>
        <w:t>ePhyto</w:t>
      </w:r>
      <w:proofErr w:type="spellEnd"/>
      <w:r>
        <w:t xml:space="preserve"> implementation presented to CPM</w:t>
      </w:r>
      <w:r w:rsidR="0035317E">
        <w:t>-15</w:t>
      </w:r>
    </w:p>
    <w:p w:rsidR="00B53A5C" w:rsidRPr="008C24C9" w:rsidRDefault="00732D81" w:rsidP="00786A64">
      <w:pPr>
        <w:pStyle w:val="IPPBullet1"/>
        <w:numPr>
          <w:ilvl w:val="0"/>
          <w:numId w:val="18"/>
        </w:numPr>
      </w:pPr>
      <w:r w:rsidRPr="008C24C9">
        <w:t xml:space="preserve">Long term funding strategy defined, approved by CPM </w:t>
      </w:r>
      <w:r w:rsidR="008C24C9" w:rsidRPr="008C24C9">
        <w:t>and implemented</w:t>
      </w:r>
      <w:r w:rsidR="00B51112">
        <w:t xml:space="preserve"> </w:t>
      </w:r>
      <w:r w:rsidR="0035317E">
        <w:t>by July 2023</w:t>
      </w:r>
    </w:p>
    <w:p w:rsidR="00B53A5C" w:rsidRPr="00717399" w:rsidRDefault="003F7A93" w:rsidP="003F7A93">
      <w:pPr>
        <w:pStyle w:val="Heading2"/>
        <w:rPr>
          <w:rFonts w:ascii="Times New Roman" w:eastAsia="Times" w:hAnsi="Times New Roman"/>
          <w:bCs w:val="0"/>
          <w:i w:val="0"/>
          <w:iCs w:val="0"/>
          <w:sz w:val="24"/>
          <w:szCs w:val="22"/>
        </w:rPr>
      </w:pPr>
      <w:r w:rsidRPr="00717399">
        <w:rPr>
          <w:rFonts w:ascii="Times New Roman" w:eastAsia="Times" w:hAnsi="Times New Roman"/>
          <w:bCs w:val="0"/>
          <w:i w:val="0"/>
          <w:iCs w:val="0"/>
          <w:sz w:val="24"/>
          <w:szCs w:val="22"/>
        </w:rPr>
        <w:t>Country implementation</w:t>
      </w:r>
    </w:p>
    <w:p w:rsidR="00242A5E" w:rsidRDefault="00D7678A" w:rsidP="00786A64">
      <w:pPr>
        <w:pStyle w:val="IPPParagraphnumbering"/>
        <w:numPr>
          <w:ilvl w:val="0"/>
          <w:numId w:val="19"/>
        </w:numPr>
        <w:tabs>
          <w:tab w:val="left" w:pos="360"/>
        </w:tabs>
        <w:ind w:left="270"/>
      </w:pPr>
      <w:r>
        <w:t xml:space="preserve">The project </w:t>
      </w:r>
      <w:r w:rsidR="002E5ADB">
        <w:t>makes</w:t>
      </w:r>
      <w:r>
        <w:t xml:space="preserve"> the </w:t>
      </w:r>
      <w:proofErr w:type="spellStart"/>
      <w:r>
        <w:t>GeNS</w:t>
      </w:r>
      <w:proofErr w:type="spellEnd"/>
      <w:r>
        <w:t xml:space="preserve"> </w:t>
      </w:r>
      <w:r w:rsidR="00DB00C9">
        <w:t xml:space="preserve">available to </w:t>
      </w:r>
      <w:r>
        <w:t xml:space="preserve">countries </w:t>
      </w:r>
      <w:r w:rsidR="00F25865">
        <w:t>without national</w:t>
      </w:r>
      <w:r w:rsidR="00DB00C9">
        <w:t xml:space="preserve"> </w:t>
      </w:r>
      <w:r>
        <w:t xml:space="preserve">systems capable of producing, sending and receiving </w:t>
      </w:r>
      <w:proofErr w:type="spellStart"/>
      <w:r>
        <w:t>ePhytos</w:t>
      </w:r>
      <w:proofErr w:type="spellEnd"/>
      <w:r>
        <w:t xml:space="preserve">. </w:t>
      </w:r>
      <w:r w:rsidR="003F7A93">
        <w:t xml:space="preserve">The support required by countries to implement the Solution varies by </w:t>
      </w:r>
      <w:r w:rsidR="00F25865">
        <w:t>country;</w:t>
      </w:r>
      <w:r w:rsidR="00DB00C9">
        <w:t xml:space="preserve"> with many able to </w:t>
      </w:r>
      <w:r w:rsidR="003F7A93">
        <w:t xml:space="preserve">implement the </w:t>
      </w:r>
      <w:proofErr w:type="spellStart"/>
      <w:r w:rsidR="003F7A93">
        <w:t>GeNS</w:t>
      </w:r>
      <w:proofErr w:type="spellEnd"/>
      <w:r w:rsidR="003F7A93">
        <w:t xml:space="preserve"> operation without </w:t>
      </w:r>
      <w:r>
        <w:t xml:space="preserve">any </w:t>
      </w:r>
      <w:r w:rsidR="003F7A93">
        <w:t xml:space="preserve">retooling of </w:t>
      </w:r>
      <w:r w:rsidR="00EE311B">
        <w:t xml:space="preserve">phytosanitary certificate </w:t>
      </w:r>
      <w:r w:rsidR="001612A5">
        <w:t>business</w:t>
      </w:r>
      <w:r w:rsidR="003F7A93">
        <w:t xml:space="preserve"> processes</w:t>
      </w:r>
      <w:r w:rsidR="001612A5">
        <w:t xml:space="preserve"> by either the NPPO or the trader.</w:t>
      </w:r>
      <w:r>
        <w:t xml:space="preserve"> </w:t>
      </w:r>
      <w:r w:rsidR="001612A5">
        <w:t xml:space="preserve">  </w:t>
      </w:r>
      <w:r w:rsidR="00EE311B">
        <w:t xml:space="preserve">The Solution project </w:t>
      </w:r>
      <w:r w:rsidR="00DB00C9">
        <w:t>has produced</w:t>
      </w:r>
      <w:r w:rsidR="00EE311B">
        <w:t xml:space="preserve"> guidance </w:t>
      </w:r>
      <w:r w:rsidR="00DB00C9">
        <w:t>for</w:t>
      </w:r>
      <w:r w:rsidR="00EE311B">
        <w:t xml:space="preserve"> implement</w:t>
      </w:r>
      <w:r w:rsidR="00DB00C9">
        <w:t>ing</w:t>
      </w:r>
      <w:r w:rsidR="00EE311B">
        <w:t xml:space="preserve"> the hub and </w:t>
      </w:r>
      <w:proofErr w:type="spellStart"/>
      <w:r w:rsidR="00EE311B">
        <w:t>GeNS</w:t>
      </w:r>
      <w:proofErr w:type="spellEnd"/>
      <w:r w:rsidR="00EE311B">
        <w:t xml:space="preserve"> and some </w:t>
      </w:r>
      <w:r>
        <w:t xml:space="preserve">guidance on </w:t>
      </w:r>
      <w:r w:rsidR="00EE311B">
        <w:t xml:space="preserve">business process analysis. </w:t>
      </w:r>
      <w:r w:rsidR="006004C5">
        <w:t xml:space="preserve">These guides should </w:t>
      </w:r>
      <w:r w:rsidR="00DB00C9">
        <w:t>continue to be</w:t>
      </w:r>
      <w:r w:rsidR="006004C5">
        <w:t xml:space="preserve"> reviewed by countries implementing the system and </w:t>
      </w:r>
      <w:r w:rsidR="00DB00C9">
        <w:t>updated, as necessary, to ensure they remain</w:t>
      </w:r>
      <w:r w:rsidR="006004C5">
        <w:t xml:space="preserve"> effective. </w:t>
      </w:r>
    </w:p>
    <w:p w:rsidR="000C7331" w:rsidRPr="00BF634C" w:rsidRDefault="00105601" w:rsidP="00786A64">
      <w:pPr>
        <w:pStyle w:val="IPPParagraphnumbering"/>
        <w:numPr>
          <w:ilvl w:val="0"/>
          <w:numId w:val="19"/>
        </w:numPr>
        <w:ind w:left="270"/>
        <w:rPr>
          <w:iCs/>
        </w:rPr>
      </w:pPr>
      <w:r>
        <w:rPr>
          <w:iCs/>
        </w:rPr>
        <w:t>The IPPC Secretariat core program will provide the</w:t>
      </w:r>
      <w:r w:rsidR="00BF634C" w:rsidRPr="00BF634C">
        <w:rPr>
          <w:iCs/>
        </w:rPr>
        <w:t xml:space="preserve"> tools </w:t>
      </w:r>
      <w:r>
        <w:rPr>
          <w:iCs/>
        </w:rPr>
        <w:t>that describe</w:t>
      </w:r>
      <w:r w:rsidRPr="00BF634C">
        <w:rPr>
          <w:iCs/>
        </w:rPr>
        <w:t xml:space="preserve"> </w:t>
      </w:r>
      <w:r w:rsidR="00BF634C" w:rsidRPr="00BF634C">
        <w:rPr>
          <w:iCs/>
        </w:rPr>
        <w:t>how to use the technology and some guidance on undertaking business process self-assessments</w:t>
      </w:r>
      <w:r>
        <w:rPr>
          <w:iCs/>
        </w:rPr>
        <w:t>.  It does not extend to</w:t>
      </w:r>
      <w:r w:rsidR="00BF634C" w:rsidRPr="00BF634C">
        <w:rPr>
          <w:iCs/>
        </w:rPr>
        <w:t xml:space="preserve"> support country </w:t>
      </w:r>
      <w:r w:rsidR="00BF634C" w:rsidRPr="00BF634C">
        <w:rPr>
          <w:iCs/>
        </w:rPr>
        <w:lastRenderedPageBreak/>
        <w:t>capacity development. The Secretariat is develop</w:t>
      </w:r>
      <w:r w:rsidR="002E5ADB">
        <w:rPr>
          <w:iCs/>
        </w:rPr>
        <w:t>ing</w:t>
      </w:r>
      <w:r w:rsidR="00BF634C" w:rsidRPr="00BF634C">
        <w:rPr>
          <w:iCs/>
        </w:rPr>
        <w:t xml:space="preserve"> a partnership with the World Bank in its efforts to implement the World Trade Organization</w:t>
      </w:r>
      <w:r w:rsidR="002E5ADB">
        <w:rPr>
          <w:iCs/>
        </w:rPr>
        <w:t>’s</w:t>
      </w:r>
      <w:r w:rsidR="00BF634C" w:rsidRPr="00BF634C">
        <w:rPr>
          <w:iCs/>
        </w:rPr>
        <w:t xml:space="preserve"> Trade Facilitation Agreement (TFA</w:t>
      </w:r>
      <w:r w:rsidR="002E5ADB">
        <w:rPr>
          <w:iCs/>
        </w:rPr>
        <w:t>)</w:t>
      </w:r>
      <w:r>
        <w:rPr>
          <w:iCs/>
        </w:rPr>
        <w:t xml:space="preserve"> to assist the </w:t>
      </w:r>
      <w:r w:rsidRPr="00BF634C">
        <w:rPr>
          <w:iCs/>
        </w:rPr>
        <w:t xml:space="preserve">countries </w:t>
      </w:r>
      <w:r>
        <w:rPr>
          <w:iCs/>
        </w:rPr>
        <w:t xml:space="preserve">that </w:t>
      </w:r>
      <w:r w:rsidRPr="00BF634C">
        <w:rPr>
          <w:iCs/>
        </w:rPr>
        <w:t xml:space="preserve">have indicated that they do not have the capacity to implement the Solution without </w:t>
      </w:r>
      <w:r>
        <w:rPr>
          <w:iCs/>
        </w:rPr>
        <w:t>help</w:t>
      </w:r>
      <w:r w:rsidRPr="00BF634C">
        <w:rPr>
          <w:iCs/>
        </w:rPr>
        <w:t xml:space="preserve">. </w:t>
      </w:r>
      <w:r w:rsidR="00BF634C" w:rsidRPr="00BF634C">
        <w:rPr>
          <w:iCs/>
        </w:rPr>
        <w:t xml:space="preserve">Under the proposed agreement, the World Bank would secure donor funding to </w:t>
      </w:r>
      <w:r w:rsidRPr="00BF634C">
        <w:rPr>
          <w:iCs/>
        </w:rPr>
        <w:t>improv</w:t>
      </w:r>
      <w:r>
        <w:rPr>
          <w:iCs/>
        </w:rPr>
        <w:t>e</w:t>
      </w:r>
      <w:r w:rsidRPr="00BF634C">
        <w:rPr>
          <w:iCs/>
        </w:rPr>
        <w:t xml:space="preserve"> </w:t>
      </w:r>
      <w:r w:rsidR="00BF634C" w:rsidRPr="00BF634C">
        <w:rPr>
          <w:iCs/>
        </w:rPr>
        <w:t xml:space="preserve">the capacities of countries to implement </w:t>
      </w:r>
      <w:proofErr w:type="spellStart"/>
      <w:r w:rsidR="00BF634C" w:rsidRPr="00BF634C">
        <w:rPr>
          <w:iCs/>
        </w:rPr>
        <w:t>ePhyto</w:t>
      </w:r>
      <w:proofErr w:type="spellEnd"/>
      <w:r w:rsidR="00BF634C" w:rsidRPr="00BF634C">
        <w:rPr>
          <w:iCs/>
        </w:rPr>
        <w:t xml:space="preserve"> within an overall implementation of trade facilitation and border management improvement.  The World Bank</w:t>
      </w:r>
      <w:r>
        <w:rPr>
          <w:iCs/>
        </w:rPr>
        <w:t>,</w:t>
      </w:r>
      <w:r w:rsidR="00BF634C" w:rsidRPr="00BF634C">
        <w:rPr>
          <w:iCs/>
        </w:rPr>
        <w:t xml:space="preserve"> with the support of the </w:t>
      </w:r>
      <w:r>
        <w:rPr>
          <w:iCs/>
        </w:rPr>
        <w:t xml:space="preserve">IPPC </w:t>
      </w:r>
      <w:r w:rsidR="00BF634C" w:rsidRPr="00BF634C">
        <w:rPr>
          <w:iCs/>
        </w:rPr>
        <w:t>Secretariat</w:t>
      </w:r>
      <w:r>
        <w:rPr>
          <w:iCs/>
        </w:rPr>
        <w:t>,</w:t>
      </w:r>
      <w:r w:rsidR="00BF634C" w:rsidRPr="00BF634C">
        <w:rPr>
          <w:iCs/>
        </w:rPr>
        <w:t xml:space="preserve"> would provide direct guidance to countries in implementing the Solution within a comprehensive approach to implementing the </w:t>
      </w:r>
      <w:r>
        <w:rPr>
          <w:iCs/>
        </w:rPr>
        <w:t>WTO Trade Facilitation Agreement (</w:t>
      </w:r>
      <w:r w:rsidR="00BF634C" w:rsidRPr="00BF634C">
        <w:rPr>
          <w:iCs/>
        </w:rPr>
        <w:t>TFA</w:t>
      </w:r>
      <w:r>
        <w:rPr>
          <w:iCs/>
        </w:rPr>
        <w:t>)</w:t>
      </w:r>
      <w:r w:rsidR="00BF634C" w:rsidRPr="00BF634C">
        <w:rPr>
          <w:iCs/>
        </w:rPr>
        <w:t xml:space="preserve">. The IPPC Secretariat </w:t>
      </w:r>
      <w:r>
        <w:rPr>
          <w:iCs/>
        </w:rPr>
        <w:t>will</w:t>
      </w:r>
      <w:r w:rsidR="00BF634C" w:rsidRPr="00BF634C">
        <w:rPr>
          <w:iCs/>
        </w:rPr>
        <w:t xml:space="preserve"> continue to work with the World Bank in developing tools that could be used by countries to implement the solution independently or with the assistance of countries or regions with experience in implementation</w:t>
      </w:r>
      <w:r w:rsidR="00F027FA" w:rsidRPr="00BF634C">
        <w:rPr>
          <w:rStyle w:val="FootnoteReference"/>
        </w:rPr>
        <w:footnoteReference w:id="8"/>
      </w:r>
      <w:r w:rsidR="00BF634C" w:rsidRPr="00BF634C">
        <w:rPr>
          <w:iCs/>
        </w:rPr>
        <w:t>.</w:t>
      </w:r>
    </w:p>
    <w:p w:rsidR="00EE311B" w:rsidRDefault="000C7331" w:rsidP="00786A64">
      <w:pPr>
        <w:pStyle w:val="IPPParagraphnumbering"/>
        <w:numPr>
          <w:ilvl w:val="0"/>
          <w:numId w:val="19"/>
        </w:numPr>
        <w:ind w:left="270"/>
      </w:pPr>
      <w:r>
        <w:t xml:space="preserve">Regional plant protection organizations </w:t>
      </w:r>
      <w:r w:rsidR="00105601">
        <w:t xml:space="preserve">(RPPOs) </w:t>
      </w:r>
      <w:r>
        <w:t xml:space="preserve">and NPPOs with sufficient </w:t>
      </w:r>
      <w:r w:rsidR="002E5ADB">
        <w:t xml:space="preserve">resources and </w:t>
      </w:r>
      <w:r>
        <w:t xml:space="preserve">understanding of the technology and the business processes should support implementation where possible.  </w:t>
      </w:r>
      <w:r w:rsidR="00105601">
        <w:t>To ensure</w:t>
      </w:r>
      <w:r>
        <w:t xml:space="preserve"> consisten</w:t>
      </w:r>
      <w:r w:rsidR="00105601">
        <w:t>cy</w:t>
      </w:r>
      <w:r>
        <w:t xml:space="preserve"> and </w:t>
      </w:r>
      <w:r w:rsidR="008C0C55">
        <w:t xml:space="preserve">universally </w:t>
      </w:r>
      <w:r w:rsidR="002E5ADB">
        <w:t>availability</w:t>
      </w:r>
      <w:r w:rsidR="008C0C55">
        <w:t xml:space="preserve">, the development of guidance material that could be used by RPPOs and countries to assist other countries in implementing </w:t>
      </w:r>
      <w:proofErr w:type="spellStart"/>
      <w:r w:rsidR="008C0C55">
        <w:t>ePhyto</w:t>
      </w:r>
      <w:proofErr w:type="spellEnd"/>
      <w:r w:rsidR="008C0C55">
        <w:t xml:space="preserve"> should be </w:t>
      </w:r>
      <w:r w:rsidR="00105601">
        <w:t xml:space="preserve">coordinated </w:t>
      </w:r>
      <w:r w:rsidR="008C0C55">
        <w:t xml:space="preserve">by the Secretariat. These would be an expansion of the existing tools developed under the project and could be a key component of the RPPO annual work plan. </w:t>
      </w:r>
    </w:p>
    <w:p w:rsidR="00111A07" w:rsidRDefault="00111A07" w:rsidP="00786A64">
      <w:pPr>
        <w:pStyle w:val="IPPParagraphnumbering"/>
        <w:numPr>
          <w:ilvl w:val="0"/>
          <w:numId w:val="19"/>
        </w:numPr>
        <w:ind w:left="270"/>
      </w:pPr>
      <w:r>
        <w:t xml:space="preserve">The IPPC Secretariat </w:t>
      </w:r>
      <w:r w:rsidR="00105601">
        <w:t>will</w:t>
      </w:r>
      <w:r>
        <w:t xml:space="preserve"> seek </w:t>
      </w:r>
      <w:r w:rsidR="00105601">
        <w:t xml:space="preserve">additional </w:t>
      </w:r>
      <w:r>
        <w:t xml:space="preserve">donor funding from industry and NPPOs to support </w:t>
      </w:r>
      <w:r w:rsidR="001B4BF3">
        <w:t xml:space="preserve">the development of these additional tools and to deliver awareness and training through </w:t>
      </w:r>
      <w:r>
        <w:t xml:space="preserve">biennial workshops </w:t>
      </w:r>
      <w:r w:rsidR="00105601">
        <w:t xml:space="preserve">or global symposiums </w:t>
      </w:r>
      <w:r>
        <w:t xml:space="preserve">on </w:t>
      </w:r>
      <w:proofErr w:type="spellStart"/>
      <w:r>
        <w:t>ePhyto</w:t>
      </w:r>
      <w:proofErr w:type="spellEnd"/>
      <w:r w:rsidR="003A0476">
        <w:rPr>
          <w:rStyle w:val="FootnoteReference"/>
        </w:rPr>
        <w:footnoteReference w:id="9"/>
      </w:r>
      <w:r>
        <w:t xml:space="preserve">. The Secretariat also coordinate with other international organizations to include awareness-raising for </w:t>
      </w:r>
      <w:proofErr w:type="spellStart"/>
      <w:r>
        <w:t>ePhyto</w:t>
      </w:r>
      <w:proofErr w:type="spellEnd"/>
      <w:r>
        <w:t xml:space="preserve"> at meeting</w:t>
      </w:r>
      <w:r w:rsidR="001B4BF3">
        <w:t>s</w:t>
      </w:r>
      <w:r>
        <w:t xml:space="preserve"> hosted by other organizations (e.g. regional trade facilitation workshops, customs meetings, etc.)</w:t>
      </w:r>
      <w:r w:rsidR="00105601">
        <w:t xml:space="preserve"> as a basis for leveraging additional investment.</w:t>
      </w:r>
    </w:p>
    <w:p w:rsidR="006004C5" w:rsidRDefault="00105601" w:rsidP="006004C5">
      <w:pPr>
        <w:pStyle w:val="Subtitle"/>
        <w:rPr>
          <w:lang w:val="en-US"/>
        </w:rPr>
      </w:pPr>
      <w:r>
        <w:rPr>
          <w:lang w:val="en-US"/>
        </w:rPr>
        <w:t>Key</w:t>
      </w:r>
      <w:r w:rsidR="006004C5">
        <w:rPr>
          <w:lang w:val="en-US"/>
        </w:rPr>
        <w:t xml:space="preserve"> results:</w:t>
      </w:r>
    </w:p>
    <w:p w:rsidR="00242A5E" w:rsidRDefault="00242A5E" w:rsidP="00786A64">
      <w:pPr>
        <w:pStyle w:val="IPPBullet1"/>
        <w:numPr>
          <w:ilvl w:val="0"/>
          <w:numId w:val="20"/>
        </w:numPr>
      </w:pPr>
      <w:r>
        <w:t xml:space="preserve">Tools for implementation and use of hub and </w:t>
      </w:r>
      <w:proofErr w:type="spellStart"/>
      <w:r>
        <w:t>GeNS</w:t>
      </w:r>
      <w:proofErr w:type="spellEnd"/>
      <w:r>
        <w:t xml:space="preserve"> and business process guide</w:t>
      </w:r>
      <w:r w:rsidR="006004C5">
        <w:t xml:space="preserve"> validated by countries using the system and</w:t>
      </w:r>
      <w:r>
        <w:t xml:space="preserve"> made available to </w:t>
      </w:r>
      <w:r w:rsidR="006004C5">
        <w:t xml:space="preserve">all </w:t>
      </w:r>
      <w:r>
        <w:t>contracting parties</w:t>
      </w:r>
      <w:r w:rsidR="00105601">
        <w:t xml:space="preserve"> by </w:t>
      </w:r>
      <w:r w:rsidR="00885302">
        <w:t>end of 2019</w:t>
      </w:r>
    </w:p>
    <w:p w:rsidR="00242A5E" w:rsidRDefault="00242A5E" w:rsidP="00786A64">
      <w:pPr>
        <w:pStyle w:val="IPPBullet1"/>
        <w:numPr>
          <w:ilvl w:val="0"/>
          <w:numId w:val="20"/>
        </w:numPr>
      </w:pPr>
      <w:r>
        <w:t xml:space="preserve">Agreement </w:t>
      </w:r>
      <w:r w:rsidR="006004C5">
        <w:t xml:space="preserve">to support capacity development for national implementation of </w:t>
      </w:r>
      <w:proofErr w:type="spellStart"/>
      <w:r w:rsidR="006004C5">
        <w:t>ePhyto</w:t>
      </w:r>
      <w:proofErr w:type="spellEnd"/>
      <w:r w:rsidR="006004C5">
        <w:t xml:space="preserve"> </w:t>
      </w:r>
      <w:r>
        <w:t xml:space="preserve">between IPPC Secretariat and World Bank established </w:t>
      </w:r>
      <w:r w:rsidR="00105601">
        <w:t>in 2019</w:t>
      </w:r>
    </w:p>
    <w:p w:rsidR="00B53A5C" w:rsidRDefault="00242A5E" w:rsidP="00786A64">
      <w:pPr>
        <w:pStyle w:val="IPPBullet1"/>
        <w:numPr>
          <w:ilvl w:val="0"/>
          <w:numId w:val="20"/>
        </w:numPr>
      </w:pPr>
      <w:r>
        <w:t xml:space="preserve">At least </w:t>
      </w:r>
      <w:r w:rsidR="006004C5">
        <w:t>2</w:t>
      </w:r>
      <w:r w:rsidR="008C0C55">
        <w:t>-3</w:t>
      </w:r>
      <w:r w:rsidR="006004C5">
        <w:t xml:space="preserve"> countries per year supported in implementing </w:t>
      </w:r>
      <w:proofErr w:type="spellStart"/>
      <w:r w:rsidR="006004C5">
        <w:t>ePhyto</w:t>
      </w:r>
      <w:proofErr w:type="spellEnd"/>
      <w:r w:rsidR="006004C5">
        <w:t>.</w:t>
      </w:r>
    </w:p>
    <w:p w:rsidR="00111A07" w:rsidRDefault="00111A07" w:rsidP="00786A64">
      <w:pPr>
        <w:pStyle w:val="IPPBullet1"/>
        <w:numPr>
          <w:ilvl w:val="0"/>
          <w:numId w:val="20"/>
        </w:numPr>
      </w:pPr>
      <w:r>
        <w:t xml:space="preserve">Periodic training and awareness workshops on </w:t>
      </w:r>
      <w:proofErr w:type="spellStart"/>
      <w:r>
        <w:t>ePhyto</w:t>
      </w:r>
      <w:proofErr w:type="spellEnd"/>
      <w:r>
        <w:t xml:space="preserve"> </w:t>
      </w:r>
    </w:p>
    <w:p w:rsidR="00C677DE" w:rsidRDefault="00C677DE" w:rsidP="00717399">
      <w:pPr>
        <w:pStyle w:val="IPPHeading1"/>
        <w:rPr>
          <w:lang w:val="en-US"/>
        </w:rPr>
      </w:pPr>
      <w:r>
        <w:rPr>
          <w:lang w:val="en-US"/>
        </w:rPr>
        <w:t xml:space="preserve">Communication and </w:t>
      </w:r>
      <w:r w:rsidR="00036B1A">
        <w:rPr>
          <w:lang w:val="en-US"/>
        </w:rPr>
        <w:t>International Cooperation</w:t>
      </w:r>
    </w:p>
    <w:p w:rsidR="00CC4678" w:rsidRDefault="00C677DE" w:rsidP="00786A64">
      <w:pPr>
        <w:pStyle w:val="IPPParagraphnumbering"/>
        <w:numPr>
          <w:ilvl w:val="0"/>
          <w:numId w:val="21"/>
        </w:numPr>
        <w:tabs>
          <w:tab w:val="left" w:pos="270"/>
        </w:tabs>
        <w:ind w:hanging="810"/>
      </w:pPr>
      <w:r>
        <w:t xml:space="preserve">Funding to support </w:t>
      </w:r>
      <w:r w:rsidR="00105601">
        <w:t xml:space="preserve">Solution </w:t>
      </w:r>
      <w:r>
        <w:t>operation</w:t>
      </w:r>
      <w:r w:rsidR="00105601">
        <w:t>s</w:t>
      </w:r>
      <w:r>
        <w:t xml:space="preserve"> is contingent on</w:t>
      </w:r>
      <w:r w:rsidR="002025D7">
        <w:t xml:space="preserve"> </w:t>
      </w:r>
      <w:r w:rsidR="00105601">
        <w:t xml:space="preserve">a </w:t>
      </w:r>
      <w:r w:rsidR="002025D7">
        <w:t>number of factors including national and international</w:t>
      </w:r>
      <w:r>
        <w:t xml:space="preserve"> </w:t>
      </w:r>
      <w:r w:rsidR="002025D7">
        <w:t>effectiveness, overall use</w:t>
      </w:r>
      <w:r>
        <w:t xml:space="preserve"> and </w:t>
      </w:r>
      <w:r w:rsidR="002025D7">
        <w:t xml:space="preserve">user </w:t>
      </w:r>
      <w:r>
        <w:t>satisfaction.</w:t>
      </w:r>
      <w:r w:rsidR="002025D7">
        <w:t xml:space="preserve"> A </w:t>
      </w:r>
      <w:r w:rsidR="000C7331">
        <w:t>program</w:t>
      </w:r>
      <w:r>
        <w:t xml:space="preserve"> to encourage adoption and use supports funding and </w:t>
      </w:r>
      <w:r w:rsidR="000C7331">
        <w:t>creat</w:t>
      </w:r>
      <w:r w:rsidR="001B4BF3">
        <w:t>es</w:t>
      </w:r>
      <w:r w:rsidR="002025D7">
        <w:t xml:space="preserve"> advantages through</w:t>
      </w:r>
      <w:r>
        <w:t xml:space="preserve"> economies of scale. </w:t>
      </w:r>
    </w:p>
    <w:p w:rsidR="00C677DE" w:rsidRDefault="00C677DE" w:rsidP="00786A64">
      <w:pPr>
        <w:pStyle w:val="IPPParagraphnumbering"/>
        <w:numPr>
          <w:ilvl w:val="0"/>
          <w:numId w:val="21"/>
        </w:numPr>
        <w:tabs>
          <w:tab w:val="left" w:pos="270"/>
        </w:tabs>
        <w:ind w:left="270"/>
      </w:pPr>
      <w:r>
        <w:t xml:space="preserve">An documented program of communication and advocacy </w:t>
      </w:r>
      <w:r w:rsidR="00CC4678">
        <w:t xml:space="preserve">to sell the benefits of the Solution </w:t>
      </w:r>
      <w:proofErr w:type="gramStart"/>
      <w:r w:rsidR="00CC4678">
        <w:t xml:space="preserve">is </w:t>
      </w:r>
      <w:r>
        <w:t xml:space="preserve"> a</w:t>
      </w:r>
      <w:proofErr w:type="gramEnd"/>
      <w:r>
        <w:t xml:space="preserve"> key component of work of the IPPC Secretariat</w:t>
      </w:r>
      <w:r w:rsidR="00F027FA" w:rsidRPr="00F027FA">
        <w:rPr>
          <w:vertAlign w:val="superscript"/>
        </w:rPr>
        <w:t>8</w:t>
      </w:r>
      <w:r w:rsidR="000C7331">
        <w:t xml:space="preserve"> and</w:t>
      </w:r>
      <w:r w:rsidR="002025D7">
        <w:t xml:space="preserve"> </w:t>
      </w:r>
      <w:r w:rsidR="00CC4678">
        <w:t>will align</w:t>
      </w:r>
      <w:r w:rsidR="002025D7">
        <w:t xml:space="preserve"> with the overall </w:t>
      </w:r>
      <w:hyperlink r:id="rId13" w:history="1">
        <w:r w:rsidR="002025D7" w:rsidRPr="002025D7">
          <w:rPr>
            <w:rStyle w:val="Hyperlink"/>
          </w:rPr>
          <w:t>IPPC Communication Strategy</w:t>
        </w:r>
      </w:hyperlink>
      <w:r w:rsidR="002025D7">
        <w:t>.</w:t>
      </w:r>
      <w:r>
        <w:t xml:space="preserve"> </w:t>
      </w:r>
      <w:proofErr w:type="spellStart"/>
      <w:proofErr w:type="gramStart"/>
      <w:r w:rsidR="002025D7">
        <w:t>ePhyto</w:t>
      </w:r>
      <w:proofErr w:type="spellEnd"/>
      <w:proofErr w:type="gramEnd"/>
      <w:r w:rsidR="002025D7">
        <w:t xml:space="preserve"> </w:t>
      </w:r>
      <w:r w:rsidR="00CC4678">
        <w:t>is</w:t>
      </w:r>
      <w:r w:rsidR="002025D7">
        <w:t xml:space="preserve"> a central component of the overall </w:t>
      </w:r>
      <w:r w:rsidR="000C7331">
        <w:t>operations of the</w:t>
      </w:r>
      <w:r w:rsidR="002025D7">
        <w:t xml:space="preserve"> IPPC</w:t>
      </w:r>
      <w:r w:rsidR="000C7331">
        <w:t xml:space="preserve"> Secretariat</w:t>
      </w:r>
      <w:r w:rsidR="002025D7">
        <w:t xml:space="preserve">. The tools used should include those described within the </w:t>
      </w:r>
      <w:hyperlink r:id="rId14" w:history="1">
        <w:r w:rsidR="002025D7" w:rsidRPr="000C7331">
          <w:rPr>
            <w:rStyle w:val="Hyperlink"/>
          </w:rPr>
          <w:t>IPPC Communication Strategy</w:t>
        </w:r>
      </w:hyperlink>
      <w:r w:rsidR="002025D7">
        <w:t xml:space="preserve">, but in particular should include workshops and communications materials that assist countries in adopting </w:t>
      </w:r>
      <w:proofErr w:type="spellStart"/>
      <w:r w:rsidR="002025D7">
        <w:t>ePhyto</w:t>
      </w:r>
      <w:proofErr w:type="spellEnd"/>
      <w:r w:rsidR="002025D7">
        <w:t xml:space="preserve">. </w:t>
      </w:r>
      <w:r>
        <w:t xml:space="preserve"> The </w:t>
      </w:r>
      <w:proofErr w:type="gramStart"/>
      <w:r w:rsidR="00CC4678">
        <w:lastRenderedPageBreak/>
        <w:t>communications</w:t>
      </w:r>
      <w:proofErr w:type="gramEnd"/>
      <w:r w:rsidR="00CC4678">
        <w:t xml:space="preserve"> and advocacy </w:t>
      </w:r>
      <w:r w:rsidR="000C7331">
        <w:t>program</w:t>
      </w:r>
      <w:r>
        <w:t xml:space="preserve"> </w:t>
      </w:r>
      <w:r w:rsidR="00CC4678">
        <w:t>will require sufficient funding to achieve the proposed</w:t>
      </w:r>
      <w:r>
        <w:t xml:space="preserve"> milestones</w:t>
      </w:r>
      <w:r w:rsidR="003A0476">
        <w:rPr>
          <w:rStyle w:val="FootnoteReference"/>
        </w:rPr>
        <w:footnoteReference w:id="10"/>
      </w:r>
      <w:r>
        <w:t xml:space="preserve">.  </w:t>
      </w:r>
    </w:p>
    <w:p w:rsidR="00036B1A" w:rsidRDefault="00036B1A" w:rsidP="00507A67">
      <w:pPr>
        <w:pStyle w:val="IPPParagraphnumbering"/>
        <w:numPr>
          <w:ilvl w:val="0"/>
          <w:numId w:val="21"/>
        </w:numPr>
        <w:tabs>
          <w:tab w:val="left" w:pos="360"/>
        </w:tabs>
        <w:ind w:left="180" w:hanging="180"/>
      </w:pPr>
      <w:r>
        <w:t xml:space="preserve">International cooperation should focus on integration and harmonization between </w:t>
      </w:r>
      <w:proofErr w:type="spellStart"/>
      <w:r>
        <w:t>ePhytos</w:t>
      </w:r>
      <w:proofErr w:type="spellEnd"/>
      <w:r>
        <w:t xml:space="preserve"> and other electronic certificate initiatives and activities</w:t>
      </w:r>
      <w:r w:rsidR="00CC4678">
        <w:t>, as well as ensuring its compatibility with global implementation of single window functions</w:t>
      </w:r>
      <w:r>
        <w:t xml:space="preserve">. </w:t>
      </w:r>
      <w:r w:rsidR="00CC4678">
        <w:t>Other regulatory bodies including</w:t>
      </w:r>
      <w:r>
        <w:t xml:space="preserve"> CODEX and the International Organization for Animal Health (OIE) are embarking on </w:t>
      </w:r>
      <w:r w:rsidR="00D05D99">
        <w:t xml:space="preserve">expanding existing </w:t>
      </w:r>
      <w:r>
        <w:t xml:space="preserve">guidance for electronic certificates. </w:t>
      </w:r>
      <w:r w:rsidR="00CC4678">
        <w:t>C</w:t>
      </w:r>
      <w:r>
        <w:t>ollaboration on harmonization would assist countries in</w:t>
      </w:r>
      <w:r w:rsidR="007D7914">
        <w:t xml:space="preserve"> developing</w:t>
      </w:r>
      <w:r>
        <w:t xml:space="preserve"> systems </w:t>
      </w:r>
      <w:r w:rsidR="007D7914">
        <w:t xml:space="preserve">capable of handling various </w:t>
      </w:r>
      <w:r w:rsidR="00D05D99">
        <w:t>health</w:t>
      </w:r>
      <w:r w:rsidR="007D7914">
        <w:t xml:space="preserve"> certificates </w:t>
      </w:r>
      <w:r>
        <w:t xml:space="preserve">and </w:t>
      </w:r>
      <w:r w:rsidR="007D7914">
        <w:t xml:space="preserve">thus </w:t>
      </w:r>
      <w:r>
        <w:t xml:space="preserve">simplifying border activities. Harmonization would also assist in facilitating </w:t>
      </w:r>
      <w:r w:rsidR="00CC4678">
        <w:t xml:space="preserve">safe </w:t>
      </w:r>
      <w:r>
        <w:t xml:space="preserve">trade and improving biosecurity. </w:t>
      </w:r>
      <w:r w:rsidR="007D7914">
        <w:t xml:space="preserve">The IPPC Secretariat </w:t>
      </w:r>
      <w:r w:rsidR="00CC4678">
        <w:t xml:space="preserve">will </w:t>
      </w:r>
      <w:r w:rsidR="007D7914">
        <w:t xml:space="preserve">work with other international organizations to </w:t>
      </w:r>
      <w:r w:rsidR="00D05D99">
        <w:t>explore the exchange of</w:t>
      </w:r>
      <w:r w:rsidR="007D7914">
        <w:t xml:space="preserve"> </w:t>
      </w:r>
      <w:r w:rsidR="00CC4678">
        <w:t xml:space="preserve">other </w:t>
      </w:r>
      <w:r w:rsidR="007D7914">
        <w:t>electronic certificates through the hub</w:t>
      </w:r>
      <w:r w:rsidR="00CC4678">
        <w:t xml:space="preserve"> with benefits to IPPC CPs from</w:t>
      </w:r>
      <w:r w:rsidR="007D7914">
        <w:t xml:space="preserve"> simplifying the process of exchange for countries, reducing operating </w:t>
      </w:r>
      <w:proofErr w:type="gramStart"/>
      <w:r w:rsidR="007D7914">
        <w:t>costs</w:t>
      </w:r>
      <w:proofErr w:type="gramEnd"/>
      <w:r w:rsidR="007D7914">
        <w:t xml:space="preserve"> through economies of scale and increasing the viability of the hub service. </w:t>
      </w:r>
    </w:p>
    <w:p w:rsidR="007D7914" w:rsidRDefault="00507A67" w:rsidP="00507A67">
      <w:pPr>
        <w:pStyle w:val="IPPParagraphnumbering"/>
        <w:numPr>
          <w:ilvl w:val="0"/>
          <w:numId w:val="21"/>
        </w:numPr>
        <w:ind w:left="180" w:hanging="270"/>
      </w:pPr>
      <w:r>
        <w:t xml:space="preserve"> </w:t>
      </w:r>
      <w:bookmarkStart w:id="0" w:name="_GoBack"/>
      <w:bookmarkEnd w:id="0"/>
      <w:r w:rsidR="00013E6E">
        <w:t>As countries implement</w:t>
      </w:r>
      <w:r w:rsidR="007D7914">
        <w:t xml:space="preserve"> single windows </w:t>
      </w:r>
      <w:r w:rsidR="00CC4678">
        <w:t>and adopt paperless trading mechanisms</w:t>
      </w:r>
      <w:r w:rsidR="00013E6E">
        <w:t xml:space="preserve">, the alignment of the data of </w:t>
      </w:r>
      <w:proofErr w:type="spellStart"/>
      <w:r w:rsidR="00013E6E">
        <w:t>ePhytos</w:t>
      </w:r>
      <w:proofErr w:type="spellEnd"/>
      <w:r w:rsidR="00013E6E">
        <w:t xml:space="preserve"> </w:t>
      </w:r>
      <w:r w:rsidR="003A0476">
        <w:t>with</w:t>
      </w:r>
      <w:r w:rsidR="00013E6E">
        <w:t xml:space="preserve"> </w:t>
      </w:r>
      <w:r w:rsidR="002E5ADB">
        <w:t xml:space="preserve">the appropriate elements of the </w:t>
      </w:r>
      <w:r w:rsidR="00D05D99">
        <w:t xml:space="preserve">World Customs Organization </w:t>
      </w:r>
      <w:r w:rsidR="00013E6E">
        <w:t xml:space="preserve">data </w:t>
      </w:r>
      <w:r w:rsidR="00D05D99">
        <w:t xml:space="preserve">model </w:t>
      </w:r>
      <w:r w:rsidR="00013E6E">
        <w:t xml:space="preserve">should be determined. The Secretariat should </w:t>
      </w:r>
      <w:r w:rsidR="00CC4678">
        <w:t xml:space="preserve">proactively </w:t>
      </w:r>
      <w:r w:rsidR="00013E6E">
        <w:t xml:space="preserve">work with international organizations and with its </w:t>
      </w:r>
      <w:proofErr w:type="gramStart"/>
      <w:r w:rsidR="00013E6E">
        <w:t>contracting</w:t>
      </w:r>
      <w:proofErr w:type="gramEnd"/>
      <w:r w:rsidR="00013E6E">
        <w:t xml:space="preserve"> parties to undertake an analysis of alignment to allow countries to make informed decisions on how </w:t>
      </w:r>
      <w:proofErr w:type="spellStart"/>
      <w:r w:rsidR="00013E6E">
        <w:t>ePhyto</w:t>
      </w:r>
      <w:proofErr w:type="spellEnd"/>
      <w:r w:rsidR="00013E6E">
        <w:t xml:space="preserve"> can be used within single windows and Customs systems. </w:t>
      </w:r>
    </w:p>
    <w:p w:rsidR="00C677DE" w:rsidRDefault="00CC4678" w:rsidP="00C677DE">
      <w:pPr>
        <w:pStyle w:val="Subtitle"/>
        <w:rPr>
          <w:lang w:val="en-US"/>
        </w:rPr>
      </w:pPr>
      <w:r>
        <w:rPr>
          <w:lang w:val="en-US"/>
        </w:rPr>
        <w:t>Key</w:t>
      </w:r>
      <w:r w:rsidR="00C677DE">
        <w:rPr>
          <w:lang w:val="en-US"/>
        </w:rPr>
        <w:t xml:space="preserve"> results:</w:t>
      </w:r>
    </w:p>
    <w:p w:rsidR="00C677DE" w:rsidRDefault="00C677DE" w:rsidP="00786A64">
      <w:pPr>
        <w:pStyle w:val="IPPBullet1"/>
        <w:numPr>
          <w:ilvl w:val="0"/>
          <w:numId w:val="22"/>
        </w:numPr>
      </w:pPr>
      <w:r>
        <w:t xml:space="preserve">Communication and advocacy </w:t>
      </w:r>
      <w:r w:rsidR="000C7331">
        <w:t>program</w:t>
      </w:r>
      <w:r>
        <w:t xml:space="preserve"> developed, adopted by CPM</w:t>
      </w:r>
      <w:r w:rsidR="00CC4678">
        <w:t>-15, funded</w:t>
      </w:r>
      <w:r>
        <w:t xml:space="preserve"> and implemented</w:t>
      </w:r>
      <w:r w:rsidR="000C7331">
        <w:t>.</w:t>
      </w:r>
    </w:p>
    <w:p w:rsidR="007D7914" w:rsidRDefault="00CC4678" w:rsidP="00786A64">
      <w:pPr>
        <w:pStyle w:val="IPPBullet1"/>
        <w:numPr>
          <w:ilvl w:val="0"/>
          <w:numId w:val="22"/>
        </w:numPr>
      </w:pPr>
      <w:r>
        <w:t xml:space="preserve">Advisory </w:t>
      </w:r>
      <w:r w:rsidR="00F25865">
        <w:t xml:space="preserve">group on harmonization of </w:t>
      </w:r>
      <w:r w:rsidR="009539E9">
        <w:t>electronic documents</w:t>
      </w:r>
      <w:r w:rsidR="00B41648">
        <w:t xml:space="preserve"> </w:t>
      </w:r>
      <w:r>
        <w:t>established</w:t>
      </w:r>
      <w:r w:rsidR="00885302">
        <w:t xml:space="preserve"> by 2020</w:t>
      </w:r>
    </w:p>
    <w:p w:rsidR="009539E9" w:rsidRDefault="00CC4678" w:rsidP="00786A64">
      <w:pPr>
        <w:pStyle w:val="IPPBullet1"/>
        <w:numPr>
          <w:ilvl w:val="0"/>
          <w:numId w:val="22"/>
        </w:numPr>
      </w:pPr>
      <w:r>
        <w:t xml:space="preserve">Explore and test </w:t>
      </w:r>
      <w:r w:rsidR="007D7914">
        <w:t>the operation of other electronic certificates through the hub</w:t>
      </w:r>
      <w:r w:rsidR="009539E9">
        <w:t xml:space="preserve"> </w:t>
      </w:r>
      <w:r w:rsidR="00885302">
        <w:t>by 2021</w:t>
      </w:r>
    </w:p>
    <w:p w:rsidR="00013E6E" w:rsidRDefault="00013E6E" w:rsidP="00786A64">
      <w:pPr>
        <w:pStyle w:val="IPPBullet1"/>
        <w:numPr>
          <w:ilvl w:val="0"/>
          <w:numId w:val="22"/>
        </w:numPr>
      </w:pPr>
      <w:r>
        <w:t xml:space="preserve">Evaluation of the alignment of </w:t>
      </w:r>
      <w:proofErr w:type="spellStart"/>
      <w:r>
        <w:t>ePhyto</w:t>
      </w:r>
      <w:proofErr w:type="spellEnd"/>
      <w:r>
        <w:t xml:space="preserve"> to </w:t>
      </w:r>
      <w:r w:rsidR="00D05D99">
        <w:t>the Customs D</w:t>
      </w:r>
      <w:r>
        <w:t>ata</w:t>
      </w:r>
      <w:r w:rsidR="00D05D99">
        <w:t xml:space="preserve"> Model</w:t>
      </w:r>
      <w:r>
        <w:t xml:space="preserve"> completed</w:t>
      </w:r>
      <w:r w:rsidR="00885302">
        <w:t xml:space="preserve"> by 2020</w:t>
      </w:r>
      <w:r>
        <w:t>.</w:t>
      </w:r>
    </w:p>
    <w:p w:rsidR="00036B1A" w:rsidRPr="00036B1A" w:rsidRDefault="00036B1A" w:rsidP="00036B1A">
      <w:pPr>
        <w:rPr>
          <w:lang w:val="en-US"/>
        </w:rPr>
      </w:pPr>
    </w:p>
    <w:p w:rsidR="000C7331" w:rsidRPr="000C7331" w:rsidRDefault="000C7331" w:rsidP="000C7331">
      <w:pPr>
        <w:rPr>
          <w:lang w:val="en-US"/>
        </w:rPr>
      </w:pPr>
    </w:p>
    <w:p w:rsidR="00C677DE" w:rsidRDefault="00C677DE" w:rsidP="00C677DE">
      <w:pPr>
        <w:rPr>
          <w:lang w:val="en-US"/>
        </w:rPr>
      </w:pPr>
    </w:p>
    <w:p w:rsidR="00BB12BF" w:rsidRDefault="00BB12BF" w:rsidP="008B3038">
      <w:pPr>
        <w:rPr>
          <w:lang w:val="en-AU"/>
        </w:rPr>
      </w:pPr>
    </w:p>
    <w:p w:rsidR="001C4F58" w:rsidRPr="001C4F58" w:rsidRDefault="00B65F0F" w:rsidP="001C4F58">
      <w:r>
        <w:br w:type="page"/>
      </w:r>
    </w:p>
    <w:p w:rsidR="001C4F58" w:rsidRDefault="001C4F58" w:rsidP="001C4F58">
      <w:pPr>
        <w:pStyle w:val="Heading1"/>
        <w:sectPr w:rsidR="001C4F58" w:rsidSect="009A7BE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170" w:left="1440" w:header="706" w:footer="706" w:gutter="0"/>
          <w:cols w:space="708"/>
          <w:titlePg/>
          <w:docGrid w:linePitch="360"/>
        </w:sectPr>
      </w:pPr>
    </w:p>
    <w:p w:rsidR="001C4F58" w:rsidRDefault="001C4F58" w:rsidP="001C4F58">
      <w:pPr>
        <w:pStyle w:val="Heading1"/>
      </w:pPr>
      <w:r w:rsidRPr="001C4F58">
        <w:lastRenderedPageBreak/>
        <w:t>Annex 1 – Key milestones</w:t>
      </w:r>
      <w:r w:rsidR="00956EE4">
        <w:t xml:space="preserve"> </w:t>
      </w:r>
    </w:p>
    <w:p w:rsidR="00956EE4" w:rsidRPr="00956EE4" w:rsidRDefault="00956EE4" w:rsidP="002B24E7"/>
    <w:tbl>
      <w:tblPr>
        <w:tblStyle w:val="TableGrid"/>
        <w:tblW w:w="13765" w:type="dxa"/>
        <w:jc w:val="center"/>
        <w:tblLayout w:type="fixed"/>
        <w:tblLook w:val="04A0" w:firstRow="1" w:lastRow="0" w:firstColumn="1" w:lastColumn="0" w:noHBand="0" w:noVBand="1"/>
      </w:tblPr>
      <w:tblGrid>
        <w:gridCol w:w="2335"/>
        <w:gridCol w:w="2250"/>
        <w:gridCol w:w="2250"/>
        <w:gridCol w:w="2430"/>
        <w:gridCol w:w="2340"/>
        <w:gridCol w:w="2160"/>
      </w:tblGrid>
      <w:tr w:rsidR="00B65F0F" w:rsidRPr="00D364B9" w:rsidTr="005659D2">
        <w:trPr>
          <w:cantSplit/>
          <w:tblHeader/>
          <w:jc w:val="center"/>
        </w:trPr>
        <w:tc>
          <w:tcPr>
            <w:tcW w:w="2335" w:type="dxa"/>
          </w:tcPr>
          <w:p w:rsidR="00B65F0F" w:rsidRPr="005659D2" w:rsidRDefault="00956EE4" w:rsidP="00CC4678">
            <w:pPr>
              <w:rPr>
                <w:rFonts w:ascii="Arial" w:hAnsi="Arial" w:cs="Arial"/>
                <w:sz w:val="18"/>
                <w:szCs w:val="18"/>
              </w:rPr>
            </w:pPr>
            <w:r w:rsidRPr="005659D2">
              <w:rPr>
                <w:rFonts w:ascii="Arial" w:hAnsi="Arial" w:cs="Arial"/>
                <w:sz w:val="18"/>
                <w:szCs w:val="18"/>
              </w:rPr>
              <w:t>Agenda items</w:t>
            </w:r>
          </w:p>
        </w:tc>
        <w:tc>
          <w:tcPr>
            <w:tcW w:w="2250" w:type="dxa"/>
          </w:tcPr>
          <w:p w:rsidR="00BB12BF" w:rsidRPr="00D364B9" w:rsidRDefault="00BB12BF" w:rsidP="00CC4678">
            <w:pPr>
              <w:jc w:val="center"/>
              <w:rPr>
                <w:b/>
                <w:sz w:val="18"/>
                <w:szCs w:val="18"/>
              </w:rPr>
            </w:pPr>
            <w:r w:rsidRPr="00D364B9">
              <w:rPr>
                <w:b/>
                <w:sz w:val="18"/>
                <w:szCs w:val="18"/>
              </w:rPr>
              <w:t>2019</w:t>
            </w:r>
          </w:p>
        </w:tc>
        <w:tc>
          <w:tcPr>
            <w:tcW w:w="2250" w:type="dxa"/>
          </w:tcPr>
          <w:p w:rsidR="00BB12BF" w:rsidRPr="00D364B9" w:rsidRDefault="00BB12BF" w:rsidP="00CC4678">
            <w:pPr>
              <w:jc w:val="center"/>
              <w:rPr>
                <w:b/>
                <w:sz w:val="18"/>
                <w:szCs w:val="18"/>
              </w:rPr>
            </w:pPr>
            <w:r w:rsidRPr="00D364B9">
              <w:rPr>
                <w:b/>
                <w:sz w:val="18"/>
                <w:szCs w:val="18"/>
              </w:rPr>
              <w:t>2020</w:t>
            </w:r>
          </w:p>
        </w:tc>
        <w:tc>
          <w:tcPr>
            <w:tcW w:w="2430" w:type="dxa"/>
          </w:tcPr>
          <w:p w:rsidR="00BB12BF" w:rsidRPr="00D364B9" w:rsidRDefault="00BB12BF" w:rsidP="00CC4678">
            <w:pPr>
              <w:jc w:val="center"/>
              <w:rPr>
                <w:b/>
                <w:sz w:val="18"/>
                <w:szCs w:val="18"/>
              </w:rPr>
            </w:pPr>
            <w:r w:rsidRPr="00D364B9">
              <w:rPr>
                <w:b/>
                <w:sz w:val="18"/>
                <w:szCs w:val="18"/>
              </w:rPr>
              <w:t>2021</w:t>
            </w:r>
          </w:p>
        </w:tc>
        <w:tc>
          <w:tcPr>
            <w:tcW w:w="2340" w:type="dxa"/>
          </w:tcPr>
          <w:p w:rsidR="00BB12BF" w:rsidRPr="00D364B9" w:rsidRDefault="00BB12BF" w:rsidP="00CC4678">
            <w:pPr>
              <w:jc w:val="center"/>
              <w:rPr>
                <w:b/>
                <w:sz w:val="18"/>
                <w:szCs w:val="18"/>
              </w:rPr>
            </w:pPr>
            <w:r w:rsidRPr="00D364B9">
              <w:rPr>
                <w:b/>
                <w:sz w:val="18"/>
                <w:szCs w:val="18"/>
              </w:rPr>
              <w:t>2022</w:t>
            </w:r>
          </w:p>
        </w:tc>
        <w:tc>
          <w:tcPr>
            <w:tcW w:w="2160" w:type="dxa"/>
          </w:tcPr>
          <w:p w:rsidR="00BB12BF" w:rsidRPr="00D364B9" w:rsidRDefault="00BB12BF" w:rsidP="00CC4678">
            <w:pPr>
              <w:jc w:val="center"/>
              <w:rPr>
                <w:b/>
                <w:sz w:val="18"/>
                <w:szCs w:val="18"/>
              </w:rPr>
            </w:pPr>
            <w:r w:rsidRPr="00D364B9">
              <w:rPr>
                <w:b/>
                <w:sz w:val="18"/>
                <w:szCs w:val="18"/>
              </w:rPr>
              <w:t>2023</w:t>
            </w:r>
          </w:p>
        </w:tc>
      </w:tr>
      <w:tr w:rsidR="00B65F0F" w:rsidRPr="00D364B9" w:rsidTr="005659D2">
        <w:trPr>
          <w:cantSplit/>
          <w:jc w:val="center"/>
        </w:trPr>
        <w:tc>
          <w:tcPr>
            <w:tcW w:w="2335" w:type="dxa"/>
          </w:tcPr>
          <w:p w:rsidR="00BB12BF" w:rsidRPr="005659D2" w:rsidRDefault="00BB12BF" w:rsidP="00CC4678">
            <w:pPr>
              <w:rPr>
                <w:rFonts w:ascii="Arial" w:hAnsi="Arial" w:cs="Arial"/>
                <w:b/>
                <w:sz w:val="18"/>
                <w:szCs w:val="18"/>
              </w:rPr>
            </w:pPr>
            <w:r w:rsidRPr="005659D2">
              <w:rPr>
                <w:rFonts w:ascii="Arial" w:hAnsi="Arial" w:cs="Arial"/>
                <w:b/>
                <w:sz w:val="18"/>
                <w:szCs w:val="18"/>
              </w:rPr>
              <w:t>Governance</w:t>
            </w:r>
          </w:p>
          <w:p w:rsidR="00B65F0F" w:rsidRPr="005659D2" w:rsidRDefault="00B65F0F" w:rsidP="005659D2">
            <w:pPr>
              <w:rPr>
                <w:rFonts w:ascii="Arial" w:hAnsi="Arial" w:cs="Arial"/>
                <w:b/>
                <w:sz w:val="18"/>
                <w:szCs w:val="18"/>
              </w:rPr>
            </w:pPr>
          </w:p>
          <w:p w:rsidR="00B65F0F" w:rsidRPr="005659D2" w:rsidRDefault="00B65F0F" w:rsidP="00786A64">
            <w:pPr>
              <w:pStyle w:val="ListParagraph"/>
              <w:numPr>
                <w:ilvl w:val="0"/>
                <w:numId w:val="23"/>
              </w:numPr>
              <w:ind w:leftChars="0"/>
              <w:rPr>
                <w:rFonts w:ascii="Arial" w:hAnsi="Arial" w:cs="Arial"/>
                <w:sz w:val="18"/>
                <w:szCs w:val="18"/>
              </w:rPr>
            </w:pPr>
            <w:r w:rsidRPr="005659D2">
              <w:rPr>
                <w:rFonts w:ascii="Arial" w:hAnsi="Arial" w:cs="Arial"/>
                <w:sz w:val="18"/>
                <w:szCs w:val="18"/>
              </w:rPr>
              <w:t xml:space="preserve">Stable operation of the hub and GeNS </w:t>
            </w:r>
            <w:r w:rsidR="001C4F58" w:rsidRPr="005659D2">
              <w:rPr>
                <w:rFonts w:ascii="Arial" w:hAnsi="Arial" w:cs="Arial"/>
                <w:sz w:val="18"/>
                <w:szCs w:val="18"/>
              </w:rPr>
              <w:t xml:space="preserve">to allow implementation </w:t>
            </w:r>
            <w:r w:rsidRPr="005659D2">
              <w:rPr>
                <w:rFonts w:ascii="Arial" w:hAnsi="Arial" w:cs="Arial"/>
                <w:sz w:val="18"/>
                <w:szCs w:val="18"/>
              </w:rPr>
              <w:t>by contracting parties;</w:t>
            </w:r>
          </w:p>
          <w:p w:rsidR="00B65F0F" w:rsidRPr="005659D2" w:rsidRDefault="00B65F0F" w:rsidP="00786A64">
            <w:pPr>
              <w:pStyle w:val="ListParagraph"/>
              <w:numPr>
                <w:ilvl w:val="0"/>
                <w:numId w:val="23"/>
              </w:numPr>
              <w:ind w:leftChars="0"/>
              <w:rPr>
                <w:rFonts w:ascii="Arial" w:hAnsi="Arial" w:cs="Arial"/>
                <w:sz w:val="18"/>
                <w:szCs w:val="18"/>
              </w:rPr>
            </w:pPr>
            <w:r w:rsidRPr="005659D2">
              <w:rPr>
                <w:rFonts w:ascii="Arial" w:hAnsi="Arial" w:cs="Arial"/>
                <w:sz w:val="18"/>
                <w:szCs w:val="18"/>
              </w:rPr>
              <w:t>Monitoring and reporting on the performance of the solution;</w:t>
            </w:r>
          </w:p>
          <w:p w:rsidR="00B65F0F" w:rsidRPr="005659D2" w:rsidRDefault="00B65F0F" w:rsidP="00786A64">
            <w:pPr>
              <w:pStyle w:val="ListParagraph"/>
              <w:numPr>
                <w:ilvl w:val="0"/>
                <w:numId w:val="23"/>
              </w:numPr>
              <w:ind w:leftChars="0"/>
              <w:rPr>
                <w:rFonts w:ascii="Arial" w:hAnsi="Arial" w:cs="Arial"/>
                <w:sz w:val="18"/>
                <w:szCs w:val="18"/>
              </w:rPr>
            </w:pPr>
            <w:r w:rsidRPr="005659D2">
              <w:rPr>
                <w:rFonts w:ascii="Arial" w:hAnsi="Arial" w:cs="Arial"/>
                <w:sz w:val="18"/>
                <w:szCs w:val="18"/>
              </w:rPr>
              <w:t>Monitoring and re</w:t>
            </w:r>
            <w:r w:rsidR="000314D7" w:rsidRPr="005659D2">
              <w:rPr>
                <w:rFonts w:ascii="Arial" w:hAnsi="Arial" w:cs="Arial"/>
                <w:sz w:val="18"/>
                <w:szCs w:val="18"/>
              </w:rPr>
              <w:t>porting on financial management</w:t>
            </w:r>
          </w:p>
          <w:p w:rsidR="00B65F0F" w:rsidRPr="005659D2" w:rsidRDefault="00B65F0F" w:rsidP="00CC4678">
            <w:pPr>
              <w:rPr>
                <w:rFonts w:ascii="Arial" w:hAnsi="Arial" w:cs="Arial"/>
                <w:b/>
                <w:sz w:val="18"/>
                <w:szCs w:val="18"/>
              </w:rPr>
            </w:pPr>
          </w:p>
        </w:tc>
        <w:tc>
          <w:tcPr>
            <w:tcW w:w="2250" w:type="dxa"/>
          </w:tcPr>
          <w:p w:rsidR="001C4F58" w:rsidRPr="005659D2" w:rsidRDefault="001C4F58"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CPM endorsement of strategic plan,  </w:t>
            </w:r>
          </w:p>
          <w:p w:rsidR="001C4F58" w:rsidRPr="005659D2" w:rsidRDefault="001C4F58"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Establishment  and implementation of strategic plan</w:t>
            </w:r>
          </w:p>
          <w:p w:rsidR="001C4F58"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IPPC operations unit established </w:t>
            </w:r>
          </w:p>
          <w:p w:rsidR="00BB12BF"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Conduct review of UNICC-IPPC contract</w:t>
            </w:r>
          </w:p>
        </w:tc>
        <w:tc>
          <w:tcPr>
            <w:tcW w:w="2250" w:type="dxa"/>
          </w:tcPr>
          <w:p w:rsidR="00BB12BF" w:rsidRPr="005659D2" w:rsidRDefault="00BB12BF" w:rsidP="00786A64">
            <w:pPr>
              <w:pStyle w:val="ListParagraph"/>
              <w:numPr>
                <w:ilvl w:val="0"/>
                <w:numId w:val="25"/>
              </w:numPr>
              <w:spacing w:after="60"/>
              <w:ind w:leftChars="0" w:left="522" w:hanging="162"/>
              <w:rPr>
                <w:rFonts w:ascii="Arial" w:hAnsi="Arial" w:cs="Arial"/>
                <w:sz w:val="18"/>
                <w:szCs w:val="18"/>
              </w:rPr>
            </w:pPr>
            <w:r w:rsidRPr="005659D2">
              <w:rPr>
                <w:rFonts w:ascii="Arial" w:hAnsi="Arial" w:cs="Arial"/>
                <w:sz w:val="18"/>
                <w:szCs w:val="18"/>
              </w:rPr>
              <w:t>Annual program report (including financial and operational assessment) presented to CPM</w:t>
            </w:r>
          </w:p>
        </w:tc>
        <w:tc>
          <w:tcPr>
            <w:tcW w:w="2430" w:type="dxa"/>
          </w:tcPr>
          <w:p w:rsidR="00BB12BF" w:rsidRPr="005659D2" w:rsidRDefault="00BB12BF" w:rsidP="00786A64">
            <w:pPr>
              <w:pStyle w:val="ListParagraph"/>
              <w:numPr>
                <w:ilvl w:val="0"/>
                <w:numId w:val="26"/>
              </w:numPr>
              <w:spacing w:after="60"/>
              <w:ind w:leftChars="0" w:left="522" w:hanging="162"/>
              <w:rPr>
                <w:rFonts w:ascii="Arial" w:hAnsi="Arial" w:cs="Arial"/>
                <w:sz w:val="18"/>
                <w:szCs w:val="18"/>
              </w:rPr>
            </w:pPr>
            <w:r w:rsidRPr="005659D2">
              <w:rPr>
                <w:rFonts w:ascii="Arial" w:hAnsi="Arial" w:cs="Arial"/>
                <w:sz w:val="18"/>
                <w:szCs w:val="18"/>
              </w:rPr>
              <w:t>Annual program report (including financial and operational assessment) presented to CPM</w:t>
            </w:r>
          </w:p>
          <w:p w:rsidR="00BB12BF" w:rsidRPr="005659D2" w:rsidRDefault="00BB12BF" w:rsidP="00786A64">
            <w:pPr>
              <w:pStyle w:val="ListParagraph"/>
              <w:numPr>
                <w:ilvl w:val="0"/>
                <w:numId w:val="26"/>
              </w:numPr>
              <w:spacing w:after="60"/>
              <w:ind w:leftChars="0" w:left="522" w:hanging="162"/>
              <w:rPr>
                <w:rFonts w:ascii="Arial" w:hAnsi="Arial" w:cs="Arial"/>
                <w:sz w:val="18"/>
                <w:szCs w:val="18"/>
              </w:rPr>
            </w:pPr>
            <w:r w:rsidRPr="005659D2">
              <w:rPr>
                <w:rFonts w:ascii="Arial" w:hAnsi="Arial" w:cs="Arial"/>
                <w:sz w:val="18"/>
                <w:szCs w:val="18"/>
              </w:rPr>
              <w:t>Contract with UNICC reviewed, updated and reconfirmed</w:t>
            </w:r>
          </w:p>
          <w:p w:rsidR="00BB12BF" w:rsidRPr="005659D2" w:rsidRDefault="00BB12BF" w:rsidP="00786A64">
            <w:pPr>
              <w:pStyle w:val="ListParagraph"/>
              <w:numPr>
                <w:ilvl w:val="0"/>
                <w:numId w:val="26"/>
              </w:numPr>
              <w:spacing w:after="60"/>
              <w:ind w:leftChars="0" w:left="522" w:hanging="162"/>
              <w:rPr>
                <w:rFonts w:ascii="Arial" w:hAnsi="Arial" w:cs="Arial"/>
                <w:sz w:val="18"/>
                <w:szCs w:val="18"/>
              </w:rPr>
            </w:pPr>
            <w:r w:rsidRPr="005659D2">
              <w:rPr>
                <w:rFonts w:ascii="Arial" w:hAnsi="Arial" w:cs="Arial"/>
                <w:sz w:val="18"/>
                <w:szCs w:val="18"/>
              </w:rPr>
              <w:t xml:space="preserve">Independent assessment of IPPC ePhyto Operations Units delivery of required services completed and presented to CPM </w:t>
            </w:r>
          </w:p>
        </w:tc>
        <w:tc>
          <w:tcPr>
            <w:tcW w:w="2340" w:type="dxa"/>
          </w:tcPr>
          <w:p w:rsidR="00BB12BF" w:rsidRPr="005659D2" w:rsidRDefault="00BB12BF" w:rsidP="00786A64">
            <w:pPr>
              <w:pStyle w:val="ListParagraph"/>
              <w:numPr>
                <w:ilvl w:val="0"/>
                <w:numId w:val="26"/>
              </w:numPr>
              <w:spacing w:after="60"/>
              <w:ind w:leftChars="0" w:left="522" w:hanging="162"/>
              <w:rPr>
                <w:rFonts w:ascii="Arial" w:hAnsi="Arial" w:cs="Arial"/>
                <w:sz w:val="18"/>
                <w:szCs w:val="18"/>
              </w:rPr>
            </w:pPr>
            <w:r w:rsidRPr="005659D2">
              <w:rPr>
                <w:rFonts w:ascii="Arial" w:hAnsi="Arial" w:cs="Arial"/>
                <w:sz w:val="18"/>
                <w:szCs w:val="18"/>
              </w:rPr>
              <w:t>Annual program report (including financial and operational assessment) presented to CPM</w:t>
            </w:r>
          </w:p>
          <w:p w:rsidR="00BB12BF" w:rsidRPr="005659D2" w:rsidRDefault="00BB12BF" w:rsidP="00786A64">
            <w:pPr>
              <w:pStyle w:val="ListParagraph"/>
              <w:numPr>
                <w:ilvl w:val="0"/>
                <w:numId w:val="26"/>
              </w:numPr>
              <w:spacing w:after="60"/>
              <w:ind w:leftChars="0" w:left="522" w:hanging="162"/>
              <w:rPr>
                <w:rFonts w:ascii="Arial" w:hAnsi="Arial" w:cs="Arial"/>
                <w:sz w:val="18"/>
                <w:szCs w:val="18"/>
              </w:rPr>
            </w:pPr>
            <w:r w:rsidRPr="005659D2">
              <w:rPr>
                <w:rFonts w:ascii="Arial" w:hAnsi="Arial" w:cs="Arial"/>
                <w:sz w:val="18"/>
                <w:szCs w:val="18"/>
              </w:rPr>
              <w:t xml:space="preserve">Mid-term evaluation of strategic plan </w:t>
            </w:r>
          </w:p>
        </w:tc>
        <w:tc>
          <w:tcPr>
            <w:tcW w:w="2160" w:type="dxa"/>
          </w:tcPr>
          <w:p w:rsidR="00BB12BF" w:rsidRPr="005659D2" w:rsidRDefault="00BB12BF" w:rsidP="00786A64">
            <w:pPr>
              <w:pStyle w:val="ListParagraph"/>
              <w:numPr>
                <w:ilvl w:val="0"/>
                <w:numId w:val="26"/>
              </w:numPr>
              <w:spacing w:after="60"/>
              <w:ind w:leftChars="0" w:left="522" w:hanging="162"/>
              <w:rPr>
                <w:rFonts w:ascii="Arial" w:hAnsi="Arial" w:cs="Arial"/>
                <w:sz w:val="18"/>
                <w:szCs w:val="18"/>
              </w:rPr>
            </w:pPr>
            <w:r w:rsidRPr="005659D2">
              <w:rPr>
                <w:rFonts w:ascii="Arial" w:hAnsi="Arial" w:cs="Arial"/>
                <w:sz w:val="18"/>
                <w:szCs w:val="18"/>
              </w:rPr>
              <w:t>Annual program report (including financial and operational assessment) presented to CPM</w:t>
            </w:r>
          </w:p>
          <w:p w:rsidR="00BB12BF" w:rsidRPr="005659D2" w:rsidRDefault="00BB12BF" w:rsidP="00786A64">
            <w:pPr>
              <w:pStyle w:val="ListParagraph"/>
              <w:numPr>
                <w:ilvl w:val="0"/>
                <w:numId w:val="26"/>
              </w:numPr>
              <w:spacing w:after="60"/>
              <w:ind w:leftChars="0" w:left="522" w:hanging="162"/>
              <w:rPr>
                <w:rFonts w:ascii="Arial" w:hAnsi="Arial" w:cs="Arial"/>
                <w:sz w:val="18"/>
                <w:szCs w:val="18"/>
              </w:rPr>
            </w:pPr>
            <w:r w:rsidRPr="005659D2">
              <w:rPr>
                <w:rFonts w:ascii="Arial" w:hAnsi="Arial" w:cs="Arial"/>
                <w:sz w:val="18"/>
                <w:szCs w:val="18"/>
              </w:rPr>
              <w:t>Contract with UNICC reviewed, updated and reconfirmed</w:t>
            </w:r>
          </w:p>
        </w:tc>
      </w:tr>
      <w:tr w:rsidR="00B65F0F" w:rsidRPr="00D364B9" w:rsidTr="005659D2">
        <w:trPr>
          <w:cantSplit/>
          <w:jc w:val="center"/>
        </w:trPr>
        <w:tc>
          <w:tcPr>
            <w:tcW w:w="2335" w:type="dxa"/>
          </w:tcPr>
          <w:p w:rsidR="00BB12BF" w:rsidRDefault="00BB12BF" w:rsidP="00CC4678">
            <w:pPr>
              <w:rPr>
                <w:b/>
                <w:sz w:val="18"/>
                <w:szCs w:val="18"/>
              </w:rPr>
            </w:pPr>
            <w:r w:rsidRPr="00D364B9">
              <w:rPr>
                <w:b/>
                <w:sz w:val="18"/>
                <w:szCs w:val="18"/>
              </w:rPr>
              <w:t>Operations</w:t>
            </w:r>
          </w:p>
          <w:p w:rsidR="00D94E61" w:rsidRDefault="00D94E61" w:rsidP="00CC4678">
            <w:pPr>
              <w:rPr>
                <w:b/>
                <w:sz w:val="18"/>
                <w:szCs w:val="18"/>
              </w:rPr>
            </w:pPr>
          </w:p>
          <w:p w:rsidR="00800CA3" w:rsidRPr="005659D2" w:rsidRDefault="00800CA3" w:rsidP="00786A64">
            <w:pPr>
              <w:pStyle w:val="ListParagraph"/>
              <w:numPr>
                <w:ilvl w:val="0"/>
                <w:numId w:val="27"/>
              </w:numPr>
              <w:ind w:leftChars="0"/>
              <w:rPr>
                <w:rFonts w:ascii="Arial" w:hAnsi="Arial" w:cs="Arial"/>
                <w:sz w:val="18"/>
                <w:szCs w:val="18"/>
              </w:rPr>
            </w:pPr>
            <w:r w:rsidRPr="005659D2">
              <w:rPr>
                <w:rFonts w:ascii="Arial" w:hAnsi="Arial" w:cs="Arial"/>
                <w:sz w:val="18"/>
                <w:szCs w:val="18"/>
              </w:rPr>
              <w:t>Stable operation of the hub and GeNS to permit imple</w:t>
            </w:r>
            <w:r w:rsidR="000314D7" w:rsidRPr="005659D2">
              <w:rPr>
                <w:rFonts w:ascii="Arial" w:hAnsi="Arial" w:cs="Arial"/>
                <w:sz w:val="18"/>
                <w:szCs w:val="18"/>
              </w:rPr>
              <w:t>mentation by contracting partie</w:t>
            </w:r>
            <w:r w:rsidR="002E5ADB" w:rsidRPr="005659D2">
              <w:rPr>
                <w:rFonts w:ascii="Arial" w:hAnsi="Arial" w:cs="Arial"/>
                <w:sz w:val="18"/>
                <w:szCs w:val="18"/>
              </w:rPr>
              <w:t>s</w:t>
            </w:r>
            <w:r w:rsidR="000314D7" w:rsidRPr="005659D2">
              <w:rPr>
                <w:rFonts w:ascii="Arial" w:hAnsi="Arial" w:cs="Arial"/>
                <w:sz w:val="18"/>
                <w:szCs w:val="18"/>
              </w:rPr>
              <w:t>;</w:t>
            </w:r>
          </w:p>
          <w:p w:rsidR="00D94E61" w:rsidRPr="00D364B9" w:rsidRDefault="00800CA3" w:rsidP="00786A64">
            <w:pPr>
              <w:pStyle w:val="ListParagraph"/>
              <w:numPr>
                <w:ilvl w:val="0"/>
                <w:numId w:val="27"/>
              </w:numPr>
              <w:ind w:leftChars="0"/>
            </w:pPr>
            <w:r w:rsidRPr="005659D2">
              <w:rPr>
                <w:rFonts w:ascii="Arial" w:hAnsi="Arial" w:cs="Arial"/>
                <w:sz w:val="18"/>
                <w:szCs w:val="18"/>
              </w:rPr>
              <w:t>Cost-benefit analys</w:t>
            </w:r>
            <w:r w:rsidR="000314D7" w:rsidRPr="005659D2">
              <w:rPr>
                <w:rFonts w:ascii="Arial" w:hAnsi="Arial" w:cs="Arial"/>
                <w:sz w:val="18"/>
                <w:szCs w:val="18"/>
              </w:rPr>
              <w:t>is</w:t>
            </w:r>
          </w:p>
        </w:tc>
        <w:tc>
          <w:tcPr>
            <w:tcW w:w="2250" w:type="dxa"/>
          </w:tcPr>
          <w:p w:rsidR="00BB12BF"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Hub &amp; GeNS fully operational</w:t>
            </w:r>
          </w:p>
          <w:p w:rsidR="00BB12BF" w:rsidRPr="005659D2" w:rsidRDefault="00DE3C91"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B</w:t>
            </w:r>
            <w:r w:rsidR="00BB12BF" w:rsidRPr="005659D2">
              <w:rPr>
                <w:rFonts w:ascii="Arial" w:hAnsi="Arial" w:cs="Arial"/>
                <w:sz w:val="18"/>
                <w:szCs w:val="18"/>
              </w:rPr>
              <w:t xml:space="preserve">usiness support help desk defined </w:t>
            </w:r>
          </w:p>
          <w:p w:rsidR="00BB12BF" w:rsidRPr="00D364B9" w:rsidRDefault="00BB12BF" w:rsidP="00786A64">
            <w:pPr>
              <w:pStyle w:val="ListParagraph"/>
              <w:numPr>
                <w:ilvl w:val="0"/>
                <w:numId w:val="24"/>
              </w:numPr>
              <w:spacing w:after="60"/>
              <w:ind w:leftChars="0" w:left="522" w:hanging="162"/>
              <w:rPr>
                <w:sz w:val="18"/>
                <w:szCs w:val="18"/>
              </w:rPr>
            </w:pPr>
            <w:r w:rsidRPr="005659D2">
              <w:rPr>
                <w:rFonts w:ascii="Arial" w:hAnsi="Arial" w:cs="Arial"/>
                <w:sz w:val="18"/>
                <w:szCs w:val="18"/>
              </w:rPr>
              <w:t>10 countries</w:t>
            </w:r>
            <w:r w:rsidR="000314D7" w:rsidRPr="005659D2">
              <w:rPr>
                <w:rFonts w:ascii="Arial" w:hAnsi="Arial" w:cs="Arial"/>
                <w:sz w:val="18"/>
                <w:szCs w:val="18"/>
              </w:rPr>
              <w:t xml:space="preserve"> </w:t>
            </w:r>
            <w:r w:rsidRPr="005659D2">
              <w:rPr>
                <w:rFonts w:ascii="Arial" w:hAnsi="Arial" w:cs="Arial"/>
                <w:sz w:val="18"/>
                <w:szCs w:val="18"/>
              </w:rPr>
              <w:t>in total connected to hub</w:t>
            </w:r>
            <w:r w:rsidR="000314D7" w:rsidRPr="005659D2">
              <w:rPr>
                <w:rFonts w:ascii="Arial" w:hAnsi="Arial" w:cs="Arial"/>
                <w:sz w:val="18"/>
                <w:szCs w:val="18"/>
              </w:rPr>
              <w:t xml:space="preserve"> using national systems</w:t>
            </w:r>
          </w:p>
        </w:tc>
        <w:tc>
          <w:tcPr>
            <w:tcW w:w="2250" w:type="dxa"/>
          </w:tcPr>
          <w:p w:rsidR="00BB12BF"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Systems operation and technical </w:t>
            </w:r>
            <w:r w:rsidR="000314D7" w:rsidRPr="005659D2">
              <w:rPr>
                <w:rFonts w:ascii="Arial" w:hAnsi="Arial" w:cs="Arial"/>
                <w:sz w:val="18"/>
                <w:szCs w:val="18"/>
              </w:rPr>
              <w:t>a</w:t>
            </w:r>
            <w:r w:rsidRPr="005659D2">
              <w:rPr>
                <w:rFonts w:ascii="Arial" w:hAnsi="Arial" w:cs="Arial"/>
                <w:sz w:val="18"/>
                <w:szCs w:val="18"/>
              </w:rPr>
              <w:t>ssessment completed</w:t>
            </w:r>
          </w:p>
          <w:p w:rsidR="00F25865" w:rsidRPr="005659D2" w:rsidRDefault="00F25865"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Contingency plan to deal with higher than anticipated uptake implemented</w:t>
            </w:r>
          </w:p>
          <w:p w:rsidR="00BB12BF"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Business support help desk established </w:t>
            </w:r>
          </w:p>
          <w:p w:rsidR="00BB12BF"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15 countries in total connected to hub</w:t>
            </w:r>
            <w:r w:rsidR="000314D7" w:rsidRPr="005659D2">
              <w:rPr>
                <w:rFonts w:ascii="Arial" w:hAnsi="Arial" w:cs="Arial"/>
                <w:sz w:val="18"/>
                <w:szCs w:val="18"/>
              </w:rPr>
              <w:t xml:space="preserve"> using national systems</w:t>
            </w:r>
          </w:p>
          <w:p w:rsidR="00BB12BF" w:rsidRPr="009D50CD" w:rsidRDefault="00BB12BF" w:rsidP="00786A64">
            <w:pPr>
              <w:pStyle w:val="ListParagraph"/>
              <w:numPr>
                <w:ilvl w:val="0"/>
                <w:numId w:val="24"/>
              </w:numPr>
              <w:spacing w:after="60"/>
              <w:ind w:leftChars="0" w:left="522" w:hanging="162"/>
              <w:rPr>
                <w:sz w:val="18"/>
                <w:szCs w:val="18"/>
              </w:rPr>
            </w:pPr>
            <w:r w:rsidRPr="005659D2">
              <w:rPr>
                <w:rFonts w:ascii="Arial" w:hAnsi="Arial" w:cs="Arial"/>
                <w:sz w:val="18"/>
                <w:szCs w:val="18"/>
              </w:rPr>
              <w:t>Continued work on harmonization of data</w:t>
            </w:r>
            <w:r w:rsidR="003A0476" w:rsidRPr="005659D2">
              <w:rPr>
                <w:rFonts w:ascii="Arial" w:hAnsi="Arial" w:cs="Arial"/>
                <w:sz w:val="18"/>
                <w:szCs w:val="18"/>
              </w:rPr>
              <w:t xml:space="preserve"> within the ePhyto (codes, etc.)</w:t>
            </w:r>
          </w:p>
        </w:tc>
        <w:tc>
          <w:tcPr>
            <w:tcW w:w="2430" w:type="dxa"/>
          </w:tcPr>
          <w:p w:rsidR="00BB12BF" w:rsidRPr="00D364B9" w:rsidRDefault="00BB12BF" w:rsidP="00786A64">
            <w:pPr>
              <w:pStyle w:val="ListParagraph"/>
              <w:numPr>
                <w:ilvl w:val="0"/>
                <w:numId w:val="24"/>
              </w:numPr>
              <w:spacing w:after="60"/>
              <w:ind w:leftChars="0" w:left="522" w:hanging="162"/>
              <w:rPr>
                <w:sz w:val="18"/>
                <w:szCs w:val="18"/>
              </w:rPr>
            </w:pPr>
            <w:r w:rsidRPr="005659D2">
              <w:rPr>
                <w:rFonts w:ascii="Arial" w:hAnsi="Arial" w:cs="Arial"/>
                <w:sz w:val="18"/>
                <w:szCs w:val="18"/>
              </w:rPr>
              <w:t xml:space="preserve">20 countries in total connected to hub </w:t>
            </w:r>
            <w:r w:rsidR="000314D7" w:rsidRPr="005659D2">
              <w:rPr>
                <w:rFonts w:ascii="Arial" w:hAnsi="Arial" w:cs="Arial"/>
                <w:sz w:val="18"/>
                <w:szCs w:val="18"/>
              </w:rPr>
              <w:t>using national systems</w:t>
            </w:r>
          </w:p>
        </w:tc>
        <w:tc>
          <w:tcPr>
            <w:tcW w:w="2340" w:type="dxa"/>
          </w:tcPr>
          <w:p w:rsidR="00BB12BF" w:rsidRPr="00D364B9" w:rsidRDefault="00BB12BF" w:rsidP="00786A64">
            <w:pPr>
              <w:pStyle w:val="ListParagraph"/>
              <w:numPr>
                <w:ilvl w:val="0"/>
                <w:numId w:val="24"/>
              </w:numPr>
              <w:spacing w:after="60"/>
              <w:ind w:leftChars="0" w:left="522" w:hanging="162"/>
              <w:rPr>
                <w:sz w:val="18"/>
                <w:szCs w:val="18"/>
              </w:rPr>
            </w:pPr>
            <w:r w:rsidRPr="005659D2">
              <w:rPr>
                <w:rFonts w:ascii="Arial" w:hAnsi="Arial" w:cs="Arial"/>
                <w:sz w:val="18"/>
                <w:szCs w:val="18"/>
              </w:rPr>
              <w:t xml:space="preserve">25 countries in total connected to hub </w:t>
            </w:r>
            <w:r w:rsidR="000314D7" w:rsidRPr="005659D2">
              <w:rPr>
                <w:rFonts w:ascii="Arial" w:hAnsi="Arial" w:cs="Arial"/>
                <w:sz w:val="18"/>
                <w:szCs w:val="18"/>
              </w:rPr>
              <w:t>using national systems</w:t>
            </w:r>
          </w:p>
        </w:tc>
        <w:tc>
          <w:tcPr>
            <w:tcW w:w="2160" w:type="dxa"/>
          </w:tcPr>
          <w:p w:rsidR="00BB12BF"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Systems operation and technical assessment completed</w:t>
            </w:r>
          </w:p>
          <w:p w:rsidR="00BB12BF"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30 countries in total connected to hub </w:t>
            </w:r>
            <w:r w:rsidR="000314D7" w:rsidRPr="005659D2">
              <w:rPr>
                <w:rFonts w:ascii="Arial" w:hAnsi="Arial" w:cs="Arial"/>
                <w:sz w:val="18"/>
                <w:szCs w:val="18"/>
              </w:rPr>
              <w:t>using national systems</w:t>
            </w:r>
          </w:p>
          <w:p w:rsidR="00F434BC" w:rsidRPr="00D364B9" w:rsidRDefault="00F434BC" w:rsidP="00786A64">
            <w:pPr>
              <w:pStyle w:val="ListParagraph"/>
              <w:numPr>
                <w:ilvl w:val="0"/>
                <w:numId w:val="24"/>
              </w:numPr>
              <w:spacing w:after="60"/>
              <w:ind w:leftChars="0" w:left="522" w:hanging="162"/>
              <w:rPr>
                <w:sz w:val="18"/>
                <w:szCs w:val="18"/>
              </w:rPr>
            </w:pPr>
            <w:r w:rsidRPr="005659D2">
              <w:rPr>
                <w:rFonts w:ascii="Arial" w:hAnsi="Arial" w:cs="Arial"/>
                <w:sz w:val="18"/>
                <w:szCs w:val="18"/>
              </w:rPr>
              <w:t>Detailed satisfaction surveys completed</w:t>
            </w:r>
          </w:p>
        </w:tc>
      </w:tr>
      <w:tr w:rsidR="00B65F0F" w:rsidRPr="00D364B9" w:rsidTr="005659D2">
        <w:trPr>
          <w:cantSplit/>
          <w:jc w:val="center"/>
        </w:trPr>
        <w:tc>
          <w:tcPr>
            <w:tcW w:w="2335" w:type="dxa"/>
          </w:tcPr>
          <w:p w:rsidR="00BB12BF" w:rsidRDefault="00BB12BF" w:rsidP="00CC4678">
            <w:pPr>
              <w:rPr>
                <w:b/>
                <w:sz w:val="18"/>
                <w:szCs w:val="18"/>
              </w:rPr>
            </w:pPr>
            <w:r w:rsidRPr="00D364B9">
              <w:rPr>
                <w:b/>
                <w:sz w:val="18"/>
                <w:szCs w:val="18"/>
              </w:rPr>
              <w:t>Finances</w:t>
            </w:r>
          </w:p>
          <w:p w:rsidR="001950C5" w:rsidRDefault="001950C5" w:rsidP="00CC4678">
            <w:pPr>
              <w:rPr>
                <w:b/>
                <w:sz w:val="18"/>
                <w:szCs w:val="18"/>
              </w:rPr>
            </w:pPr>
          </w:p>
          <w:p w:rsidR="001950C5" w:rsidRPr="005659D2" w:rsidRDefault="001950C5" w:rsidP="00786A64">
            <w:pPr>
              <w:pStyle w:val="ListParagraph"/>
              <w:numPr>
                <w:ilvl w:val="0"/>
                <w:numId w:val="28"/>
              </w:numPr>
              <w:ind w:leftChars="0"/>
              <w:rPr>
                <w:rFonts w:ascii="Arial" w:hAnsi="Arial" w:cs="Arial"/>
                <w:sz w:val="18"/>
                <w:szCs w:val="18"/>
              </w:rPr>
            </w:pPr>
            <w:r w:rsidRPr="005659D2">
              <w:rPr>
                <w:rFonts w:ascii="Arial" w:hAnsi="Arial" w:cs="Arial"/>
                <w:sz w:val="18"/>
                <w:szCs w:val="18"/>
              </w:rPr>
              <w:t>Sustainable financial operation based upon a coherent donor strategy</w:t>
            </w:r>
          </w:p>
          <w:p w:rsidR="001950C5" w:rsidRPr="005659D2" w:rsidRDefault="001950C5" w:rsidP="00786A64">
            <w:pPr>
              <w:pStyle w:val="ListParagraph"/>
              <w:numPr>
                <w:ilvl w:val="0"/>
                <w:numId w:val="28"/>
              </w:numPr>
              <w:ind w:leftChars="0"/>
              <w:rPr>
                <w:rFonts w:ascii="Arial" w:hAnsi="Arial" w:cs="Arial"/>
                <w:sz w:val="18"/>
                <w:szCs w:val="18"/>
              </w:rPr>
            </w:pPr>
            <w:r w:rsidRPr="005659D2">
              <w:rPr>
                <w:rFonts w:ascii="Arial" w:hAnsi="Arial" w:cs="Arial"/>
                <w:sz w:val="18"/>
                <w:szCs w:val="18"/>
              </w:rPr>
              <w:t>Monitoring and reporting on financial management</w:t>
            </w:r>
          </w:p>
          <w:p w:rsidR="001950C5" w:rsidRPr="005659D2" w:rsidRDefault="001950C5" w:rsidP="00786A64">
            <w:pPr>
              <w:pStyle w:val="ListParagraph"/>
              <w:numPr>
                <w:ilvl w:val="0"/>
                <w:numId w:val="28"/>
              </w:numPr>
              <w:ind w:leftChars="0"/>
              <w:rPr>
                <w:rFonts w:ascii="Arial" w:hAnsi="Arial" w:cs="Arial"/>
                <w:sz w:val="18"/>
                <w:szCs w:val="18"/>
              </w:rPr>
            </w:pPr>
            <w:r w:rsidRPr="005659D2">
              <w:rPr>
                <w:rFonts w:ascii="Arial" w:hAnsi="Arial" w:cs="Arial"/>
                <w:sz w:val="18"/>
                <w:szCs w:val="18"/>
              </w:rPr>
              <w:t>Cost-benefit analysis</w:t>
            </w:r>
          </w:p>
          <w:p w:rsidR="001950C5" w:rsidRPr="001950C5" w:rsidRDefault="001950C5" w:rsidP="00786A64">
            <w:pPr>
              <w:pStyle w:val="ListParagraph"/>
              <w:numPr>
                <w:ilvl w:val="0"/>
                <w:numId w:val="28"/>
              </w:numPr>
              <w:ind w:leftChars="0"/>
              <w:rPr>
                <w:b/>
                <w:sz w:val="18"/>
                <w:szCs w:val="18"/>
              </w:rPr>
            </w:pPr>
            <w:r w:rsidRPr="005659D2">
              <w:rPr>
                <w:rFonts w:ascii="Arial" w:hAnsi="Arial" w:cs="Arial"/>
                <w:sz w:val="18"/>
                <w:szCs w:val="18"/>
              </w:rPr>
              <w:t>Long term cost recovery plan to maintain ongoing operation</w:t>
            </w:r>
          </w:p>
        </w:tc>
        <w:tc>
          <w:tcPr>
            <w:tcW w:w="2250" w:type="dxa"/>
          </w:tcPr>
          <w:p w:rsidR="001950C5"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Detailed report of costing of operational components (Hub, GeNS, enhancements, administration, advocacy) provided to CPM Bureau </w:t>
            </w:r>
          </w:p>
          <w:p w:rsidR="00BB12BF" w:rsidRPr="005659D2" w:rsidRDefault="002E5ADB"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Separate and distinct accounting systems for 1) Operation of the Solution and 2) capacity development </w:t>
            </w:r>
            <w:r w:rsidR="00BB12BF" w:rsidRPr="005659D2">
              <w:rPr>
                <w:rFonts w:ascii="Arial" w:hAnsi="Arial" w:cs="Arial"/>
                <w:sz w:val="18"/>
                <w:szCs w:val="18"/>
              </w:rPr>
              <w:t xml:space="preserve">established </w:t>
            </w:r>
          </w:p>
          <w:p w:rsidR="00BB12BF"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Donor funding </w:t>
            </w:r>
            <w:r w:rsidR="00F434BC" w:rsidRPr="005659D2">
              <w:rPr>
                <w:rFonts w:ascii="Arial" w:hAnsi="Arial" w:cs="Arial"/>
                <w:sz w:val="18"/>
                <w:szCs w:val="18"/>
              </w:rPr>
              <w:t xml:space="preserve">strategy </w:t>
            </w:r>
            <w:r w:rsidRPr="005659D2">
              <w:rPr>
                <w:rFonts w:ascii="Arial" w:hAnsi="Arial" w:cs="Arial"/>
                <w:sz w:val="18"/>
                <w:szCs w:val="18"/>
              </w:rPr>
              <w:t xml:space="preserve"> for operation and administration of Hub and GeNS approved by CPM </w:t>
            </w:r>
          </w:p>
          <w:p w:rsidR="00BB12BF" w:rsidRPr="005659D2" w:rsidRDefault="001950C5" w:rsidP="00786A64">
            <w:pPr>
              <w:pStyle w:val="ListParagraph"/>
              <w:numPr>
                <w:ilvl w:val="0"/>
                <w:numId w:val="1"/>
              </w:numPr>
              <w:spacing w:after="60"/>
              <w:ind w:left="1240"/>
              <w:rPr>
                <w:rFonts w:ascii="Arial" w:hAnsi="Arial" w:cs="Arial"/>
                <w:sz w:val="18"/>
                <w:szCs w:val="18"/>
              </w:rPr>
            </w:pPr>
            <w:r w:rsidRPr="005659D2">
              <w:rPr>
                <w:rFonts w:ascii="Arial" w:hAnsi="Arial" w:cs="Arial"/>
                <w:sz w:val="18"/>
                <w:szCs w:val="18"/>
              </w:rPr>
              <w:t>Cost-b</w:t>
            </w:r>
            <w:r w:rsidR="00BB12BF" w:rsidRPr="005659D2">
              <w:rPr>
                <w:rFonts w:ascii="Arial" w:hAnsi="Arial" w:cs="Arial"/>
                <w:sz w:val="18"/>
                <w:szCs w:val="18"/>
              </w:rPr>
              <w:t xml:space="preserve">enefits analysis </w:t>
            </w:r>
            <w:r w:rsidR="002E5ADB" w:rsidRPr="005659D2">
              <w:rPr>
                <w:rFonts w:ascii="Arial" w:hAnsi="Arial" w:cs="Arial"/>
                <w:sz w:val="18"/>
                <w:szCs w:val="18"/>
              </w:rPr>
              <w:t>initiated</w:t>
            </w:r>
          </w:p>
          <w:p w:rsidR="00F434BC"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At least 5 donor c</w:t>
            </w:r>
            <w:r w:rsidR="00F434BC" w:rsidRPr="005659D2">
              <w:rPr>
                <w:rFonts w:ascii="Arial" w:hAnsi="Arial" w:cs="Arial"/>
                <w:sz w:val="18"/>
                <w:szCs w:val="18"/>
              </w:rPr>
              <w:t xml:space="preserve">ountries supporting operations </w:t>
            </w:r>
          </w:p>
          <w:p w:rsidR="00BB12BF" w:rsidRPr="005659D2" w:rsidRDefault="00F434BC"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Cost/benefit analysis of the government and industry processes completed </w:t>
            </w:r>
          </w:p>
        </w:tc>
        <w:tc>
          <w:tcPr>
            <w:tcW w:w="2250" w:type="dxa"/>
          </w:tcPr>
          <w:p w:rsidR="00BB12BF"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At least 5 donor countries supporting operations  </w:t>
            </w:r>
          </w:p>
          <w:p w:rsidR="00BB12BF"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Analysis of potential options for long term funding based upon existing modelling work.</w:t>
            </w:r>
          </w:p>
        </w:tc>
        <w:tc>
          <w:tcPr>
            <w:tcW w:w="2430" w:type="dxa"/>
          </w:tcPr>
          <w:p w:rsidR="001950C5"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At least 5 donor countries supporting operations  </w:t>
            </w:r>
          </w:p>
          <w:p w:rsidR="00BB12BF" w:rsidRPr="005659D2" w:rsidRDefault="00BB12BF" w:rsidP="00786A64">
            <w:pPr>
              <w:pStyle w:val="ListParagraph"/>
              <w:numPr>
                <w:ilvl w:val="0"/>
                <w:numId w:val="24"/>
              </w:numPr>
              <w:spacing w:after="60"/>
              <w:ind w:leftChars="0" w:left="522" w:hanging="162"/>
              <w:rPr>
                <w:rFonts w:ascii="Arial" w:hAnsi="Arial" w:cs="Arial"/>
                <w:sz w:val="18"/>
                <w:szCs w:val="18"/>
              </w:rPr>
            </w:pPr>
            <w:r w:rsidRPr="005659D2" w:rsidDel="00CA49A1">
              <w:rPr>
                <w:rFonts w:ascii="Arial" w:hAnsi="Arial" w:cs="Arial"/>
                <w:sz w:val="18"/>
                <w:szCs w:val="18"/>
              </w:rPr>
              <w:t xml:space="preserve"> </w:t>
            </w:r>
            <w:r w:rsidRPr="005659D2">
              <w:rPr>
                <w:rFonts w:ascii="Arial" w:hAnsi="Arial" w:cs="Arial"/>
                <w:sz w:val="18"/>
                <w:szCs w:val="18"/>
              </w:rPr>
              <w:t xml:space="preserve">Options for long-term (beyond 2023) funding and fund management presented to CPM-16  </w:t>
            </w:r>
          </w:p>
        </w:tc>
        <w:tc>
          <w:tcPr>
            <w:tcW w:w="2340" w:type="dxa"/>
          </w:tcPr>
          <w:p w:rsidR="00BB12BF"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Long term funding model and fund management </w:t>
            </w:r>
            <w:r w:rsidR="00F434BC" w:rsidRPr="005659D2">
              <w:rPr>
                <w:rFonts w:ascii="Arial" w:hAnsi="Arial" w:cs="Arial"/>
                <w:sz w:val="18"/>
                <w:szCs w:val="18"/>
              </w:rPr>
              <w:t>defined</w:t>
            </w:r>
          </w:p>
        </w:tc>
        <w:tc>
          <w:tcPr>
            <w:tcW w:w="2160" w:type="dxa"/>
          </w:tcPr>
          <w:p w:rsidR="00BB12BF" w:rsidRPr="005659D2" w:rsidRDefault="00F434BC" w:rsidP="00786A64">
            <w:pPr>
              <w:numPr>
                <w:ilvl w:val="0"/>
                <w:numId w:val="24"/>
              </w:numPr>
              <w:spacing w:after="60"/>
              <w:ind w:left="522" w:hanging="162"/>
              <w:rPr>
                <w:rFonts w:ascii="Arial" w:eastAsia="Times New Roman" w:hAnsi="Arial" w:cs="Arial"/>
                <w:sz w:val="18"/>
                <w:szCs w:val="18"/>
                <w:lang w:val="nl-NL" w:eastAsia="nl-NL"/>
              </w:rPr>
            </w:pPr>
            <w:r w:rsidRPr="005659D2">
              <w:rPr>
                <w:rFonts w:ascii="Arial" w:eastAsia="Times New Roman" w:hAnsi="Arial" w:cs="Arial"/>
                <w:sz w:val="18"/>
                <w:szCs w:val="18"/>
                <w:lang w:val="nl-NL" w:eastAsia="nl-NL"/>
              </w:rPr>
              <w:t>Long term funding model and fund management presented to CPM and implemented</w:t>
            </w:r>
          </w:p>
        </w:tc>
      </w:tr>
      <w:tr w:rsidR="000314D7" w:rsidRPr="00D364B9" w:rsidTr="005659D2">
        <w:trPr>
          <w:cantSplit/>
          <w:jc w:val="center"/>
        </w:trPr>
        <w:tc>
          <w:tcPr>
            <w:tcW w:w="2335" w:type="dxa"/>
          </w:tcPr>
          <w:p w:rsidR="000314D7" w:rsidRDefault="000314D7" w:rsidP="00CC4678">
            <w:pPr>
              <w:rPr>
                <w:b/>
                <w:sz w:val="18"/>
                <w:szCs w:val="18"/>
              </w:rPr>
            </w:pPr>
            <w:r w:rsidRPr="00D364B9">
              <w:rPr>
                <w:b/>
                <w:sz w:val="18"/>
                <w:szCs w:val="18"/>
              </w:rPr>
              <w:t>Country Implementation</w:t>
            </w:r>
          </w:p>
          <w:p w:rsidR="00F027FA" w:rsidRDefault="00F027FA" w:rsidP="00CC4678">
            <w:pPr>
              <w:rPr>
                <w:b/>
                <w:sz w:val="18"/>
                <w:szCs w:val="18"/>
              </w:rPr>
            </w:pPr>
          </w:p>
          <w:p w:rsidR="00F027FA" w:rsidRPr="005659D2" w:rsidRDefault="00F027FA" w:rsidP="00786A64">
            <w:pPr>
              <w:pStyle w:val="ListParagraph"/>
              <w:numPr>
                <w:ilvl w:val="0"/>
                <w:numId w:val="29"/>
              </w:numPr>
              <w:ind w:leftChars="0"/>
              <w:rPr>
                <w:rFonts w:ascii="Arial" w:hAnsi="Arial" w:cs="Arial"/>
                <w:sz w:val="18"/>
                <w:szCs w:val="18"/>
              </w:rPr>
            </w:pPr>
            <w:r w:rsidRPr="005659D2">
              <w:rPr>
                <w:rFonts w:ascii="Arial" w:hAnsi="Arial" w:cs="Arial"/>
                <w:sz w:val="18"/>
                <w:szCs w:val="18"/>
              </w:rPr>
              <w:t xml:space="preserve">Stable operation of the hub and </w:t>
            </w:r>
            <w:proofErr w:type="spellStart"/>
            <w:r w:rsidRPr="005659D2">
              <w:rPr>
                <w:rFonts w:ascii="Arial" w:hAnsi="Arial" w:cs="Arial"/>
                <w:sz w:val="18"/>
                <w:szCs w:val="18"/>
              </w:rPr>
              <w:t>GeNS</w:t>
            </w:r>
            <w:proofErr w:type="spellEnd"/>
            <w:r w:rsidRPr="005659D2">
              <w:rPr>
                <w:rFonts w:ascii="Arial" w:hAnsi="Arial" w:cs="Arial"/>
                <w:sz w:val="18"/>
                <w:szCs w:val="18"/>
              </w:rPr>
              <w:t xml:space="preserve"> to permit implementation by contracting parties</w:t>
            </w:r>
          </w:p>
          <w:p w:rsidR="00F027FA" w:rsidRPr="00F027FA" w:rsidRDefault="00F027FA" w:rsidP="00786A64">
            <w:pPr>
              <w:pStyle w:val="ListParagraph"/>
              <w:numPr>
                <w:ilvl w:val="0"/>
                <w:numId w:val="29"/>
              </w:numPr>
              <w:ind w:leftChars="0"/>
              <w:rPr>
                <w:b/>
                <w:sz w:val="18"/>
                <w:szCs w:val="18"/>
              </w:rPr>
            </w:pPr>
            <w:r w:rsidRPr="005659D2">
              <w:rPr>
                <w:rFonts w:ascii="Arial" w:hAnsi="Arial" w:cs="Arial"/>
                <w:sz w:val="18"/>
                <w:szCs w:val="18"/>
              </w:rPr>
              <w:t>Fully-funded capacity development strategy</w:t>
            </w:r>
          </w:p>
        </w:tc>
        <w:tc>
          <w:tcPr>
            <w:tcW w:w="2250" w:type="dxa"/>
          </w:tcPr>
          <w:p w:rsidR="00F027FA"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Establish and implement capacity development and country implementation strategy </w:t>
            </w:r>
          </w:p>
          <w:p w:rsidR="00111A07" w:rsidRPr="005659D2" w:rsidRDefault="00F434BC"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Capacity development strategy established in partnership with World Bank</w:t>
            </w:r>
          </w:p>
          <w:p w:rsidR="000314D7"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Training tools for advocacy and implementation (e.g. self-assessment modules, etc.) established </w:t>
            </w:r>
          </w:p>
        </w:tc>
        <w:tc>
          <w:tcPr>
            <w:tcW w:w="2250" w:type="dxa"/>
          </w:tcPr>
          <w:p w:rsidR="000314D7"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At least 10 countries using the </w:t>
            </w:r>
            <w:proofErr w:type="spellStart"/>
            <w:r w:rsidRPr="005659D2">
              <w:rPr>
                <w:rFonts w:ascii="Arial" w:hAnsi="Arial" w:cs="Arial"/>
                <w:sz w:val="18"/>
                <w:szCs w:val="18"/>
              </w:rPr>
              <w:t>GeNS</w:t>
            </w:r>
            <w:proofErr w:type="spellEnd"/>
          </w:p>
          <w:p w:rsidR="000314D7"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At least 5 donors support capacity development</w:t>
            </w:r>
            <w:r w:rsidR="002E5ADB" w:rsidRPr="005659D2">
              <w:rPr>
                <w:rFonts w:ascii="Arial" w:hAnsi="Arial" w:cs="Arial"/>
                <w:sz w:val="18"/>
                <w:szCs w:val="18"/>
              </w:rPr>
              <w:t xml:space="preserve"> either through the IPPC or World Bank</w:t>
            </w:r>
            <w:r w:rsidRPr="005659D2">
              <w:rPr>
                <w:rFonts w:ascii="Arial" w:hAnsi="Arial" w:cs="Arial"/>
                <w:sz w:val="18"/>
                <w:szCs w:val="18"/>
              </w:rPr>
              <w:t xml:space="preserve"> </w:t>
            </w:r>
          </w:p>
          <w:p w:rsidR="000314D7"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Uptake/effectiveness of training tools evaluated and reported to CPM </w:t>
            </w:r>
          </w:p>
          <w:p w:rsidR="000314D7"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International symposium on </w:t>
            </w:r>
            <w:proofErr w:type="spellStart"/>
            <w:r w:rsidRPr="005659D2">
              <w:rPr>
                <w:rFonts w:ascii="Arial" w:hAnsi="Arial" w:cs="Arial"/>
                <w:sz w:val="18"/>
                <w:szCs w:val="18"/>
              </w:rPr>
              <w:t>ePhyto</w:t>
            </w:r>
            <w:proofErr w:type="spellEnd"/>
            <w:r w:rsidRPr="005659D2">
              <w:rPr>
                <w:rFonts w:ascii="Arial" w:hAnsi="Arial" w:cs="Arial"/>
                <w:sz w:val="18"/>
                <w:szCs w:val="18"/>
              </w:rPr>
              <w:t xml:space="preserve"> completed </w:t>
            </w:r>
          </w:p>
        </w:tc>
        <w:tc>
          <w:tcPr>
            <w:tcW w:w="2430" w:type="dxa"/>
          </w:tcPr>
          <w:p w:rsidR="000314D7"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At least 20 countries using the </w:t>
            </w:r>
            <w:proofErr w:type="spellStart"/>
            <w:r w:rsidRPr="005659D2">
              <w:rPr>
                <w:rFonts w:ascii="Arial" w:hAnsi="Arial" w:cs="Arial"/>
                <w:sz w:val="18"/>
                <w:szCs w:val="18"/>
              </w:rPr>
              <w:t>GeNS</w:t>
            </w:r>
            <w:proofErr w:type="spellEnd"/>
          </w:p>
          <w:p w:rsidR="000314D7"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At least 10 donors to support capacity development </w:t>
            </w:r>
            <w:r w:rsidR="002E5ADB" w:rsidRPr="005659D2">
              <w:rPr>
                <w:rFonts w:ascii="Arial" w:hAnsi="Arial" w:cs="Arial"/>
                <w:sz w:val="18"/>
                <w:szCs w:val="18"/>
              </w:rPr>
              <w:t xml:space="preserve">either through the IPPC or World Bank </w:t>
            </w:r>
          </w:p>
        </w:tc>
        <w:tc>
          <w:tcPr>
            <w:tcW w:w="2340" w:type="dxa"/>
          </w:tcPr>
          <w:p w:rsidR="000314D7"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At least 10 donors to support capacity development </w:t>
            </w:r>
            <w:r w:rsidR="002E5ADB" w:rsidRPr="005659D2">
              <w:rPr>
                <w:rFonts w:ascii="Arial" w:hAnsi="Arial" w:cs="Arial"/>
                <w:sz w:val="18"/>
                <w:szCs w:val="18"/>
              </w:rPr>
              <w:t xml:space="preserve">either through the IPPC or World Bank </w:t>
            </w:r>
          </w:p>
          <w:p w:rsidR="000314D7"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Needs assessment for further global seminars or workshops conducted and reported to CPM</w:t>
            </w:r>
          </w:p>
        </w:tc>
        <w:tc>
          <w:tcPr>
            <w:tcW w:w="2160" w:type="dxa"/>
          </w:tcPr>
          <w:p w:rsidR="000314D7"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At least </w:t>
            </w:r>
            <w:r w:rsidR="004C7A81" w:rsidRPr="005659D2">
              <w:rPr>
                <w:rFonts w:ascii="Arial" w:hAnsi="Arial" w:cs="Arial"/>
                <w:sz w:val="18"/>
                <w:szCs w:val="18"/>
              </w:rPr>
              <w:t>30</w:t>
            </w:r>
            <w:r w:rsidRPr="005659D2">
              <w:rPr>
                <w:rFonts w:ascii="Arial" w:hAnsi="Arial" w:cs="Arial"/>
                <w:sz w:val="18"/>
                <w:szCs w:val="18"/>
              </w:rPr>
              <w:t xml:space="preserve"> countries using the </w:t>
            </w:r>
            <w:proofErr w:type="spellStart"/>
            <w:r w:rsidRPr="005659D2">
              <w:rPr>
                <w:rFonts w:ascii="Arial" w:hAnsi="Arial" w:cs="Arial"/>
                <w:sz w:val="18"/>
                <w:szCs w:val="18"/>
              </w:rPr>
              <w:t>GeNS</w:t>
            </w:r>
            <w:proofErr w:type="spellEnd"/>
          </w:p>
          <w:p w:rsidR="000314D7" w:rsidRPr="005659D2" w:rsidRDefault="000314D7" w:rsidP="00786A64">
            <w:pPr>
              <w:pStyle w:val="ListParagraph"/>
              <w:numPr>
                <w:ilvl w:val="0"/>
                <w:numId w:val="24"/>
              </w:numPr>
              <w:spacing w:after="60"/>
              <w:ind w:leftChars="0" w:left="522" w:hanging="162"/>
              <w:rPr>
                <w:rFonts w:ascii="Arial" w:hAnsi="Arial" w:cs="Arial"/>
                <w:sz w:val="18"/>
                <w:szCs w:val="18"/>
              </w:rPr>
            </w:pPr>
            <w:r w:rsidRPr="005659D2">
              <w:rPr>
                <w:rFonts w:ascii="Arial" w:hAnsi="Arial" w:cs="Arial"/>
                <w:sz w:val="18"/>
                <w:szCs w:val="18"/>
              </w:rPr>
              <w:t xml:space="preserve">At least 10 donors to support capacity development </w:t>
            </w:r>
            <w:r w:rsidR="002E5ADB" w:rsidRPr="005659D2">
              <w:rPr>
                <w:rFonts w:ascii="Arial" w:hAnsi="Arial" w:cs="Arial"/>
                <w:sz w:val="18"/>
                <w:szCs w:val="18"/>
              </w:rPr>
              <w:t xml:space="preserve">either through the IPPC or World Bank </w:t>
            </w:r>
          </w:p>
        </w:tc>
      </w:tr>
      <w:tr w:rsidR="000314D7" w:rsidRPr="00D364B9" w:rsidTr="005659D2">
        <w:trPr>
          <w:cantSplit/>
          <w:jc w:val="center"/>
        </w:trPr>
        <w:tc>
          <w:tcPr>
            <w:tcW w:w="2335" w:type="dxa"/>
          </w:tcPr>
          <w:p w:rsidR="000314D7" w:rsidRPr="00885302" w:rsidRDefault="000314D7" w:rsidP="00CC4678">
            <w:pPr>
              <w:rPr>
                <w:b/>
                <w:sz w:val="18"/>
                <w:szCs w:val="18"/>
              </w:rPr>
            </w:pPr>
            <w:r w:rsidRPr="00885302">
              <w:rPr>
                <w:b/>
                <w:sz w:val="18"/>
                <w:szCs w:val="18"/>
              </w:rPr>
              <w:t>Communication and international cooperation</w:t>
            </w:r>
          </w:p>
          <w:p w:rsidR="003A0476" w:rsidRPr="003A0476" w:rsidRDefault="003A0476" w:rsidP="00CC4678">
            <w:pPr>
              <w:rPr>
                <w:i/>
                <w:sz w:val="18"/>
                <w:szCs w:val="18"/>
              </w:rPr>
            </w:pPr>
          </w:p>
          <w:p w:rsidR="00885302" w:rsidRPr="0020157C" w:rsidRDefault="003A0476" w:rsidP="00786A64">
            <w:pPr>
              <w:pStyle w:val="ListParagraph"/>
              <w:numPr>
                <w:ilvl w:val="0"/>
                <w:numId w:val="30"/>
              </w:numPr>
              <w:ind w:leftChars="0"/>
              <w:rPr>
                <w:rFonts w:ascii="Arial" w:hAnsi="Arial" w:cs="Arial"/>
                <w:sz w:val="18"/>
                <w:szCs w:val="18"/>
              </w:rPr>
            </w:pPr>
            <w:r w:rsidRPr="0020157C">
              <w:rPr>
                <w:rFonts w:ascii="Arial" w:hAnsi="Arial" w:cs="Arial"/>
                <w:sz w:val="18"/>
                <w:szCs w:val="18"/>
              </w:rPr>
              <w:t>Communications and advocacy framework</w:t>
            </w:r>
          </w:p>
          <w:p w:rsidR="003A0476" w:rsidRPr="00885302" w:rsidRDefault="003A0476" w:rsidP="00786A64">
            <w:pPr>
              <w:pStyle w:val="ListParagraph"/>
              <w:numPr>
                <w:ilvl w:val="0"/>
                <w:numId w:val="30"/>
              </w:numPr>
              <w:ind w:leftChars="0"/>
              <w:rPr>
                <w:i/>
                <w:sz w:val="18"/>
                <w:szCs w:val="18"/>
                <w:lang w:val="en-AU"/>
              </w:rPr>
            </w:pPr>
            <w:r w:rsidRPr="0020157C">
              <w:rPr>
                <w:rFonts w:ascii="Arial" w:hAnsi="Arial" w:cs="Arial"/>
                <w:sz w:val="18"/>
                <w:szCs w:val="18"/>
              </w:rPr>
              <w:t>Cooperation with international and regional partners to advance inoperability and cost reduction</w:t>
            </w:r>
          </w:p>
        </w:tc>
        <w:tc>
          <w:tcPr>
            <w:tcW w:w="2250" w:type="dxa"/>
          </w:tcPr>
          <w:p w:rsidR="000314D7" w:rsidRPr="0020157C" w:rsidRDefault="000314D7" w:rsidP="00786A64">
            <w:pPr>
              <w:pStyle w:val="ListParagraph"/>
              <w:numPr>
                <w:ilvl w:val="0"/>
                <w:numId w:val="24"/>
              </w:numPr>
              <w:spacing w:after="60"/>
              <w:ind w:leftChars="0" w:left="522" w:hanging="162"/>
              <w:rPr>
                <w:rFonts w:ascii="Arial" w:hAnsi="Arial" w:cs="Arial"/>
                <w:sz w:val="18"/>
                <w:szCs w:val="18"/>
              </w:rPr>
            </w:pPr>
            <w:r w:rsidRPr="0020157C">
              <w:rPr>
                <w:rFonts w:ascii="Arial" w:hAnsi="Arial" w:cs="Arial"/>
                <w:sz w:val="18"/>
                <w:szCs w:val="18"/>
              </w:rPr>
              <w:t xml:space="preserve">RPPOs to provide country level training support </w:t>
            </w:r>
          </w:p>
          <w:p w:rsidR="000314D7" w:rsidRPr="0020157C" w:rsidRDefault="000314D7" w:rsidP="00786A64">
            <w:pPr>
              <w:pStyle w:val="ListParagraph"/>
              <w:numPr>
                <w:ilvl w:val="0"/>
                <w:numId w:val="24"/>
              </w:numPr>
              <w:spacing w:after="60"/>
              <w:ind w:leftChars="0" w:left="522" w:hanging="162"/>
              <w:rPr>
                <w:rFonts w:ascii="Arial" w:hAnsi="Arial" w:cs="Arial"/>
                <w:sz w:val="18"/>
                <w:szCs w:val="18"/>
              </w:rPr>
            </w:pPr>
            <w:r w:rsidRPr="0020157C">
              <w:rPr>
                <w:rFonts w:ascii="Arial" w:hAnsi="Arial" w:cs="Arial"/>
                <w:sz w:val="18"/>
                <w:szCs w:val="18"/>
              </w:rPr>
              <w:t>Advocacy and communication plan endorsed by CPM</w:t>
            </w:r>
          </w:p>
          <w:p w:rsidR="000314D7" w:rsidRPr="0020157C" w:rsidRDefault="000314D7" w:rsidP="00786A64">
            <w:pPr>
              <w:pStyle w:val="ListParagraph"/>
              <w:numPr>
                <w:ilvl w:val="0"/>
                <w:numId w:val="24"/>
              </w:numPr>
              <w:spacing w:after="60"/>
              <w:ind w:leftChars="0" w:left="522" w:hanging="162"/>
              <w:rPr>
                <w:rFonts w:ascii="Arial" w:hAnsi="Arial" w:cs="Arial"/>
                <w:sz w:val="18"/>
                <w:szCs w:val="18"/>
              </w:rPr>
            </w:pPr>
            <w:r w:rsidRPr="0020157C">
              <w:rPr>
                <w:rFonts w:ascii="Arial" w:hAnsi="Arial" w:cs="Arial"/>
                <w:sz w:val="18"/>
                <w:szCs w:val="18"/>
              </w:rPr>
              <w:t xml:space="preserve">Cooperative agreement between World Bank and IPPC to support country implementation of </w:t>
            </w:r>
            <w:proofErr w:type="spellStart"/>
            <w:r w:rsidRPr="0020157C">
              <w:rPr>
                <w:rFonts w:ascii="Arial" w:hAnsi="Arial" w:cs="Arial"/>
                <w:sz w:val="18"/>
                <w:szCs w:val="18"/>
              </w:rPr>
              <w:t>GeNS</w:t>
            </w:r>
            <w:proofErr w:type="spellEnd"/>
            <w:r w:rsidRPr="0020157C">
              <w:rPr>
                <w:rFonts w:ascii="Arial" w:hAnsi="Arial" w:cs="Arial"/>
                <w:sz w:val="18"/>
                <w:szCs w:val="18"/>
              </w:rPr>
              <w:t xml:space="preserve"> established </w:t>
            </w:r>
          </w:p>
        </w:tc>
        <w:tc>
          <w:tcPr>
            <w:tcW w:w="2250" w:type="dxa"/>
          </w:tcPr>
          <w:p w:rsidR="000314D7" w:rsidRPr="0020157C" w:rsidRDefault="000314D7" w:rsidP="00786A64">
            <w:pPr>
              <w:pStyle w:val="ListParagraph"/>
              <w:numPr>
                <w:ilvl w:val="0"/>
                <w:numId w:val="24"/>
              </w:numPr>
              <w:spacing w:after="60"/>
              <w:ind w:leftChars="0" w:left="522" w:hanging="162"/>
              <w:rPr>
                <w:rFonts w:ascii="Arial" w:hAnsi="Arial" w:cs="Arial"/>
                <w:sz w:val="18"/>
                <w:szCs w:val="18"/>
              </w:rPr>
            </w:pPr>
            <w:r w:rsidRPr="0020157C">
              <w:rPr>
                <w:rFonts w:ascii="Arial" w:hAnsi="Arial" w:cs="Arial"/>
                <w:sz w:val="18"/>
                <w:szCs w:val="18"/>
              </w:rPr>
              <w:t xml:space="preserve">Advisory group on interoperability and integration between </w:t>
            </w:r>
            <w:proofErr w:type="spellStart"/>
            <w:r w:rsidRPr="0020157C">
              <w:rPr>
                <w:rFonts w:ascii="Arial" w:hAnsi="Arial" w:cs="Arial"/>
                <w:sz w:val="18"/>
                <w:szCs w:val="18"/>
              </w:rPr>
              <w:t>ePhyto</w:t>
            </w:r>
            <w:proofErr w:type="spellEnd"/>
            <w:r w:rsidRPr="0020157C">
              <w:rPr>
                <w:rFonts w:ascii="Arial" w:hAnsi="Arial" w:cs="Arial"/>
                <w:sz w:val="18"/>
                <w:szCs w:val="18"/>
              </w:rPr>
              <w:t xml:space="preserve"> and other e-certificate initiatives established</w:t>
            </w:r>
          </w:p>
          <w:p w:rsidR="00D05D99" w:rsidRPr="0020157C" w:rsidRDefault="00D05D99" w:rsidP="00786A64">
            <w:pPr>
              <w:pStyle w:val="ListParagraph"/>
              <w:numPr>
                <w:ilvl w:val="0"/>
                <w:numId w:val="24"/>
              </w:numPr>
              <w:spacing w:after="60"/>
              <w:ind w:leftChars="0" w:left="522" w:hanging="162"/>
              <w:rPr>
                <w:rFonts w:ascii="Arial" w:hAnsi="Arial" w:cs="Arial"/>
                <w:sz w:val="18"/>
                <w:szCs w:val="18"/>
              </w:rPr>
            </w:pPr>
            <w:r w:rsidRPr="0020157C">
              <w:rPr>
                <w:rFonts w:ascii="Arial" w:hAnsi="Arial" w:cs="Arial"/>
                <w:sz w:val="18"/>
                <w:szCs w:val="18"/>
              </w:rPr>
              <w:t xml:space="preserve">Alignment of WCO Customs data model to </w:t>
            </w:r>
            <w:proofErr w:type="spellStart"/>
            <w:r w:rsidRPr="0020157C">
              <w:rPr>
                <w:rFonts w:ascii="Arial" w:hAnsi="Arial" w:cs="Arial"/>
                <w:sz w:val="18"/>
                <w:szCs w:val="18"/>
              </w:rPr>
              <w:t>ePhyto</w:t>
            </w:r>
            <w:proofErr w:type="spellEnd"/>
          </w:p>
          <w:p w:rsidR="000314D7" w:rsidRPr="0020157C" w:rsidRDefault="000314D7" w:rsidP="00786A64">
            <w:pPr>
              <w:pStyle w:val="ListParagraph"/>
              <w:numPr>
                <w:ilvl w:val="0"/>
                <w:numId w:val="24"/>
              </w:numPr>
              <w:spacing w:after="60"/>
              <w:ind w:leftChars="0" w:left="522" w:hanging="162"/>
              <w:rPr>
                <w:rFonts w:ascii="Arial" w:hAnsi="Arial" w:cs="Arial"/>
                <w:sz w:val="18"/>
                <w:szCs w:val="18"/>
              </w:rPr>
            </w:pPr>
            <w:r w:rsidRPr="0020157C">
              <w:rPr>
                <w:rFonts w:ascii="Arial" w:hAnsi="Arial" w:cs="Arial"/>
                <w:sz w:val="18"/>
                <w:szCs w:val="18"/>
              </w:rPr>
              <w:t xml:space="preserve">Develop strategy for interoperability with </w:t>
            </w:r>
            <w:r w:rsidR="002E5ADB" w:rsidRPr="0020157C">
              <w:rPr>
                <w:rFonts w:ascii="Arial" w:hAnsi="Arial" w:cs="Arial"/>
                <w:sz w:val="18"/>
                <w:szCs w:val="18"/>
              </w:rPr>
              <w:t xml:space="preserve">National </w:t>
            </w:r>
            <w:r w:rsidRPr="0020157C">
              <w:rPr>
                <w:rFonts w:ascii="Arial" w:hAnsi="Arial" w:cs="Arial"/>
                <w:sz w:val="18"/>
                <w:szCs w:val="18"/>
              </w:rPr>
              <w:t xml:space="preserve">Single Windows, </w:t>
            </w:r>
            <w:r w:rsidR="00D05D99" w:rsidRPr="0020157C">
              <w:rPr>
                <w:rFonts w:ascii="Arial" w:hAnsi="Arial" w:cs="Arial"/>
                <w:sz w:val="18"/>
                <w:szCs w:val="18"/>
              </w:rPr>
              <w:t xml:space="preserve">Customs data model and </w:t>
            </w:r>
            <w:r w:rsidRPr="0020157C">
              <w:rPr>
                <w:rFonts w:ascii="Arial" w:hAnsi="Arial" w:cs="Arial"/>
                <w:sz w:val="18"/>
                <w:szCs w:val="18"/>
              </w:rPr>
              <w:t xml:space="preserve">other electronic certificate information exchange </w:t>
            </w:r>
          </w:p>
          <w:p w:rsidR="000314D7" w:rsidRPr="0020157C" w:rsidRDefault="000314D7" w:rsidP="00786A64">
            <w:pPr>
              <w:pStyle w:val="ListParagraph"/>
              <w:numPr>
                <w:ilvl w:val="0"/>
                <w:numId w:val="24"/>
              </w:numPr>
              <w:spacing w:after="60"/>
              <w:ind w:leftChars="0" w:left="522" w:hanging="162"/>
              <w:rPr>
                <w:rFonts w:ascii="Arial" w:hAnsi="Arial" w:cs="Arial"/>
                <w:sz w:val="18"/>
                <w:szCs w:val="18"/>
              </w:rPr>
            </w:pPr>
            <w:r w:rsidRPr="0020157C">
              <w:rPr>
                <w:rFonts w:ascii="Arial" w:hAnsi="Arial" w:cs="Arial"/>
                <w:sz w:val="18"/>
                <w:szCs w:val="18"/>
              </w:rPr>
              <w:t xml:space="preserve">Assessment of data harmonization between single windows and </w:t>
            </w:r>
            <w:proofErr w:type="spellStart"/>
            <w:r w:rsidRPr="0020157C">
              <w:rPr>
                <w:rFonts w:ascii="Arial" w:hAnsi="Arial" w:cs="Arial"/>
                <w:sz w:val="18"/>
                <w:szCs w:val="18"/>
              </w:rPr>
              <w:t>ePhyto</w:t>
            </w:r>
            <w:proofErr w:type="spellEnd"/>
            <w:r w:rsidRPr="0020157C">
              <w:rPr>
                <w:rFonts w:ascii="Arial" w:hAnsi="Arial" w:cs="Arial"/>
                <w:sz w:val="18"/>
                <w:szCs w:val="18"/>
              </w:rPr>
              <w:t xml:space="preserve"> completed and reported to </w:t>
            </w:r>
            <w:proofErr w:type="spellStart"/>
            <w:r w:rsidRPr="0020157C">
              <w:rPr>
                <w:rFonts w:ascii="Arial" w:hAnsi="Arial" w:cs="Arial"/>
                <w:sz w:val="18"/>
                <w:szCs w:val="18"/>
              </w:rPr>
              <w:t>ePhyto</w:t>
            </w:r>
            <w:proofErr w:type="spellEnd"/>
            <w:r w:rsidRPr="0020157C">
              <w:rPr>
                <w:rFonts w:ascii="Arial" w:hAnsi="Arial" w:cs="Arial"/>
                <w:sz w:val="18"/>
                <w:szCs w:val="18"/>
              </w:rPr>
              <w:t xml:space="preserve"> Steering Group </w:t>
            </w:r>
          </w:p>
          <w:p w:rsidR="000314D7" w:rsidRPr="0020157C" w:rsidRDefault="000314D7" w:rsidP="00786A64">
            <w:pPr>
              <w:pStyle w:val="ListParagraph"/>
              <w:numPr>
                <w:ilvl w:val="0"/>
                <w:numId w:val="24"/>
              </w:numPr>
              <w:spacing w:after="60"/>
              <w:ind w:leftChars="0" w:left="522" w:hanging="162"/>
              <w:rPr>
                <w:rFonts w:ascii="Arial" w:hAnsi="Arial" w:cs="Arial"/>
                <w:sz w:val="18"/>
                <w:szCs w:val="18"/>
              </w:rPr>
            </w:pPr>
            <w:r w:rsidRPr="0020157C">
              <w:rPr>
                <w:rFonts w:ascii="Arial" w:hAnsi="Arial" w:cs="Arial"/>
                <w:sz w:val="18"/>
                <w:szCs w:val="18"/>
              </w:rPr>
              <w:t xml:space="preserve">4th IPPC Global </w:t>
            </w:r>
            <w:proofErr w:type="spellStart"/>
            <w:r w:rsidRPr="0020157C">
              <w:rPr>
                <w:rFonts w:ascii="Arial" w:hAnsi="Arial" w:cs="Arial"/>
                <w:sz w:val="18"/>
                <w:szCs w:val="18"/>
              </w:rPr>
              <w:t>ePhyto</w:t>
            </w:r>
            <w:proofErr w:type="spellEnd"/>
            <w:r w:rsidRPr="0020157C">
              <w:rPr>
                <w:rFonts w:ascii="Arial" w:hAnsi="Arial" w:cs="Arial"/>
                <w:sz w:val="18"/>
                <w:szCs w:val="18"/>
              </w:rPr>
              <w:t xml:space="preserve"> Symposium</w:t>
            </w:r>
          </w:p>
          <w:p w:rsidR="000314D7" w:rsidRPr="0020157C" w:rsidRDefault="000314D7" w:rsidP="0020157C">
            <w:pPr>
              <w:spacing w:after="60"/>
              <w:ind w:left="522"/>
              <w:rPr>
                <w:rFonts w:ascii="Arial" w:eastAsia="Times New Roman" w:hAnsi="Arial" w:cs="Arial"/>
                <w:sz w:val="18"/>
                <w:szCs w:val="18"/>
                <w:lang w:val="nl-NL" w:eastAsia="nl-NL"/>
              </w:rPr>
            </w:pPr>
          </w:p>
        </w:tc>
        <w:tc>
          <w:tcPr>
            <w:tcW w:w="2430" w:type="dxa"/>
          </w:tcPr>
          <w:p w:rsidR="00F434BC" w:rsidRPr="0020157C" w:rsidRDefault="00F434BC" w:rsidP="00786A64">
            <w:pPr>
              <w:pStyle w:val="ListParagraph"/>
              <w:numPr>
                <w:ilvl w:val="0"/>
                <w:numId w:val="24"/>
              </w:numPr>
              <w:spacing w:after="60"/>
              <w:ind w:leftChars="0" w:left="522" w:hanging="162"/>
              <w:rPr>
                <w:rFonts w:ascii="Arial" w:hAnsi="Arial" w:cs="Arial"/>
                <w:sz w:val="18"/>
                <w:szCs w:val="18"/>
              </w:rPr>
            </w:pPr>
            <w:r w:rsidRPr="0020157C">
              <w:rPr>
                <w:rFonts w:ascii="Arial" w:hAnsi="Arial" w:cs="Arial"/>
                <w:sz w:val="18"/>
                <w:szCs w:val="18"/>
              </w:rPr>
              <w:t>OIE and/or C</w:t>
            </w:r>
            <w:r w:rsidR="002E5ADB" w:rsidRPr="0020157C">
              <w:rPr>
                <w:rFonts w:ascii="Arial" w:hAnsi="Arial" w:cs="Arial"/>
                <w:sz w:val="18"/>
                <w:szCs w:val="18"/>
              </w:rPr>
              <w:t>odex</w:t>
            </w:r>
            <w:r w:rsidRPr="0020157C">
              <w:rPr>
                <w:rFonts w:ascii="Arial" w:hAnsi="Arial" w:cs="Arial"/>
                <w:sz w:val="18"/>
                <w:szCs w:val="18"/>
              </w:rPr>
              <w:t xml:space="preserve"> trials of certificates through the hub completed</w:t>
            </w:r>
          </w:p>
          <w:p w:rsidR="000314D7" w:rsidRPr="0020157C" w:rsidRDefault="000314D7" w:rsidP="00786A64">
            <w:pPr>
              <w:numPr>
                <w:ilvl w:val="0"/>
                <w:numId w:val="24"/>
              </w:numPr>
              <w:spacing w:after="60"/>
              <w:ind w:left="522" w:hanging="162"/>
              <w:rPr>
                <w:rFonts w:ascii="Arial" w:eastAsia="Times New Roman" w:hAnsi="Arial" w:cs="Arial"/>
                <w:sz w:val="18"/>
                <w:szCs w:val="18"/>
                <w:lang w:val="nl-NL" w:eastAsia="nl-NL"/>
              </w:rPr>
            </w:pPr>
          </w:p>
        </w:tc>
        <w:tc>
          <w:tcPr>
            <w:tcW w:w="2340" w:type="dxa"/>
          </w:tcPr>
          <w:p w:rsidR="000314D7" w:rsidRPr="0020157C" w:rsidRDefault="000314D7" w:rsidP="00786A64">
            <w:pPr>
              <w:pStyle w:val="ListParagraph"/>
              <w:numPr>
                <w:ilvl w:val="0"/>
                <w:numId w:val="24"/>
              </w:numPr>
              <w:spacing w:after="60"/>
              <w:ind w:leftChars="0" w:left="522" w:hanging="162"/>
              <w:rPr>
                <w:rFonts w:ascii="Arial" w:hAnsi="Arial" w:cs="Arial"/>
                <w:sz w:val="18"/>
                <w:szCs w:val="18"/>
              </w:rPr>
            </w:pPr>
          </w:p>
        </w:tc>
        <w:tc>
          <w:tcPr>
            <w:tcW w:w="2160" w:type="dxa"/>
          </w:tcPr>
          <w:p w:rsidR="000314D7" w:rsidRPr="0020157C" w:rsidRDefault="000314D7" w:rsidP="00786A64">
            <w:pPr>
              <w:pStyle w:val="ListParagraph"/>
              <w:numPr>
                <w:ilvl w:val="0"/>
                <w:numId w:val="24"/>
              </w:numPr>
              <w:spacing w:after="60"/>
              <w:ind w:leftChars="0" w:left="522" w:hanging="162"/>
              <w:rPr>
                <w:rFonts w:ascii="Arial" w:hAnsi="Arial" w:cs="Arial"/>
                <w:sz w:val="18"/>
                <w:szCs w:val="18"/>
              </w:rPr>
            </w:pPr>
          </w:p>
        </w:tc>
      </w:tr>
    </w:tbl>
    <w:p w:rsidR="00252E4C" w:rsidRPr="00252E4C" w:rsidRDefault="00252E4C" w:rsidP="008B3038">
      <w:pPr>
        <w:rPr>
          <w:lang w:val="en-AU"/>
        </w:rPr>
      </w:pPr>
    </w:p>
    <w:sectPr w:rsidR="00252E4C" w:rsidRPr="00252E4C" w:rsidSect="005659D2">
      <w:footerReference w:type="even" r:id="rId21"/>
      <w:pgSz w:w="15840" w:h="12240" w:orient="landscape"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7D7" w:rsidRDefault="009667D7" w:rsidP="00D9373F">
      <w:r>
        <w:separator/>
      </w:r>
    </w:p>
  </w:endnote>
  <w:endnote w:type="continuationSeparator" w:id="0">
    <w:p w:rsidR="009667D7" w:rsidRDefault="009667D7" w:rsidP="00D9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Italic">
    <w:panose1 w:val="020B0604020202090204"/>
    <w:charset w:val="00"/>
    <w:family w:val="auto"/>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833" w:rsidRPr="00B82833" w:rsidRDefault="00B82833" w:rsidP="00B82833">
    <w:pPr>
      <w:pStyle w:val="IPPFooterLandscape"/>
      <w:jc w:val="both"/>
    </w:pPr>
    <w:r w:rsidRPr="00B82833">
      <w:rPr>
        <w:rStyle w:val="PageNumber"/>
        <w:b/>
      </w:rPr>
      <w:t xml:space="preserve">Page </w:t>
    </w:r>
    <w:r w:rsidRPr="00B82833">
      <w:rPr>
        <w:rStyle w:val="PageNumber"/>
        <w:b/>
      </w:rPr>
      <w:fldChar w:fldCharType="begin"/>
    </w:r>
    <w:r w:rsidRPr="00B82833">
      <w:rPr>
        <w:rStyle w:val="PageNumber"/>
        <w:b/>
      </w:rPr>
      <w:instrText xml:space="preserve"> PAGE </w:instrText>
    </w:r>
    <w:r w:rsidRPr="00B82833">
      <w:rPr>
        <w:rStyle w:val="PageNumber"/>
        <w:b/>
      </w:rPr>
      <w:fldChar w:fldCharType="separate"/>
    </w:r>
    <w:r w:rsidR="00507A67">
      <w:rPr>
        <w:rStyle w:val="PageNumber"/>
        <w:b/>
      </w:rPr>
      <w:t>6</w:t>
    </w:r>
    <w:r w:rsidRPr="00B82833">
      <w:rPr>
        <w:rStyle w:val="PageNumber"/>
        <w:b/>
      </w:rPr>
      <w:fldChar w:fldCharType="end"/>
    </w:r>
    <w:r w:rsidRPr="00B82833">
      <w:rPr>
        <w:rStyle w:val="PageNumber"/>
        <w:b/>
      </w:rPr>
      <w:t xml:space="preserve"> of </w:t>
    </w:r>
    <w:r w:rsidRPr="00B82833">
      <w:rPr>
        <w:rStyle w:val="PageNumber"/>
        <w:b/>
      </w:rPr>
      <w:fldChar w:fldCharType="begin"/>
    </w:r>
    <w:r w:rsidRPr="00B82833">
      <w:rPr>
        <w:rStyle w:val="PageNumber"/>
        <w:b/>
      </w:rPr>
      <w:instrText xml:space="preserve"> NUMPAGES </w:instrText>
    </w:r>
    <w:r w:rsidRPr="00B82833">
      <w:rPr>
        <w:rStyle w:val="PageNumber"/>
        <w:b/>
      </w:rPr>
      <w:fldChar w:fldCharType="separate"/>
    </w:r>
    <w:r w:rsidR="00507A67">
      <w:rPr>
        <w:rStyle w:val="PageNumber"/>
        <w:b/>
      </w:rPr>
      <w:t>12</w:t>
    </w:r>
    <w:r w:rsidRPr="00B82833">
      <w:rPr>
        <w:rStyle w:val="PageNumber"/>
        <w:b/>
      </w:rPr>
      <w:fldChar w:fldCharType="end"/>
    </w:r>
    <w:r w:rsidRPr="00B82833">
      <w:rPr>
        <w:rStyle w:val="PageNumber"/>
        <w:b/>
      </w:rPr>
      <w:tab/>
    </w:r>
    <w:r>
      <w:rPr>
        <w:rStyle w:val="PageNumber"/>
        <w:b/>
      </w:rPr>
      <w:tab/>
    </w:r>
    <w:r w:rsidRPr="00B82833">
      <w:rPr>
        <w:rStyle w:val="PageNumber"/>
        <w:b/>
      </w:rPr>
      <w:t>International Plant Protection Convention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61203"/>
      <w:docPartObj>
        <w:docPartGallery w:val="Page Numbers (Bottom of Page)"/>
        <w:docPartUnique/>
      </w:docPartObj>
    </w:sdtPr>
    <w:sdtEndPr>
      <w:rPr>
        <w:noProof/>
      </w:rPr>
    </w:sdtEndPr>
    <w:sdtContent>
      <w:p w:rsidR="00B82833" w:rsidRPr="009A7BE5" w:rsidRDefault="00B82833" w:rsidP="00B82833">
        <w:pPr>
          <w:pStyle w:val="Header"/>
          <w:rPr>
            <w:lang w:val="en-US"/>
          </w:rPr>
        </w:pPr>
      </w:p>
      <w:p w:rsidR="00B82833" w:rsidRDefault="00B82833" w:rsidP="00B82833"/>
      <w:p w:rsidR="00B82833" w:rsidRPr="007D640A" w:rsidRDefault="00B82833" w:rsidP="00B82833">
        <w:pPr>
          <w:pStyle w:val="IPPFooterLandscape"/>
        </w:pPr>
        <w:r>
          <w:rPr>
            <w:rStyle w:val="PageNumber"/>
            <w:b/>
          </w:rPr>
          <w:t>International Plant Protection Convention</w:t>
        </w:r>
        <w:r>
          <w:rPr>
            <w:rStyle w:val="PageNumber"/>
            <w:b/>
          </w:rPr>
          <w:tab/>
        </w:r>
        <w:r w:rsidRPr="007D640A">
          <w:rPr>
            <w:rStyle w:val="PageNumber"/>
            <w:b/>
            <w:bCs/>
          </w:rPr>
          <w:t xml:space="preserve">Page </w:t>
        </w:r>
        <w:r w:rsidRPr="007D640A">
          <w:rPr>
            <w:rStyle w:val="PageNumber"/>
            <w:b/>
            <w:bCs/>
          </w:rPr>
          <w:fldChar w:fldCharType="begin"/>
        </w:r>
        <w:r w:rsidRPr="007D640A">
          <w:rPr>
            <w:rStyle w:val="PageNumber"/>
            <w:b/>
            <w:bCs/>
          </w:rPr>
          <w:instrText xml:space="preserve"> PAGE </w:instrText>
        </w:r>
        <w:r w:rsidRPr="007D640A">
          <w:rPr>
            <w:rStyle w:val="PageNumber"/>
            <w:b/>
            <w:bCs/>
          </w:rPr>
          <w:fldChar w:fldCharType="separate"/>
        </w:r>
        <w:r w:rsidR="00507A67">
          <w:rPr>
            <w:rStyle w:val="PageNumber"/>
            <w:b/>
            <w:bCs/>
          </w:rPr>
          <w:t>7</w:t>
        </w:r>
        <w:r w:rsidRPr="007D640A">
          <w:rPr>
            <w:rStyle w:val="PageNumber"/>
            <w:b/>
            <w:bCs/>
          </w:rPr>
          <w:fldChar w:fldCharType="end"/>
        </w:r>
        <w:r w:rsidRPr="007D640A">
          <w:rPr>
            <w:rStyle w:val="PageNumber"/>
            <w:b/>
            <w:bCs/>
          </w:rPr>
          <w:t xml:space="preserve"> of </w:t>
        </w:r>
        <w:r w:rsidRPr="007D640A">
          <w:rPr>
            <w:rStyle w:val="PageNumber"/>
            <w:b/>
            <w:bCs/>
          </w:rPr>
          <w:fldChar w:fldCharType="begin"/>
        </w:r>
        <w:r w:rsidRPr="007D640A">
          <w:rPr>
            <w:rStyle w:val="PageNumber"/>
            <w:b/>
            <w:bCs/>
          </w:rPr>
          <w:instrText xml:space="preserve"> NUMPAGES </w:instrText>
        </w:r>
        <w:r w:rsidRPr="007D640A">
          <w:rPr>
            <w:rStyle w:val="PageNumber"/>
            <w:b/>
            <w:bCs/>
          </w:rPr>
          <w:fldChar w:fldCharType="separate"/>
        </w:r>
        <w:r w:rsidR="00507A67">
          <w:rPr>
            <w:rStyle w:val="PageNumber"/>
            <w:b/>
            <w:bCs/>
          </w:rPr>
          <w:t>12</w:t>
        </w:r>
        <w:r w:rsidRPr="007D640A">
          <w:rPr>
            <w:rStyle w:val="PageNumber"/>
            <w:b/>
            <w:bCs/>
          </w:rPr>
          <w:fldChar w:fldCharType="end"/>
        </w:r>
      </w:p>
      <w:p w:rsidR="00CC4678" w:rsidRDefault="00507A67" w:rsidP="00B82833">
        <w:pPr>
          <w:pStyle w:val="Footer"/>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BE5" w:rsidRPr="007D640A" w:rsidRDefault="009A7BE5" w:rsidP="009A7BE5">
    <w:pPr>
      <w:pStyle w:val="IPPFooterLandscape"/>
    </w:pPr>
    <w:r>
      <w:rPr>
        <w:rStyle w:val="PageNumber"/>
        <w:b/>
      </w:rPr>
      <w:t>International Plant Protection Convention</w:t>
    </w:r>
    <w:r>
      <w:rPr>
        <w:rStyle w:val="PageNumber"/>
        <w:b/>
      </w:rPr>
      <w:tab/>
    </w:r>
    <w:r w:rsidRPr="007D640A">
      <w:rPr>
        <w:rStyle w:val="PageNumber"/>
        <w:b/>
        <w:bCs/>
      </w:rPr>
      <w:t xml:space="preserve">Page </w:t>
    </w:r>
    <w:r w:rsidRPr="007D640A">
      <w:rPr>
        <w:rStyle w:val="PageNumber"/>
        <w:b/>
        <w:bCs/>
      </w:rPr>
      <w:fldChar w:fldCharType="begin"/>
    </w:r>
    <w:r w:rsidRPr="007D640A">
      <w:rPr>
        <w:rStyle w:val="PageNumber"/>
        <w:b/>
        <w:bCs/>
      </w:rPr>
      <w:instrText xml:space="preserve"> PAGE </w:instrText>
    </w:r>
    <w:r w:rsidRPr="007D640A">
      <w:rPr>
        <w:rStyle w:val="PageNumber"/>
        <w:b/>
        <w:bCs/>
      </w:rPr>
      <w:fldChar w:fldCharType="separate"/>
    </w:r>
    <w:r w:rsidR="00507A67">
      <w:rPr>
        <w:rStyle w:val="PageNumber"/>
        <w:b/>
        <w:bCs/>
      </w:rPr>
      <w:t>1</w:t>
    </w:r>
    <w:r w:rsidRPr="007D640A">
      <w:rPr>
        <w:rStyle w:val="PageNumber"/>
        <w:b/>
        <w:bCs/>
      </w:rPr>
      <w:fldChar w:fldCharType="end"/>
    </w:r>
    <w:r w:rsidRPr="007D640A">
      <w:rPr>
        <w:rStyle w:val="PageNumber"/>
        <w:b/>
        <w:bCs/>
      </w:rPr>
      <w:t xml:space="preserve"> of </w:t>
    </w:r>
    <w:r w:rsidRPr="007D640A">
      <w:rPr>
        <w:rStyle w:val="PageNumber"/>
        <w:b/>
        <w:bCs/>
      </w:rPr>
      <w:fldChar w:fldCharType="begin"/>
    </w:r>
    <w:r w:rsidRPr="007D640A">
      <w:rPr>
        <w:rStyle w:val="PageNumber"/>
        <w:b/>
        <w:bCs/>
      </w:rPr>
      <w:instrText xml:space="preserve"> NUMPAGES </w:instrText>
    </w:r>
    <w:r w:rsidRPr="007D640A">
      <w:rPr>
        <w:rStyle w:val="PageNumber"/>
        <w:b/>
        <w:bCs/>
      </w:rPr>
      <w:fldChar w:fldCharType="separate"/>
    </w:r>
    <w:r w:rsidR="00507A67">
      <w:rPr>
        <w:rStyle w:val="PageNumber"/>
        <w:b/>
        <w:bCs/>
      </w:rPr>
      <w:t>12</w:t>
    </w:r>
    <w:r w:rsidRPr="007D640A">
      <w:rPr>
        <w:rStyle w:val="PageNumber"/>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833" w:rsidRPr="00B82833" w:rsidRDefault="00B82833" w:rsidP="00B82833">
    <w:pPr>
      <w:pStyle w:val="IPPFooterLandscape"/>
      <w:jc w:val="both"/>
    </w:pPr>
    <w:r w:rsidRPr="00B82833">
      <w:rPr>
        <w:rStyle w:val="PageNumber"/>
        <w:b/>
      </w:rPr>
      <w:t xml:space="preserve">Page </w:t>
    </w:r>
    <w:r w:rsidRPr="00B82833">
      <w:rPr>
        <w:rStyle w:val="PageNumber"/>
        <w:b/>
      </w:rPr>
      <w:fldChar w:fldCharType="begin"/>
    </w:r>
    <w:r w:rsidRPr="00B82833">
      <w:rPr>
        <w:rStyle w:val="PageNumber"/>
        <w:b/>
      </w:rPr>
      <w:instrText xml:space="preserve"> PAGE </w:instrText>
    </w:r>
    <w:r w:rsidRPr="00B82833">
      <w:rPr>
        <w:rStyle w:val="PageNumber"/>
        <w:b/>
      </w:rPr>
      <w:fldChar w:fldCharType="separate"/>
    </w:r>
    <w:r w:rsidR="00507A67">
      <w:rPr>
        <w:rStyle w:val="PageNumber"/>
        <w:b/>
      </w:rPr>
      <w:t>8</w:t>
    </w:r>
    <w:r w:rsidRPr="00B82833">
      <w:rPr>
        <w:rStyle w:val="PageNumber"/>
        <w:b/>
      </w:rPr>
      <w:fldChar w:fldCharType="end"/>
    </w:r>
    <w:r w:rsidRPr="00B82833">
      <w:rPr>
        <w:rStyle w:val="PageNumber"/>
        <w:b/>
      </w:rPr>
      <w:t xml:space="preserve"> of </w:t>
    </w:r>
    <w:r w:rsidRPr="00B82833">
      <w:rPr>
        <w:rStyle w:val="PageNumber"/>
        <w:b/>
      </w:rPr>
      <w:fldChar w:fldCharType="begin"/>
    </w:r>
    <w:r w:rsidRPr="00B82833">
      <w:rPr>
        <w:rStyle w:val="PageNumber"/>
        <w:b/>
      </w:rPr>
      <w:instrText xml:space="preserve"> NUMPAGES </w:instrText>
    </w:r>
    <w:r w:rsidRPr="00B82833">
      <w:rPr>
        <w:rStyle w:val="PageNumber"/>
        <w:b/>
      </w:rPr>
      <w:fldChar w:fldCharType="separate"/>
    </w:r>
    <w:r w:rsidR="00507A67">
      <w:rPr>
        <w:rStyle w:val="PageNumber"/>
        <w:b/>
      </w:rPr>
      <w:t>12</w:t>
    </w:r>
    <w:r w:rsidRPr="00B82833">
      <w:rPr>
        <w:rStyle w:val="PageNumber"/>
        <w:b/>
      </w:rPr>
      <w:fldChar w:fldCharType="end"/>
    </w:r>
    <w:r w:rsidRPr="00B82833">
      <w:rPr>
        <w:rStyle w:val="PageNumber"/>
        <w:b/>
      </w:rPr>
      <w:tab/>
      <w:t>International Plant Protection Convention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7D7" w:rsidRDefault="009667D7" w:rsidP="00D9373F">
      <w:r>
        <w:separator/>
      </w:r>
    </w:p>
  </w:footnote>
  <w:footnote w:type="continuationSeparator" w:id="0">
    <w:p w:rsidR="009667D7" w:rsidRDefault="009667D7" w:rsidP="00D9373F">
      <w:r>
        <w:continuationSeparator/>
      </w:r>
    </w:p>
  </w:footnote>
  <w:footnote w:id="1">
    <w:p w:rsidR="00CC4678" w:rsidRPr="000D1014" w:rsidRDefault="00CC4678" w:rsidP="004E732F">
      <w:pPr>
        <w:pStyle w:val="IPPFootnote"/>
      </w:pPr>
      <w:r>
        <w:rPr>
          <w:rStyle w:val="FootnoteReference"/>
        </w:rPr>
        <w:footnoteRef/>
      </w:r>
      <w:r>
        <w:t xml:space="preserve"> TDAF Consulting recommendation 7: </w:t>
      </w:r>
      <w:r w:rsidRPr="000D1014">
        <w:t xml:space="preserve">The IPPC Secretariat should continue to provide the </w:t>
      </w:r>
      <w:proofErr w:type="spellStart"/>
      <w:r w:rsidRPr="000D1014">
        <w:t>ePhyto</w:t>
      </w:r>
      <w:proofErr w:type="spellEnd"/>
      <w:r w:rsidRPr="000D1014">
        <w:t xml:space="preserve"> Solution Management and Administration function, as the </w:t>
      </w:r>
      <w:proofErr w:type="spellStart"/>
      <w:r w:rsidRPr="000D1014">
        <w:t>ePhyto</w:t>
      </w:r>
      <w:proofErr w:type="spellEnd"/>
      <w:r w:rsidRPr="000D1014">
        <w:t xml:space="preserve"> Solution will be core to the overall delivery of IPPC Phytosanitary Certificate support services.</w:t>
      </w:r>
    </w:p>
  </w:footnote>
  <w:footnote w:id="2">
    <w:p w:rsidR="00CC4678" w:rsidRPr="000D1014" w:rsidRDefault="00CC4678" w:rsidP="004E732F">
      <w:pPr>
        <w:pStyle w:val="IPPFootnote"/>
      </w:pPr>
      <w:r>
        <w:rPr>
          <w:rStyle w:val="FootnoteReference"/>
        </w:rPr>
        <w:footnoteRef/>
      </w:r>
      <w:r>
        <w:t xml:space="preserve"> TDAF Consulting r</w:t>
      </w:r>
      <w:r w:rsidRPr="000D1014">
        <w:t>ecommendation 6:  Consideration should be given regarding the operation and provision of the Business Support Desk, including exploring possibilities for support from Regional Plant Protection Organizations (RPPOs), leading NPPOs and Industry.</w:t>
      </w:r>
      <w:r>
        <w:t xml:space="preserve"> TDAF Consulting re</w:t>
      </w:r>
      <w:r w:rsidRPr="00D94E61">
        <w:t xml:space="preserve">commendation 10:  The adequacy of the proposed IPPC Secretariat support resources for the </w:t>
      </w:r>
      <w:proofErr w:type="spellStart"/>
      <w:r w:rsidRPr="00D94E61">
        <w:t>ePhyto</w:t>
      </w:r>
      <w:proofErr w:type="spellEnd"/>
      <w:r w:rsidRPr="00D94E61">
        <w:t xml:space="preserve"> Solution should be reviewed in relation to the actual tasks to be undertaken.</w:t>
      </w:r>
    </w:p>
  </w:footnote>
  <w:footnote w:id="3">
    <w:p w:rsidR="00CC4678" w:rsidRPr="00D9373F" w:rsidRDefault="00CC4678" w:rsidP="00717399">
      <w:pPr>
        <w:pStyle w:val="IPPFootnote"/>
        <w:rPr>
          <w:lang w:val="en-US"/>
        </w:rPr>
      </w:pPr>
      <w:r>
        <w:rPr>
          <w:rStyle w:val="FootnoteReference"/>
        </w:rPr>
        <w:footnoteRef/>
      </w:r>
      <w:r>
        <w:t xml:space="preserve"> </w:t>
      </w:r>
      <w:r>
        <w:rPr>
          <w:lang w:val="en-US"/>
        </w:rPr>
        <w:t>Based upon estimates developed by Trade Development and Facilitation Consulting, 2018</w:t>
      </w:r>
    </w:p>
  </w:footnote>
  <w:footnote w:id="4">
    <w:p w:rsidR="00CC4678" w:rsidRPr="000314D7" w:rsidRDefault="00CC4678" w:rsidP="00717399">
      <w:pPr>
        <w:pStyle w:val="IPPFootnote"/>
      </w:pPr>
      <w:r>
        <w:rPr>
          <w:rStyle w:val="FootnoteReference"/>
        </w:rPr>
        <w:footnoteRef/>
      </w:r>
      <w:r>
        <w:t xml:space="preserve"> </w:t>
      </w:r>
      <w:r w:rsidR="00D05D99">
        <w:t>TDAF</w:t>
      </w:r>
      <w:r>
        <w:t xml:space="preserve"> Consulting r</w:t>
      </w:r>
      <w:r w:rsidRPr="001950C5">
        <w:t xml:space="preserve">ecommendation 1: Additional research should be undertaken by the IPPC regarding potential direct and indirect benefits of the IPPC </w:t>
      </w:r>
      <w:proofErr w:type="spellStart"/>
      <w:r w:rsidRPr="001950C5">
        <w:t>ePhyto</w:t>
      </w:r>
      <w:proofErr w:type="spellEnd"/>
      <w:r w:rsidRPr="001950C5">
        <w:t xml:space="preserve"> Solution, including time and cost savings and economic efficiencies. Capacity building requirements should also be more fully elaborated through the Pilot</w:t>
      </w:r>
    </w:p>
  </w:footnote>
  <w:footnote w:id="5">
    <w:p w:rsidR="00CC4678" w:rsidRPr="000314D7" w:rsidRDefault="00CC4678" w:rsidP="00717399">
      <w:pPr>
        <w:pStyle w:val="IPPFootnote"/>
        <w:rPr>
          <w:lang w:val="en-US"/>
        </w:rPr>
      </w:pPr>
      <w:r>
        <w:rPr>
          <w:rStyle w:val="FootnoteReference"/>
        </w:rPr>
        <w:footnoteRef/>
      </w:r>
      <w:r>
        <w:t xml:space="preserve"> </w:t>
      </w:r>
      <w:r w:rsidR="00D05D99">
        <w:rPr>
          <w:lang w:val="en-US"/>
        </w:rPr>
        <w:t>TDAF</w:t>
      </w:r>
      <w:r>
        <w:rPr>
          <w:lang w:val="en-US"/>
        </w:rPr>
        <w:t xml:space="preserve"> Consulting r</w:t>
      </w:r>
      <w:r w:rsidRPr="000314D7">
        <w:rPr>
          <w:lang w:val="en-US"/>
        </w:rPr>
        <w:t xml:space="preserve">ecommendation 20: A Multi Donor Trust Fund (MDTF) should be established as the preferred initial funding mechanism for the </w:t>
      </w:r>
      <w:proofErr w:type="spellStart"/>
      <w:r w:rsidRPr="000314D7">
        <w:rPr>
          <w:lang w:val="en-US"/>
        </w:rPr>
        <w:t>ePhyto</w:t>
      </w:r>
      <w:proofErr w:type="spellEnd"/>
      <w:r w:rsidRPr="000314D7">
        <w:rPr>
          <w:lang w:val="en-US"/>
        </w:rPr>
        <w:t xml:space="preserve"> Solution, covering an initial 5 years and extendable for additional years. An MDTF project document should be prepared by the IPPC Secretariat for this purpose</w:t>
      </w:r>
    </w:p>
  </w:footnote>
  <w:footnote w:id="6">
    <w:p w:rsidR="00CC4678" w:rsidRPr="000314D7" w:rsidRDefault="00CC4678" w:rsidP="00717399">
      <w:pPr>
        <w:pStyle w:val="IPPFootnote"/>
      </w:pPr>
      <w:r>
        <w:rPr>
          <w:rStyle w:val="FootnoteReference"/>
        </w:rPr>
        <w:footnoteRef/>
      </w:r>
      <w:r>
        <w:t xml:space="preserve"> </w:t>
      </w:r>
      <w:r w:rsidR="00D05D99">
        <w:rPr>
          <w:lang w:val="en-US"/>
        </w:rPr>
        <w:t>TDAF</w:t>
      </w:r>
      <w:r>
        <w:rPr>
          <w:lang w:val="en-US"/>
        </w:rPr>
        <w:t xml:space="preserve"> Consulting r</w:t>
      </w:r>
      <w:r w:rsidRPr="000314D7">
        <w:rPr>
          <w:lang w:val="en-US"/>
        </w:rPr>
        <w:t>ecommendation 23: The IPPC should use the 5 year MDTF period to review alternative funding options, such as funding by FAO, a Participant Based Funding model or a combined approach. This review should start immediately after the launch of the MDTF, with a preliminary report prepared by end of Year 1 and a final recommendation by the end of Year 2. Mechanisms for the new agreed model should be fully in place before the end of Year 3.</w:t>
      </w:r>
    </w:p>
  </w:footnote>
  <w:footnote w:id="7">
    <w:p w:rsidR="00CC4678" w:rsidRPr="001950C5" w:rsidRDefault="00CC4678" w:rsidP="00D35F4C">
      <w:pPr>
        <w:pStyle w:val="FootnoteText"/>
        <w:rPr>
          <w:lang w:val="en-US"/>
        </w:rPr>
      </w:pPr>
      <w:r>
        <w:rPr>
          <w:rStyle w:val="FootnoteReference"/>
        </w:rPr>
        <w:footnoteRef/>
      </w:r>
      <w:r>
        <w:t xml:space="preserve"> </w:t>
      </w:r>
      <w:r w:rsidR="00D05D99">
        <w:t>TDAF</w:t>
      </w:r>
      <w:r>
        <w:t xml:space="preserve"> Consulting r</w:t>
      </w:r>
      <w:r w:rsidRPr="001950C5">
        <w:t>ecommendation 22: Clearly delineated budget lines, with full accountability and auditing, should be established within the MDTF for each key area, including Administration, Additional Development and Support, and Capacity Building</w:t>
      </w:r>
    </w:p>
  </w:footnote>
  <w:footnote w:id="8">
    <w:p w:rsidR="00CC4678" w:rsidRPr="003A0476" w:rsidRDefault="00CC4678">
      <w:pPr>
        <w:pStyle w:val="FootnoteText"/>
      </w:pPr>
      <w:r>
        <w:rPr>
          <w:rStyle w:val="FootnoteReference"/>
        </w:rPr>
        <w:footnoteRef/>
      </w:r>
      <w:r>
        <w:t xml:space="preserve"> TDAF Consulting r</w:t>
      </w:r>
      <w:r w:rsidRPr="00F027FA">
        <w:t xml:space="preserve">ecommendation 13: The IPPC Secretariat should develop training webinars and on-line videos describing the </w:t>
      </w:r>
      <w:proofErr w:type="spellStart"/>
      <w:r w:rsidRPr="00F027FA">
        <w:t>ePhyto</w:t>
      </w:r>
      <w:proofErr w:type="spellEnd"/>
      <w:r w:rsidRPr="00F027FA">
        <w:t xml:space="preserve"> Solution.</w:t>
      </w:r>
    </w:p>
  </w:footnote>
  <w:footnote w:id="9">
    <w:p w:rsidR="00CC4678" w:rsidRPr="003A0476" w:rsidRDefault="00CC4678">
      <w:pPr>
        <w:pStyle w:val="FootnoteText"/>
        <w:rPr>
          <w:lang w:val="en-US"/>
        </w:rPr>
      </w:pPr>
      <w:r>
        <w:rPr>
          <w:rStyle w:val="FootnoteReference"/>
        </w:rPr>
        <w:footnoteRef/>
      </w:r>
      <w:r>
        <w:t xml:space="preserve"> </w:t>
      </w:r>
      <w:r>
        <w:rPr>
          <w:lang w:val="en-US"/>
        </w:rPr>
        <w:t>TDAF Consulting r</w:t>
      </w:r>
      <w:r w:rsidRPr="003A0476">
        <w:rPr>
          <w:lang w:val="en-US"/>
        </w:rPr>
        <w:t xml:space="preserve">ecommendation 14: The IPPC Secretariat should continue the </w:t>
      </w:r>
      <w:proofErr w:type="spellStart"/>
      <w:r w:rsidRPr="003A0476">
        <w:rPr>
          <w:lang w:val="en-US"/>
        </w:rPr>
        <w:t>ePhyto</w:t>
      </w:r>
      <w:proofErr w:type="spellEnd"/>
      <w:r w:rsidRPr="003A0476">
        <w:rPr>
          <w:lang w:val="en-US"/>
        </w:rPr>
        <w:t xml:space="preserve"> Symposium series and organize a global </w:t>
      </w:r>
      <w:proofErr w:type="spellStart"/>
      <w:r w:rsidRPr="003A0476">
        <w:rPr>
          <w:lang w:val="en-US"/>
        </w:rPr>
        <w:t>ePhyto</w:t>
      </w:r>
      <w:proofErr w:type="spellEnd"/>
      <w:r w:rsidRPr="003A0476">
        <w:rPr>
          <w:lang w:val="en-US"/>
        </w:rPr>
        <w:t xml:space="preserve"> seminar or workshop, at least one every 2 years, to provide training and opportunities for exchange of experiences.</w:t>
      </w:r>
    </w:p>
  </w:footnote>
  <w:footnote w:id="10">
    <w:p w:rsidR="00CC4678" w:rsidRPr="003A0476" w:rsidRDefault="00CC4678" w:rsidP="003A0476">
      <w:pPr>
        <w:pStyle w:val="FootnoteText"/>
      </w:pPr>
      <w:r>
        <w:rPr>
          <w:rStyle w:val="FootnoteReference"/>
        </w:rPr>
        <w:footnoteRef/>
      </w:r>
      <w:r>
        <w:t xml:space="preserve"> </w:t>
      </w:r>
      <w:r w:rsidRPr="003A0476">
        <w:rPr>
          <w:rFonts w:cs="Times New Roman"/>
        </w:rPr>
        <w:t xml:space="preserve">TDAF Consulting recommendation 8: </w:t>
      </w:r>
      <w:r w:rsidRPr="003A0476">
        <w:rPr>
          <w:rFonts w:cs="Times New Roman"/>
          <w:color w:val="000000" w:themeColor="text1"/>
        </w:rPr>
        <w:t xml:space="preserve">Programme evaluation and promotion should be included as core elements of the </w:t>
      </w:r>
      <w:proofErr w:type="spellStart"/>
      <w:r w:rsidRPr="003A0476">
        <w:rPr>
          <w:rFonts w:cs="Times New Roman"/>
          <w:color w:val="000000" w:themeColor="text1"/>
        </w:rPr>
        <w:t>ePhyto</w:t>
      </w:r>
      <w:proofErr w:type="spellEnd"/>
      <w:r w:rsidRPr="003A0476">
        <w:rPr>
          <w:rFonts w:cs="Times New Roman"/>
          <w:color w:val="000000" w:themeColor="text1"/>
        </w:rPr>
        <w:t xml:space="preserve"> Solution programme budget, within the Management and Administration framework</w:t>
      </w:r>
    </w:p>
    <w:p w:rsidR="00CC4678" w:rsidRPr="003A0476" w:rsidRDefault="00CC4678">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833" w:rsidRPr="00147528" w:rsidRDefault="00B82833" w:rsidP="00B82833">
    <w:pPr>
      <w:pStyle w:val="IPPHeaderlandscape"/>
    </w:pPr>
    <w:r>
      <w:t>16_TC-RPPO_2018</w:t>
    </w:r>
    <w:r w:rsidRPr="00117418">
      <w:tab/>
    </w:r>
    <w:r w:rsidRPr="00B82833">
      <w:t xml:space="preserve">IPPC </w:t>
    </w:r>
    <w:proofErr w:type="spellStart"/>
    <w:r w:rsidRPr="00B82833">
      <w:t>ePhyto</w:t>
    </w:r>
    <w:proofErr w:type="spellEnd"/>
    <w:r w:rsidRPr="00B82833">
      <w:t xml:space="preserve"> Strategic Implementation Plan 2019 - 2023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833" w:rsidRPr="00147528" w:rsidRDefault="00B82833" w:rsidP="00B82833">
    <w:pPr>
      <w:pStyle w:val="IPPHeaderlandscape"/>
    </w:pPr>
    <w:r w:rsidRPr="00B82833">
      <w:t xml:space="preserve">IPPC ePhyto Strategic Implementation Plan 2019 </w:t>
    </w:r>
    <w:r>
      <w:t>–</w:t>
    </w:r>
    <w:r w:rsidRPr="00B82833">
      <w:t xml:space="preserve"> 2023</w:t>
    </w:r>
    <w:r>
      <w:tab/>
    </w:r>
    <w:r>
      <w:t>16_TC-RPPO_2018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BE5" w:rsidRPr="00B82833" w:rsidRDefault="009A7BE5" w:rsidP="00B82833">
    <w:pPr>
      <w:pStyle w:val="IPPHeaderlandscape"/>
      <w:rPr>
        <w:i/>
        <w:iCs/>
        <w:szCs w:val="22"/>
      </w:rPr>
    </w:pPr>
    <w:r w:rsidRPr="00C057BF">
      <w:rPr>
        <w:lang w:eastAsia="en-US"/>
      </w:rPr>
      <w:drawing>
        <wp:anchor distT="0" distB="0" distL="114300" distR="114300" simplePos="0" relativeHeight="251659264" behindDoc="0" locked="0" layoutInCell="1" allowOverlap="1">
          <wp:simplePos x="0" y="0"/>
          <wp:positionH relativeFrom="column">
            <wp:posOffset>-516255</wp:posOffset>
          </wp:positionH>
          <wp:positionV relativeFrom="paragraph">
            <wp:posOffset>-11201</wp:posOffset>
          </wp:positionV>
          <wp:extent cx="635000" cy="330200"/>
          <wp:effectExtent l="0" t="0" r="0" b="0"/>
          <wp:wrapSquare wrapText="bothSides"/>
          <wp:docPr id="1" name="Picture 1"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US"/>
      </w:rPr>
      <w:drawing>
        <wp:anchor distT="0" distB="0" distL="114300" distR="114300" simplePos="0" relativeHeight="251660288" behindDoc="0" locked="0" layoutInCell="1" allowOverlap="0">
          <wp:simplePos x="0" y="0"/>
          <wp:positionH relativeFrom="page">
            <wp:posOffset>-31750</wp:posOffset>
          </wp:positionH>
          <wp:positionV relativeFrom="paragraph">
            <wp:posOffset>-594360</wp:posOffset>
          </wp:positionV>
          <wp:extent cx="7804150" cy="4741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336" cy="4896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640A">
      <w:t>International Plant Protection Convention</w:t>
    </w:r>
    <w:r w:rsidRPr="007D640A">
      <w:tab/>
    </w:r>
    <w:r>
      <w:t>16</w:t>
    </w:r>
    <w:r>
      <w:t xml:space="preserve">_TC-RPPO_2018 </w:t>
    </w:r>
    <w:r>
      <w:br/>
    </w:r>
    <w:r w:rsidR="00B82833" w:rsidRPr="00B82833">
      <w:rPr>
        <w:i/>
        <w:iCs/>
        <w:szCs w:val="22"/>
      </w:rPr>
      <w:t>IPPC ePhyt</w:t>
    </w:r>
    <w:r w:rsidR="00B82833">
      <w:rPr>
        <w:i/>
        <w:iCs/>
        <w:szCs w:val="22"/>
      </w:rPr>
      <w:t xml:space="preserve">o Strategic Implementation Plan </w:t>
    </w:r>
    <w:r w:rsidR="00B82833" w:rsidRPr="00B82833">
      <w:rPr>
        <w:i/>
        <w:iCs/>
        <w:szCs w:val="22"/>
      </w:rPr>
      <w:t>2019 - 2023</w:t>
    </w:r>
    <w:r w:rsidRPr="007D640A">
      <w:rPr>
        <w:i/>
        <w:iCs/>
      </w:rPr>
      <w:tab/>
      <w:t xml:space="preserve">Agenda item: </w:t>
    </w:r>
    <w:r>
      <w:rPr>
        <w:i/>
        <w:iCs/>
      </w:rPr>
      <w:t>4.4</w:t>
    </w:r>
  </w:p>
  <w:p w:rsidR="009A7BE5" w:rsidRPr="009A7BE5" w:rsidRDefault="009A7BE5" w:rsidP="009A7BE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5EDD"/>
    <w:multiLevelType w:val="hybridMultilevel"/>
    <w:tmpl w:val="11902330"/>
    <w:lvl w:ilvl="0" w:tplc="D24A026A">
      <w:start w:val="21"/>
      <w:numFmt w:val="decimal"/>
      <w:lvlText w:val="[%1]"/>
      <w:lvlJc w:val="left"/>
      <w:pPr>
        <w:ind w:left="720" w:hanging="360"/>
      </w:pPr>
      <w:rPr>
        <w:rFonts w:ascii="Arial Italic" w:hAnsi="Arial Italic"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A1141"/>
    <w:multiLevelType w:val="hybridMultilevel"/>
    <w:tmpl w:val="143EFCF4"/>
    <w:lvl w:ilvl="0" w:tplc="55B8F5D8">
      <w:start w:val="1"/>
      <w:numFmt w:val="decimal"/>
      <w:lvlText w:val="[%1]"/>
      <w:lvlJc w:val="left"/>
      <w:pPr>
        <w:ind w:left="238" w:hanging="360"/>
      </w:pPr>
      <w:rPr>
        <w:rFonts w:ascii="Arial Italic" w:hAnsi="Arial Italic" w:hint="default"/>
        <w:b w:val="0"/>
        <w:i/>
        <w:color w:val="0000FF"/>
        <w:sz w:val="16"/>
      </w:rPr>
    </w:lvl>
    <w:lvl w:ilvl="1" w:tplc="04090019" w:tentative="1">
      <w:start w:val="1"/>
      <w:numFmt w:val="lowerLetter"/>
      <w:lvlText w:val="%2."/>
      <w:lvlJc w:val="left"/>
      <w:pPr>
        <w:ind w:left="958" w:hanging="360"/>
      </w:pPr>
    </w:lvl>
    <w:lvl w:ilvl="2" w:tplc="0409001B" w:tentative="1">
      <w:start w:val="1"/>
      <w:numFmt w:val="lowerRoman"/>
      <w:lvlText w:val="%3."/>
      <w:lvlJc w:val="right"/>
      <w:pPr>
        <w:ind w:left="1678" w:hanging="180"/>
      </w:pPr>
    </w:lvl>
    <w:lvl w:ilvl="3" w:tplc="0409000F" w:tentative="1">
      <w:start w:val="1"/>
      <w:numFmt w:val="decimal"/>
      <w:lvlText w:val="%4."/>
      <w:lvlJc w:val="left"/>
      <w:pPr>
        <w:ind w:left="2398" w:hanging="360"/>
      </w:pPr>
    </w:lvl>
    <w:lvl w:ilvl="4" w:tplc="04090019" w:tentative="1">
      <w:start w:val="1"/>
      <w:numFmt w:val="lowerLetter"/>
      <w:lvlText w:val="%5."/>
      <w:lvlJc w:val="left"/>
      <w:pPr>
        <w:ind w:left="3118" w:hanging="360"/>
      </w:pPr>
    </w:lvl>
    <w:lvl w:ilvl="5" w:tplc="0409001B" w:tentative="1">
      <w:start w:val="1"/>
      <w:numFmt w:val="lowerRoman"/>
      <w:lvlText w:val="%6."/>
      <w:lvlJc w:val="right"/>
      <w:pPr>
        <w:ind w:left="3838" w:hanging="180"/>
      </w:pPr>
    </w:lvl>
    <w:lvl w:ilvl="6" w:tplc="0409000F" w:tentative="1">
      <w:start w:val="1"/>
      <w:numFmt w:val="decimal"/>
      <w:lvlText w:val="%7."/>
      <w:lvlJc w:val="left"/>
      <w:pPr>
        <w:ind w:left="4558" w:hanging="360"/>
      </w:pPr>
    </w:lvl>
    <w:lvl w:ilvl="7" w:tplc="04090019" w:tentative="1">
      <w:start w:val="1"/>
      <w:numFmt w:val="lowerLetter"/>
      <w:lvlText w:val="%8."/>
      <w:lvlJc w:val="left"/>
      <w:pPr>
        <w:ind w:left="5278" w:hanging="360"/>
      </w:pPr>
    </w:lvl>
    <w:lvl w:ilvl="8" w:tplc="0409001B" w:tentative="1">
      <w:start w:val="1"/>
      <w:numFmt w:val="lowerRoman"/>
      <w:lvlText w:val="%9."/>
      <w:lvlJc w:val="right"/>
      <w:pPr>
        <w:ind w:left="5998" w:hanging="180"/>
      </w:pPr>
    </w:lvl>
  </w:abstractNum>
  <w:abstractNum w:abstractNumId="3" w15:restartNumberingAfterBreak="0">
    <w:nsid w:val="0473511D"/>
    <w:multiLevelType w:val="hybridMultilevel"/>
    <w:tmpl w:val="5F96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1453E"/>
    <w:multiLevelType w:val="hybridMultilevel"/>
    <w:tmpl w:val="36DAA1CE"/>
    <w:lvl w:ilvl="0" w:tplc="8AC077D6">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86F9D"/>
    <w:multiLevelType w:val="hybridMultilevel"/>
    <w:tmpl w:val="67D029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1A6BA6"/>
    <w:multiLevelType w:val="hybridMultilevel"/>
    <w:tmpl w:val="069E23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74257"/>
    <w:multiLevelType w:val="hybridMultilevel"/>
    <w:tmpl w:val="981633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E68EB"/>
    <w:multiLevelType w:val="hybridMultilevel"/>
    <w:tmpl w:val="AB7423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F1E44"/>
    <w:multiLevelType w:val="hybridMultilevel"/>
    <w:tmpl w:val="BD748B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047A96"/>
    <w:multiLevelType w:val="hybridMultilevel"/>
    <w:tmpl w:val="B74EB4F2"/>
    <w:lvl w:ilvl="0" w:tplc="BD3635FC">
      <w:start w:val="14"/>
      <w:numFmt w:val="decimal"/>
      <w:lvlText w:val="[%1]"/>
      <w:lvlJc w:val="left"/>
      <w:pPr>
        <w:ind w:left="720" w:hanging="360"/>
      </w:pPr>
      <w:rPr>
        <w:rFonts w:ascii="Arial Italic" w:hAnsi="Arial Italic"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07E58"/>
    <w:multiLevelType w:val="hybridMultilevel"/>
    <w:tmpl w:val="8F1233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E0F8F"/>
    <w:multiLevelType w:val="multilevel"/>
    <w:tmpl w:val="06E871E4"/>
    <w:styleLink w:val="IPPParagraphnumberedlist"/>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4" w15:restartNumberingAfterBreak="0">
    <w:nsid w:val="377A7AF8"/>
    <w:multiLevelType w:val="hybridMultilevel"/>
    <w:tmpl w:val="C0AABC70"/>
    <w:lvl w:ilvl="0" w:tplc="AC0E20D2">
      <w:start w:val="25"/>
      <w:numFmt w:val="decimal"/>
      <w:lvlText w:val="[%1]"/>
      <w:lvlJc w:val="left"/>
      <w:pPr>
        <w:ind w:left="720" w:hanging="360"/>
      </w:pPr>
      <w:rPr>
        <w:rFonts w:ascii="Arial Italic" w:hAnsi="Arial Italic"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984E1B"/>
    <w:multiLevelType w:val="hybridMultilevel"/>
    <w:tmpl w:val="5F96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E73C3"/>
    <w:multiLevelType w:val="hybridMultilevel"/>
    <w:tmpl w:val="A964FB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D0A40"/>
    <w:multiLevelType w:val="hybridMultilevel"/>
    <w:tmpl w:val="BC4ADAD6"/>
    <w:lvl w:ilvl="0" w:tplc="B0D8DE3E">
      <w:start w:val="12"/>
      <w:numFmt w:val="decimal"/>
      <w:lvlText w:val="[%1]"/>
      <w:lvlJc w:val="left"/>
      <w:pPr>
        <w:ind w:left="720" w:hanging="360"/>
      </w:pPr>
      <w:rPr>
        <w:rFonts w:ascii="Arial Italic" w:hAnsi="Arial Italic" w:hint="default"/>
        <w:b w:val="0"/>
        <w:i/>
        <w:color w:val="0000FF"/>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5598644F"/>
    <w:multiLevelType w:val="hybridMultilevel"/>
    <w:tmpl w:val="FC168026"/>
    <w:lvl w:ilvl="0" w:tplc="8AC077D6">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40544"/>
    <w:multiLevelType w:val="hybridMultilevel"/>
    <w:tmpl w:val="36EC5694"/>
    <w:lvl w:ilvl="0" w:tplc="D0CCBD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901E5"/>
    <w:multiLevelType w:val="hybridMultilevel"/>
    <w:tmpl w:val="F82091EE"/>
    <w:lvl w:ilvl="0" w:tplc="8AC077D6">
      <w:start w:val="1"/>
      <w:numFmt w:val="bullet"/>
      <w:lvlText w:val="-"/>
      <w:lvlJc w:val="left"/>
      <w:pPr>
        <w:ind w:left="360" w:hanging="360"/>
      </w:pPr>
      <w:rPr>
        <w:rFonts w:ascii="Stencil" w:hAnsi="Stenci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B6038A"/>
    <w:multiLevelType w:val="hybridMultilevel"/>
    <w:tmpl w:val="36EC5694"/>
    <w:lvl w:ilvl="0" w:tplc="D0CCBD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5C39D5"/>
    <w:multiLevelType w:val="hybridMultilevel"/>
    <w:tmpl w:val="36EC5694"/>
    <w:lvl w:ilvl="0" w:tplc="D0CCBD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B27701"/>
    <w:multiLevelType w:val="hybridMultilevel"/>
    <w:tmpl w:val="88D4A2BC"/>
    <w:lvl w:ilvl="0" w:tplc="8AC077D6">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23"/>
  </w:num>
  <w:num w:numId="3">
    <w:abstractNumId w:val="8"/>
  </w:num>
  <w:num w:numId="4">
    <w:abstractNumId w:val="13"/>
  </w:num>
  <w:num w:numId="5">
    <w:abstractNumId w:val="27"/>
  </w:num>
  <w:num w:numId="6">
    <w:abstractNumId w:val="19"/>
  </w:num>
  <w:num w:numId="7">
    <w:abstractNumId w:val="15"/>
  </w:num>
  <w:num w:numId="8">
    <w:abstractNumId w:val="29"/>
  </w:num>
  <w:num w:numId="9">
    <w:abstractNumId w:val="1"/>
  </w:num>
  <w:num w:numId="10">
    <w:abstractNumId w:val="24"/>
  </w:num>
  <w:num w:numId="11">
    <w:abstractNumId w:val="2"/>
  </w:num>
  <w:num w:numId="12">
    <w:abstractNumId w:val="7"/>
  </w:num>
  <w:num w:numId="13">
    <w:abstractNumId w:val="5"/>
  </w:num>
  <w:num w:numId="14">
    <w:abstractNumId w:val="6"/>
  </w:num>
  <w:num w:numId="15">
    <w:abstractNumId w:val="18"/>
  </w:num>
  <w:num w:numId="16">
    <w:abstractNumId w:val="10"/>
  </w:num>
  <w:num w:numId="17">
    <w:abstractNumId w:val="11"/>
  </w:num>
  <w:num w:numId="18">
    <w:abstractNumId w:val="12"/>
  </w:num>
  <w:num w:numId="19">
    <w:abstractNumId w:val="0"/>
  </w:num>
  <w:num w:numId="20">
    <w:abstractNumId w:val="17"/>
  </w:num>
  <w:num w:numId="21">
    <w:abstractNumId w:val="14"/>
  </w:num>
  <w:num w:numId="22">
    <w:abstractNumId w:val="9"/>
  </w:num>
  <w:num w:numId="23">
    <w:abstractNumId w:val="16"/>
  </w:num>
  <w:num w:numId="24">
    <w:abstractNumId w:val="28"/>
  </w:num>
  <w:num w:numId="25">
    <w:abstractNumId w:val="20"/>
  </w:num>
  <w:num w:numId="26">
    <w:abstractNumId w:val="4"/>
  </w:num>
  <w:num w:numId="27">
    <w:abstractNumId w:val="3"/>
  </w:num>
  <w:num w:numId="28">
    <w:abstractNumId w:val="21"/>
  </w:num>
  <w:num w:numId="29">
    <w:abstractNumId w:val="26"/>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linkStyles/>
  <w:defaultTabStop w:val="720"/>
  <w:evenAndOddHeaders/>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92"/>
    <w:rsid w:val="00013E6E"/>
    <w:rsid w:val="000314D7"/>
    <w:rsid w:val="00036B1A"/>
    <w:rsid w:val="0006271E"/>
    <w:rsid w:val="000858C3"/>
    <w:rsid w:val="000924EA"/>
    <w:rsid w:val="000A710F"/>
    <w:rsid w:val="000A74A4"/>
    <w:rsid w:val="000B2FC9"/>
    <w:rsid w:val="000C7331"/>
    <w:rsid w:val="000D1014"/>
    <w:rsid w:val="000F7F73"/>
    <w:rsid w:val="00105601"/>
    <w:rsid w:val="00111A07"/>
    <w:rsid w:val="001612A5"/>
    <w:rsid w:val="00166CE8"/>
    <w:rsid w:val="00186F03"/>
    <w:rsid w:val="001950C5"/>
    <w:rsid w:val="001B4BF3"/>
    <w:rsid w:val="001B7A9B"/>
    <w:rsid w:val="001C4F58"/>
    <w:rsid w:val="0020157C"/>
    <w:rsid w:val="002025D7"/>
    <w:rsid w:val="00216B18"/>
    <w:rsid w:val="00242A5E"/>
    <w:rsid w:val="00252E4C"/>
    <w:rsid w:val="00283DF9"/>
    <w:rsid w:val="002942BF"/>
    <w:rsid w:val="00294D65"/>
    <w:rsid w:val="002A40B3"/>
    <w:rsid w:val="002B24E7"/>
    <w:rsid w:val="002C4D94"/>
    <w:rsid w:val="002E5ADB"/>
    <w:rsid w:val="002F2122"/>
    <w:rsid w:val="003239E7"/>
    <w:rsid w:val="003418C2"/>
    <w:rsid w:val="003441C5"/>
    <w:rsid w:val="0035317E"/>
    <w:rsid w:val="003845DD"/>
    <w:rsid w:val="003A0476"/>
    <w:rsid w:val="003B1D26"/>
    <w:rsid w:val="003F7A93"/>
    <w:rsid w:val="00446173"/>
    <w:rsid w:val="004C7A81"/>
    <w:rsid w:val="004E732F"/>
    <w:rsid w:val="00506D82"/>
    <w:rsid w:val="00507A67"/>
    <w:rsid w:val="005255A9"/>
    <w:rsid w:val="005659D2"/>
    <w:rsid w:val="00582A8C"/>
    <w:rsid w:val="005C224E"/>
    <w:rsid w:val="005C437E"/>
    <w:rsid w:val="005E412D"/>
    <w:rsid w:val="006004C5"/>
    <w:rsid w:val="00636151"/>
    <w:rsid w:val="006453BA"/>
    <w:rsid w:val="00650D2F"/>
    <w:rsid w:val="0065385E"/>
    <w:rsid w:val="006A21D1"/>
    <w:rsid w:val="006D5E89"/>
    <w:rsid w:val="007104C5"/>
    <w:rsid w:val="00717399"/>
    <w:rsid w:val="00730B2B"/>
    <w:rsid w:val="00732D81"/>
    <w:rsid w:val="00762D01"/>
    <w:rsid w:val="0078051E"/>
    <w:rsid w:val="00786A64"/>
    <w:rsid w:val="007D7914"/>
    <w:rsid w:val="007F1113"/>
    <w:rsid w:val="007F7910"/>
    <w:rsid w:val="00800CA3"/>
    <w:rsid w:val="008044A9"/>
    <w:rsid w:val="00885302"/>
    <w:rsid w:val="008B3038"/>
    <w:rsid w:val="008B7291"/>
    <w:rsid w:val="008C0C55"/>
    <w:rsid w:val="008C24C9"/>
    <w:rsid w:val="008E4F84"/>
    <w:rsid w:val="008F3A12"/>
    <w:rsid w:val="009427BD"/>
    <w:rsid w:val="009539E9"/>
    <w:rsid w:val="00956EE4"/>
    <w:rsid w:val="009667D7"/>
    <w:rsid w:val="009A7BE5"/>
    <w:rsid w:val="009F740C"/>
    <w:rsid w:val="00A20773"/>
    <w:rsid w:val="00A408B7"/>
    <w:rsid w:val="00B23B21"/>
    <w:rsid w:val="00B328B7"/>
    <w:rsid w:val="00B41648"/>
    <w:rsid w:val="00B51112"/>
    <w:rsid w:val="00B53A5C"/>
    <w:rsid w:val="00B65F0F"/>
    <w:rsid w:val="00B82833"/>
    <w:rsid w:val="00B9412C"/>
    <w:rsid w:val="00BB12BF"/>
    <w:rsid w:val="00BD1C90"/>
    <w:rsid w:val="00BE0A0C"/>
    <w:rsid w:val="00BF634C"/>
    <w:rsid w:val="00C0214C"/>
    <w:rsid w:val="00C31CDE"/>
    <w:rsid w:val="00C677DE"/>
    <w:rsid w:val="00CC4678"/>
    <w:rsid w:val="00D05D99"/>
    <w:rsid w:val="00D35F4C"/>
    <w:rsid w:val="00D4763F"/>
    <w:rsid w:val="00D7678A"/>
    <w:rsid w:val="00D9373F"/>
    <w:rsid w:val="00D94E61"/>
    <w:rsid w:val="00DA099B"/>
    <w:rsid w:val="00DB00C9"/>
    <w:rsid w:val="00DB25F3"/>
    <w:rsid w:val="00DD7136"/>
    <w:rsid w:val="00DE3C91"/>
    <w:rsid w:val="00E01B9D"/>
    <w:rsid w:val="00E200A4"/>
    <w:rsid w:val="00E2142F"/>
    <w:rsid w:val="00EE311B"/>
    <w:rsid w:val="00F027FA"/>
    <w:rsid w:val="00F25865"/>
    <w:rsid w:val="00F434BC"/>
    <w:rsid w:val="00F47D3B"/>
    <w:rsid w:val="00FE6C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5:docId w15:val="{8087C58D-AA61-4AAC-B845-54728B72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BE5"/>
    <w:pPr>
      <w:spacing w:after="0" w:line="240" w:lineRule="auto"/>
      <w:jc w:val="both"/>
    </w:pPr>
    <w:rPr>
      <w:rFonts w:ascii="Times New Roman" w:eastAsia="MS Mincho" w:hAnsi="Times New Roman"/>
      <w:szCs w:val="24"/>
      <w:lang w:val="en-GB" w:eastAsia="zh-CN"/>
    </w:rPr>
  </w:style>
  <w:style w:type="paragraph" w:styleId="Heading1">
    <w:name w:val="heading 1"/>
    <w:basedOn w:val="Normal"/>
    <w:next w:val="Normal"/>
    <w:link w:val="Heading1Char"/>
    <w:qFormat/>
    <w:rsid w:val="009A7BE5"/>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9A7BE5"/>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9A7BE5"/>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
    <w:semiHidden/>
    <w:unhideWhenUsed/>
    <w:qFormat/>
    <w:rsid w:val="00636151"/>
    <w:p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636151"/>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636151"/>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36151"/>
    <w:pPr>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636151"/>
    <w:pPr>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636151"/>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rsid w:val="009A7B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7BE5"/>
  </w:style>
  <w:style w:type="character" w:customStyle="1" w:styleId="Heading2Char">
    <w:name w:val="Heading 2 Char"/>
    <w:basedOn w:val="DefaultParagraphFont"/>
    <w:link w:val="Heading2"/>
    <w:rsid w:val="009A7BE5"/>
    <w:rPr>
      <w:rFonts w:ascii="Calibri" w:eastAsia="MS Mincho" w:hAnsi="Calibri"/>
      <w:b/>
      <w:bCs/>
      <w:i/>
      <w:iCs/>
      <w:sz w:val="28"/>
      <w:szCs w:val="28"/>
      <w:lang w:val="en-GB" w:eastAsia="zh-CN"/>
    </w:rPr>
  </w:style>
  <w:style w:type="character" w:customStyle="1" w:styleId="Heading1Char">
    <w:name w:val="Heading 1 Char"/>
    <w:basedOn w:val="DefaultParagraphFont"/>
    <w:link w:val="Heading1"/>
    <w:rsid w:val="009A7BE5"/>
    <w:rPr>
      <w:rFonts w:ascii="Times New Roman" w:eastAsia="MS Mincho" w:hAnsi="Times New Roman"/>
      <w:b/>
      <w:bCs/>
      <w:szCs w:val="24"/>
      <w:lang w:val="en-GB" w:eastAsia="zh-CN"/>
    </w:rPr>
  </w:style>
  <w:style w:type="paragraph" w:styleId="Title">
    <w:name w:val="Title"/>
    <w:basedOn w:val="Normal"/>
    <w:next w:val="Normal"/>
    <w:link w:val="TitleChar"/>
    <w:autoRedefine/>
    <w:uiPriority w:val="10"/>
    <w:qFormat/>
    <w:rsid w:val="008B7291"/>
    <w:pPr>
      <w:pBdr>
        <w:bottom w:val="single" w:sz="8" w:space="4" w:color="4472C4" w:themeColor="accent1"/>
      </w:pBdr>
      <w:spacing w:after="300"/>
      <w:contextualSpacing/>
      <w:jc w:val="center"/>
    </w:pPr>
    <w:rPr>
      <w:rFonts w:eastAsiaTheme="majorEastAsia" w:cstheme="majorBidi"/>
      <w:b/>
      <w:color w:val="323E4F" w:themeColor="text2" w:themeShade="BF"/>
      <w:spacing w:val="5"/>
      <w:kern w:val="28"/>
      <w:sz w:val="28"/>
      <w:szCs w:val="52"/>
    </w:rPr>
  </w:style>
  <w:style w:type="character" w:customStyle="1" w:styleId="TitleChar">
    <w:name w:val="Title Char"/>
    <w:basedOn w:val="DefaultParagraphFont"/>
    <w:link w:val="Title"/>
    <w:uiPriority w:val="10"/>
    <w:rsid w:val="008B7291"/>
    <w:rPr>
      <w:rFonts w:ascii="Cambria" w:eastAsiaTheme="majorEastAsia" w:hAnsi="Cambria" w:cstheme="majorBidi"/>
      <w:b/>
      <w:color w:val="323E4F" w:themeColor="text2" w:themeShade="BF"/>
      <w:spacing w:val="5"/>
      <w:kern w:val="28"/>
      <w:sz w:val="28"/>
      <w:szCs w:val="52"/>
    </w:rPr>
  </w:style>
  <w:style w:type="paragraph" w:styleId="Subtitle">
    <w:name w:val="Subtitle"/>
    <w:basedOn w:val="Normal"/>
    <w:next w:val="Normal"/>
    <w:link w:val="SubtitleChar"/>
    <w:uiPriority w:val="11"/>
    <w:qFormat/>
    <w:rsid w:val="00252E4C"/>
    <w:rPr>
      <w:rFonts w:eastAsiaTheme="majorEastAsia" w:cstheme="majorBidi"/>
      <w:i/>
      <w:iCs/>
      <w:spacing w:val="13"/>
    </w:rPr>
  </w:style>
  <w:style w:type="character" w:customStyle="1" w:styleId="SubtitleChar">
    <w:name w:val="Subtitle Char"/>
    <w:basedOn w:val="DefaultParagraphFont"/>
    <w:link w:val="Subtitle"/>
    <w:uiPriority w:val="11"/>
    <w:rsid w:val="00252E4C"/>
    <w:rPr>
      <w:rFonts w:asciiTheme="majorHAnsi" w:eastAsiaTheme="majorEastAsia" w:hAnsiTheme="majorHAnsi" w:cstheme="majorBidi"/>
      <w:i/>
      <w:iCs/>
      <w:spacing w:val="13"/>
      <w:sz w:val="24"/>
      <w:szCs w:val="24"/>
    </w:rPr>
  </w:style>
  <w:style w:type="character" w:styleId="Strong">
    <w:name w:val="Strong"/>
    <w:basedOn w:val="DefaultParagraphFont"/>
    <w:qFormat/>
    <w:rsid w:val="009A7BE5"/>
    <w:rPr>
      <w:b/>
      <w:bCs/>
    </w:rPr>
  </w:style>
  <w:style w:type="paragraph" w:styleId="NoSpacing">
    <w:name w:val="No Spacing"/>
    <w:basedOn w:val="Normal"/>
    <w:uiPriority w:val="1"/>
    <w:qFormat/>
    <w:rsid w:val="00636151"/>
  </w:style>
  <w:style w:type="paragraph" w:styleId="ListParagraph">
    <w:name w:val="List Paragraph"/>
    <w:basedOn w:val="Normal"/>
    <w:uiPriority w:val="34"/>
    <w:qFormat/>
    <w:rsid w:val="009A7BE5"/>
    <w:pPr>
      <w:spacing w:line="240" w:lineRule="atLeast"/>
      <w:ind w:leftChars="400" w:left="800"/>
    </w:pPr>
    <w:rPr>
      <w:rFonts w:ascii="Verdana" w:eastAsia="Times New Roman" w:hAnsi="Verdana"/>
      <w:sz w:val="20"/>
      <w:lang w:val="nl-NL" w:eastAsia="nl-NL"/>
    </w:rPr>
  </w:style>
  <w:style w:type="character" w:styleId="SubtleEmphasis">
    <w:name w:val="Subtle Emphasis"/>
    <w:uiPriority w:val="19"/>
    <w:qFormat/>
    <w:rsid w:val="00636151"/>
    <w:rPr>
      <w:rFonts w:ascii="Cambria" w:hAnsi="Cambria"/>
      <w:i/>
      <w:iCs/>
      <w:sz w:val="24"/>
    </w:rPr>
  </w:style>
  <w:style w:type="character" w:customStyle="1" w:styleId="Heading3Char">
    <w:name w:val="Heading 3 Char"/>
    <w:basedOn w:val="DefaultParagraphFont"/>
    <w:link w:val="Heading3"/>
    <w:rsid w:val="009A7BE5"/>
    <w:rPr>
      <w:rFonts w:ascii="Calibri" w:eastAsia="MS Mincho" w:hAnsi="Calibri"/>
      <w:b/>
      <w:bCs/>
      <w:sz w:val="26"/>
      <w:szCs w:val="26"/>
      <w:lang w:val="en-GB" w:eastAsia="zh-CN"/>
    </w:rPr>
  </w:style>
  <w:style w:type="character" w:customStyle="1" w:styleId="Heading4Char">
    <w:name w:val="Heading 4 Char"/>
    <w:basedOn w:val="DefaultParagraphFont"/>
    <w:link w:val="Heading4"/>
    <w:uiPriority w:val="9"/>
    <w:semiHidden/>
    <w:rsid w:val="0063615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3615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3615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3615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615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6151"/>
    <w:rPr>
      <w:rFonts w:asciiTheme="majorHAnsi" w:eastAsiaTheme="majorEastAsia" w:hAnsiTheme="majorHAnsi" w:cstheme="majorBidi"/>
      <w:i/>
      <w:iCs/>
      <w:spacing w:val="5"/>
      <w:sz w:val="20"/>
      <w:szCs w:val="20"/>
    </w:rPr>
  </w:style>
  <w:style w:type="character" w:styleId="Emphasis">
    <w:name w:val="Emphasis"/>
    <w:uiPriority w:val="20"/>
    <w:qFormat/>
    <w:rsid w:val="00636151"/>
    <w:rPr>
      <w:b/>
      <w:bCs/>
      <w:i/>
      <w:iCs/>
      <w:spacing w:val="10"/>
      <w:bdr w:val="none" w:sz="0" w:space="0" w:color="auto"/>
      <w:shd w:val="clear" w:color="auto" w:fill="auto"/>
    </w:rPr>
  </w:style>
  <w:style w:type="paragraph" w:styleId="Quote">
    <w:name w:val="Quote"/>
    <w:basedOn w:val="Normal"/>
    <w:next w:val="Normal"/>
    <w:link w:val="QuoteChar"/>
    <w:uiPriority w:val="29"/>
    <w:qFormat/>
    <w:rsid w:val="00636151"/>
    <w:pPr>
      <w:spacing w:before="200"/>
      <w:ind w:left="360" w:right="360"/>
    </w:pPr>
    <w:rPr>
      <w:rFonts w:asciiTheme="minorHAnsi" w:hAnsiTheme="minorHAnsi"/>
      <w:i/>
      <w:iCs/>
    </w:rPr>
  </w:style>
  <w:style w:type="character" w:customStyle="1" w:styleId="QuoteChar">
    <w:name w:val="Quote Char"/>
    <w:basedOn w:val="DefaultParagraphFont"/>
    <w:link w:val="Quote"/>
    <w:uiPriority w:val="29"/>
    <w:rsid w:val="00636151"/>
    <w:rPr>
      <w:i/>
      <w:iCs/>
    </w:rPr>
  </w:style>
  <w:style w:type="paragraph" w:styleId="IntenseQuote">
    <w:name w:val="Intense Quote"/>
    <w:basedOn w:val="Normal"/>
    <w:next w:val="Normal"/>
    <w:link w:val="IntenseQuoteChar"/>
    <w:uiPriority w:val="30"/>
    <w:qFormat/>
    <w:rsid w:val="00636151"/>
    <w:pPr>
      <w:pBdr>
        <w:bottom w:val="single" w:sz="4" w:space="1" w:color="auto"/>
      </w:pBdr>
      <w:spacing w:before="200" w:after="280"/>
      <w:ind w:left="1008" w:right="1152"/>
    </w:pPr>
    <w:rPr>
      <w:rFonts w:asciiTheme="minorHAnsi" w:hAnsiTheme="minorHAnsi"/>
      <w:b/>
      <w:bCs/>
      <w:i/>
      <w:iCs/>
    </w:rPr>
  </w:style>
  <w:style w:type="character" w:customStyle="1" w:styleId="IntenseQuoteChar">
    <w:name w:val="Intense Quote Char"/>
    <w:basedOn w:val="DefaultParagraphFont"/>
    <w:link w:val="IntenseQuote"/>
    <w:uiPriority w:val="30"/>
    <w:rsid w:val="00636151"/>
    <w:rPr>
      <w:b/>
      <w:bCs/>
      <w:i/>
      <w:iCs/>
    </w:rPr>
  </w:style>
  <w:style w:type="character" w:styleId="IntenseEmphasis">
    <w:name w:val="Intense Emphasis"/>
    <w:uiPriority w:val="21"/>
    <w:qFormat/>
    <w:rsid w:val="00636151"/>
    <w:rPr>
      <w:b/>
      <w:bCs/>
    </w:rPr>
  </w:style>
  <w:style w:type="character" w:styleId="SubtleReference">
    <w:name w:val="Subtle Reference"/>
    <w:uiPriority w:val="31"/>
    <w:qFormat/>
    <w:rsid w:val="00636151"/>
    <w:rPr>
      <w:smallCaps/>
    </w:rPr>
  </w:style>
  <w:style w:type="character" w:styleId="IntenseReference">
    <w:name w:val="Intense Reference"/>
    <w:uiPriority w:val="32"/>
    <w:qFormat/>
    <w:rsid w:val="00636151"/>
    <w:rPr>
      <w:smallCaps/>
      <w:spacing w:val="5"/>
      <w:u w:val="single"/>
    </w:rPr>
  </w:style>
  <w:style w:type="character" w:styleId="BookTitle">
    <w:name w:val="Book Title"/>
    <w:uiPriority w:val="33"/>
    <w:qFormat/>
    <w:rsid w:val="00636151"/>
    <w:rPr>
      <w:i/>
      <w:iCs/>
      <w:smallCaps/>
      <w:spacing w:val="5"/>
    </w:rPr>
  </w:style>
  <w:style w:type="paragraph" w:styleId="TOCHeading">
    <w:name w:val="TOC Heading"/>
    <w:basedOn w:val="Heading1"/>
    <w:next w:val="Normal"/>
    <w:uiPriority w:val="39"/>
    <w:semiHidden/>
    <w:unhideWhenUsed/>
    <w:qFormat/>
    <w:rsid w:val="00636151"/>
    <w:pPr>
      <w:outlineLvl w:val="9"/>
    </w:pPr>
    <w:rPr>
      <w:lang w:bidi="en-US"/>
    </w:rPr>
  </w:style>
  <w:style w:type="paragraph" w:styleId="FootnoteText">
    <w:name w:val="footnote text"/>
    <w:basedOn w:val="Normal"/>
    <w:link w:val="FootnoteTextChar"/>
    <w:semiHidden/>
    <w:rsid w:val="009A7BE5"/>
    <w:pPr>
      <w:spacing w:before="60"/>
    </w:pPr>
    <w:rPr>
      <w:sz w:val="20"/>
    </w:rPr>
  </w:style>
  <w:style w:type="character" w:customStyle="1" w:styleId="FootnoteTextChar">
    <w:name w:val="Footnote Text Char"/>
    <w:basedOn w:val="DefaultParagraphFont"/>
    <w:link w:val="FootnoteText"/>
    <w:semiHidden/>
    <w:rsid w:val="009A7BE5"/>
    <w:rPr>
      <w:rFonts w:ascii="Times New Roman" w:eastAsia="MS Mincho" w:hAnsi="Times New Roman"/>
      <w:sz w:val="20"/>
      <w:szCs w:val="24"/>
      <w:lang w:val="en-GB" w:eastAsia="zh-CN"/>
    </w:rPr>
  </w:style>
  <w:style w:type="character" w:styleId="FootnoteReference">
    <w:name w:val="footnote reference"/>
    <w:basedOn w:val="DefaultParagraphFont"/>
    <w:semiHidden/>
    <w:rsid w:val="009A7BE5"/>
    <w:rPr>
      <w:vertAlign w:val="superscript"/>
    </w:rPr>
  </w:style>
  <w:style w:type="table" w:styleId="TableGrid">
    <w:name w:val="Table Grid"/>
    <w:basedOn w:val="TableNormal"/>
    <w:rsid w:val="009A7BE5"/>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7BE5"/>
    <w:rPr>
      <w:rFonts w:ascii="Tahoma" w:hAnsi="Tahoma" w:cs="Tahoma"/>
      <w:sz w:val="16"/>
      <w:szCs w:val="16"/>
    </w:rPr>
  </w:style>
  <w:style w:type="character" w:customStyle="1" w:styleId="BalloonTextChar">
    <w:name w:val="Balloon Text Char"/>
    <w:basedOn w:val="DefaultParagraphFont"/>
    <w:link w:val="BalloonText"/>
    <w:rsid w:val="009A7BE5"/>
    <w:rPr>
      <w:rFonts w:ascii="Tahoma" w:eastAsia="MS Mincho" w:hAnsi="Tahoma" w:cs="Tahoma"/>
      <w:sz w:val="16"/>
      <w:szCs w:val="16"/>
      <w:lang w:val="en-GB" w:eastAsia="zh-CN"/>
    </w:rPr>
  </w:style>
  <w:style w:type="character" w:styleId="Hyperlink">
    <w:name w:val="Hyperlink"/>
    <w:basedOn w:val="DefaultParagraphFont"/>
    <w:uiPriority w:val="99"/>
    <w:unhideWhenUsed/>
    <w:rsid w:val="002025D7"/>
    <w:rPr>
      <w:color w:val="0563C1" w:themeColor="hyperlink"/>
      <w:u w:val="single"/>
    </w:rPr>
  </w:style>
  <w:style w:type="character" w:styleId="CommentReference">
    <w:name w:val="annotation reference"/>
    <w:basedOn w:val="DefaultParagraphFont"/>
    <w:uiPriority w:val="99"/>
    <w:semiHidden/>
    <w:unhideWhenUsed/>
    <w:rsid w:val="000F7F73"/>
    <w:rPr>
      <w:sz w:val="16"/>
      <w:szCs w:val="16"/>
    </w:rPr>
  </w:style>
  <w:style w:type="paragraph" w:styleId="CommentText">
    <w:name w:val="annotation text"/>
    <w:basedOn w:val="Normal"/>
    <w:link w:val="CommentTextChar"/>
    <w:uiPriority w:val="99"/>
    <w:semiHidden/>
    <w:unhideWhenUsed/>
    <w:rsid w:val="000F7F73"/>
    <w:rPr>
      <w:sz w:val="20"/>
      <w:szCs w:val="20"/>
    </w:rPr>
  </w:style>
  <w:style w:type="character" w:customStyle="1" w:styleId="CommentTextChar">
    <w:name w:val="Comment Text Char"/>
    <w:basedOn w:val="DefaultParagraphFont"/>
    <w:link w:val="CommentText"/>
    <w:uiPriority w:val="99"/>
    <w:semiHidden/>
    <w:rsid w:val="000F7F73"/>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F7F73"/>
    <w:rPr>
      <w:b/>
      <w:bCs/>
    </w:rPr>
  </w:style>
  <w:style w:type="character" w:customStyle="1" w:styleId="CommentSubjectChar">
    <w:name w:val="Comment Subject Char"/>
    <w:basedOn w:val="CommentTextChar"/>
    <w:link w:val="CommentSubject"/>
    <w:uiPriority w:val="99"/>
    <w:semiHidden/>
    <w:rsid w:val="000F7F73"/>
    <w:rPr>
      <w:rFonts w:asciiTheme="majorHAnsi" w:hAnsiTheme="majorHAnsi"/>
      <w:b/>
      <w:bCs/>
      <w:sz w:val="20"/>
      <w:szCs w:val="20"/>
    </w:rPr>
  </w:style>
  <w:style w:type="paragraph" w:styleId="Header">
    <w:name w:val="header"/>
    <w:basedOn w:val="Normal"/>
    <w:link w:val="HeaderChar"/>
    <w:rsid w:val="009A7BE5"/>
    <w:pPr>
      <w:tabs>
        <w:tab w:val="center" w:pos="4680"/>
        <w:tab w:val="right" w:pos="9360"/>
      </w:tabs>
    </w:pPr>
  </w:style>
  <w:style w:type="character" w:customStyle="1" w:styleId="HeaderChar">
    <w:name w:val="Header Char"/>
    <w:basedOn w:val="DefaultParagraphFont"/>
    <w:link w:val="Header"/>
    <w:rsid w:val="009A7BE5"/>
    <w:rPr>
      <w:rFonts w:ascii="Times New Roman" w:eastAsia="MS Mincho" w:hAnsi="Times New Roman"/>
      <w:szCs w:val="24"/>
      <w:lang w:val="en-GB" w:eastAsia="zh-CN"/>
    </w:rPr>
  </w:style>
  <w:style w:type="paragraph" w:styleId="Footer">
    <w:name w:val="footer"/>
    <w:basedOn w:val="Normal"/>
    <w:link w:val="FooterChar"/>
    <w:rsid w:val="009A7BE5"/>
    <w:pPr>
      <w:tabs>
        <w:tab w:val="center" w:pos="4680"/>
        <w:tab w:val="right" w:pos="9360"/>
      </w:tabs>
    </w:pPr>
  </w:style>
  <w:style w:type="character" w:customStyle="1" w:styleId="FooterChar">
    <w:name w:val="Footer Char"/>
    <w:basedOn w:val="DefaultParagraphFont"/>
    <w:link w:val="Footer"/>
    <w:rsid w:val="009A7BE5"/>
    <w:rPr>
      <w:rFonts w:ascii="Times New Roman" w:eastAsia="MS Mincho" w:hAnsi="Times New Roman"/>
      <w:szCs w:val="24"/>
      <w:lang w:val="en-GB" w:eastAsia="zh-CN"/>
    </w:rPr>
  </w:style>
  <w:style w:type="paragraph" w:customStyle="1" w:styleId="Style">
    <w:name w:val="Style"/>
    <w:basedOn w:val="Footer"/>
    <w:autoRedefine/>
    <w:qFormat/>
    <w:rsid w:val="009A7BE5"/>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PageNumber">
    <w:name w:val="page number"/>
    <w:rsid w:val="009A7BE5"/>
    <w:rPr>
      <w:rFonts w:ascii="Arial" w:hAnsi="Arial"/>
      <w:b/>
      <w:sz w:val="18"/>
    </w:rPr>
  </w:style>
  <w:style w:type="paragraph" w:customStyle="1" w:styleId="IPPArialFootnote">
    <w:name w:val="IPP Arial Footnote"/>
    <w:basedOn w:val="IPPArialTable"/>
    <w:qFormat/>
    <w:rsid w:val="009A7BE5"/>
    <w:pPr>
      <w:tabs>
        <w:tab w:val="left" w:pos="28"/>
      </w:tabs>
      <w:ind w:left="284" w:hanging="284"/>
    </w:pPr>
    <w:rPr>
      <w:sz w:val="16"/>
    </w:rPr>
  </w:style>
  <w:style w:type="paragraph" w:customStyle="1" w:styleId="IPPContentsHead">
    <w:name w:val="IPP ContentsHead"/>
    <w:basedOn w:val="IPPSubhead"/>
    <w:next w:val="IPPNormal"/>
    <w:qFormat/>
    <w:rsid w:val="009A7BE5"/>
    <w:pPr>
      <w:spacing w:after="240"/>
    </w:pPr>
    <w:rPr>
      <w:sz w:val="24"/>
    </w:rPr>
  </w:style>
  <w:style w:type="paragraph" w:customStyle="1" w:styleId="IPPBullet2">
    <w:name w:val="IPP Bullet2"/>
    <w:basedOn w:val="IPPNormal"/>
    <w:next w:val="IPPBullet1"/>
    <w:qFormat/>
    <w:rsid w:val="009A7BE5"/>
    <w:pPr>
      <w:numPr>
        <w:numId w:val="5"/>
      </w:numPr>
      <w:tabs>
        <w:tab w:val="left" w:pos="1134"/>
      </w:tabs>
      <w:spacing w:after="60"/>
    </w:pPr>
  </w:style>
  <w:style w:type="paragraph" w:customStyle="1" w:styleId="IPPQuote">
    <w:name w:val="IPP Quote"/>
    <w:basedOn w:val="IPPNormal"/>
    <w:qFormat/>
    <w:rsid w:val="009A7BE5"/>
    <w:pPr>
      <w:ind w:left="851" w:right="851"/>
    </w:pPr>
    <w:rPr>
      <w:sz w:val="18"/>
    </w:rPr>
  </w:style>
  <w:style w:type="paragraph" w:customStyle="1" w:styleId="IPPNormal">
    <w:name w:val="IPP Normal"/>
    <w:basedOn w:val="Normal"/>
    <w:link w:val="IPPNormalChar"/>
    <w:qFormat/>
    <w:rsid w:val="009A7BE5"/>
    <w:pPr>
      <w:spacing w:after="180"/>
    </w:pPr>
    <w:rPr>
      <w:rFonts w:eastAsia="Times"/>
    </w:rPr>
  </w:style>
  <w:style w:type="paragraph" w:customStyle="1" w:styleId="IPPIndentClose">
    <w:name w:val="IPP Indent Close"/>
    <w:basedOn w:val="IPPNormal"/>
    <w:qFormat/>
    <w:rsid w:val="009A7BE5"/>
    <w:pPr>
      <w:tabs>
        <w:tab w:val="left" w:pos="2835"/>
      </w:tabs>
      <w:spacing w:after="60"/>
      <w:ind w:left="567"/>
    </w:pPr>
  </w:style>
  <w:style w:type="paragraph" w:customStyle="1" w:styleId="IPPIndent">
    <w:name w:val="IPP Indent"/>
    <w:basedOn w:val="IPPIndentClose"/>
    <w:qFormat/>
    <w:rsid w:val="009A7BE5"/>
    <w:pPr>
      <w:spacing w:after="180"/>
    </w:pPr>
  </w:style>
  <w:style w:type="paragraph" w:customStyle="1" w:styleId="IPPFootnote">
    <w:name w:val="IPP Footnote"/>
    <w:basedOn w:val="IPPArialFootnote"/>
    <w:qFormat/>
    <w:rsid w:val="009A7BE5"/>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9A7BE5"/>
    <w:pPr>
      <w:keepNext/>
      <w:tabs>
        <w:tab w:val="left" w:pos="567"/>
      </w:tabs>
      <w:spacing w:before="120" w:after="120"/>
      <w:ind w:left="567" w:hanging="567"/>
    </w:pPr>
    <w:rPr>
      <w:b/>
      <w:i/>
    </w:rPr>
  </w:style>
  <w:style w:type="character" w:customStyle="1" w:styleId="IPPnormalitalics">
    <w:name w:val="IPP normal italics"/>
    <w:basedOn w:val="DefaultParagraphFont"/>
    <w:rsid w:val="009A7BE5"/>
    <w:rPr>
      <w:rFonts w:ascii="Times New Roman" w:hAnsi="Times New Roman"/>
      <w:i/>
      <w:sz w:val="22"/>
      <w:lang w:val="en-US"/>
    </w:rPr>
  </w:style>
  <w:style w:type="character" w:customStyle="1" w:styleId="IPPNormalbold">
    <w:name w:val="IPP Normal bold"/>
    <w:basedOn w:val="PlainTextChar"/>
    <w:rsid w:val="009A7BE5"/>
    <w:rPr>
      <w:rFonts w:ascii="Times New Roman" w:eastAsia="Times" w:hAnsi="Times New Roman"/>
      <w:b/>
      <w:sz w:val="22"/>
      <w:szCs w:val="21"/>
      <w:lang w:val="en-AU" w:eastAsia="zh-CN"/>
    </w:rPr>
  </w:style>
  <w:style w:type="paragraph" w:customStyle="1" w:styleId="IPPHeadSection">
    <w:name w:val="IPP HeadSection"/>
    <w:basedOn w:val="Normal"/>
    <w:next w:val="Normal"/>
    <w:qFormat/>
    <w:rsid w:val="009A7BE5"/>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9A7BE5"/>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9A7BE5"/>
    <w:pPr>
      <w:keepNext/>
      <w:ind w:left="567" w:hanging="567"/>
      <w:jc w:val="left"/>
    </w:pPr>
    <w:rPr>
      <w:b/>
      <w:bCs/>
      <w:iCs/>
      <w:szCs w:val="22"/>
    </w:rPr>
  </w:style>
  <w:style w:type="character" w:customStyle="1" w:styleId="IPPNormalunderlined">
    <w:name w:val="IPP Normal underlined"/>
    <w:basedOn w:val="DefaultParagraphFont"/>
    <w:rsid w:val="009A7BE5"/>
    <w:rPr>
      <w:rFonts w:ascii="Times New Roman" w:hAnsi="Times New Roman"/>
      <w:sz w:val="22"/>
      <w:u w:val="single"/>
      <w:lang w:val="en-US"/>
    </w:rPr>
  </w:style>
  <w:style w:type="paragraph" w:customStyle="1" w:styleId="IPPBullet1">
    <w:name w:val="IPP Bullet1"/>
    <w:basedOn w:val="IPPBullet1Last"/>
    <w:qFormat/>
    <w:rsid w:val="009A7BE5"/>
    <w:pPr>
      <w:numPr>
        <w:numId w:val="10"/>
      </w:numPr>
      <w:spacing w:after="60"/>
    </w:pPr>
    <w:rPr>
      <w:lang w:val="en-US"/>
    </w:rPr>
  </w:style>
  <w:style w:type="paragraph" w:customStyle="1" w:styleId="IPPBullet1Last">
    <w:name w:val="IPP Bullet1Last"/>
    <w:basedOn w:val="IPPNormal"/>
    <w:next w:val="IPPNormal"/>
    <w:autoRedefine/>
    <w:qFormat/>
    <w:rsid w:val="009A7BE5"/>
    <w:pPr>
      <w:numPr>
        <w:numId w:val="6"/>
      </w:numPr>
    </w:pPr>
  </w:style>
  <w:style w:type="character" w:customStyle="1" w:styleId="IPPNormalstrikethrough">
    <w:name w:val="IPP Normal strikethrough"/>
    <w:rsid w:val="009A7BE5"/>
    <w:rPr>
      <w:rFonts w:ascii="Times New Roman" w:hAnsi="Times New Roman"/>
      <w:strike/>
      <w:dstrike w:val="0"/>
      <w:sz w:val="22"/>
    </w:rPr>
  </w:style>
  <w:style w:type="paragraph" w:customStyle="1" w:styleId="IPPTitle16pt">
    <w:name w:val="IPP Title16pt"/>
    <w:basedOn w:val="Normal"/>
    <w:qFormat/>
    <w:rsid w:val="009A7BE5"/>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9A7BE5"/>
    <w:pPr>
      <w:spacing w:after="360"/>
      <w:jc w:val="center"/>
    </w:pPr>
    <w:rPr>
      <w:rFonts w:ascii="Arial" w:hAnsi="Arial" w:cs="Arial"/>
      <w:b/>
      <w:bCs/>
      <w:sz w:val="36"/>
      <w:szCs w:val="36"/>
    </w:rPr>
  </w:style>
  <w:style w:type="paragraph" w:customStyle="1" w:styleId="IPPHeader">
    <w:name w:val="IPP Header"/>
    <w:basedOn w:val="Normal"/>
    <w:qFormat/>
    <w:rsid w:val="009A7BE5"/>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9A7BE5"/>
    <w:pPr>
      <w:keepNext/>
      <w:tabs>
        <w:tab w:val="left" w:pos="567"/>
      </w:tabs>
      <w:spacing w:before="120"/>
      <w:jc w:val="left"/>
      <w:outlineLvl w:val="1"/>
    </w:pPr>
    <w:rPr>
      <w:b/>
      <w:sz w:val="24"/>
    </w:rPr>
  </w:style>
  <w:style w:type="numbering" w:customStyle="1" w:styleId="IPPParagraphnumberedlist">
    <w:name w:val="IPP Paragraph numbered list"/>
    <w:rsid w:val="009A7BE5"/>
    <w:pPr>
      <w:numPr>
        <w:numId w:val="4"/>
      </w:numPr>
    </w:pPr>
  </w:style>
  <w:style w:type="paragraph" w:customStyle="1" w:styleId="IPPNormalCloseSpace">
    <w:name w:val="IPP NormalCloseSpace"/>
    <w:basedOn w:val="Normal"/>
    <w:qFormat/>
    <w:rsid w:val="009A7BE5"/>
    <w:pPr>
      <w:keepNext/>
      <w:spacing w:after="60"/>
    </w:pPr>
  </w:style>
  <w:style w:type="paragraph" w:customStyle="1" w:styleId="IPPHeading2">
    <w:name w:val="IPP Heading2"/>
    <w:basedOn w:val="IPPNormal"/>
    <w:next w:val="IPPNormal"/>
    <w:qFormat/>
    <w:rsid w:val="009A7BE5"/>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9A7BE5"/>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9A7BE5"/>
    <w:pPr>
      <w:tabs>
        <w:tab w:val="right" w:leader="dot" w:pos="9072"/>
      </w:tabs>
      <w:spacing w:before="240"/>
      <w:ind w:left="567" w:hanging="567"/>
    </w:pPr>
  </w:style>
  <w:style w:type="paragraph" w:styleId="TOC2">
    <w:name w:val="toc 2"/>
    <w:basedOn w:val="TOC1"/>
    <w:next w:val="Normal"/>
    <w:autoRedefine/>
    <w:uiPriority w:val="39"/>
    <w:rsid w:val="009A7BE5"/>
    <w:pPr>
      <w:keepNext w:val="0"/>
      <w:tabs>
        <w:tab w:val="left" w:pos="425"/>
      </w:tabs>
      <w:spacing w:before="120" w:after="0"/>
      <w:ind w:left="425" w:right="284" w:hanging="425"/>
    </w:pPr>
  </w:style>
  <w:style w:type="paragraph" w:styleId="TOC3">
    <w:name w:val="toc 3"/>
    <w:basedOn w:val="TOC2"/>
    <w:next w:val="Normal"/>
    <w:autoRedefine/>
    <w:uiPriority w:val="39"/>
    <w:rsid w:val="009A7BE5"/>
    <w:pPr>
      <w:tabs>
        <w:tab w:val="left" w:pos="1276"/>
      </w:tabs>
      <w:spacing w:before="60"/>
      <w:ind w:left="1276" w:hanging="851"/>
    </w:pPr>
    <w:rPr>
      <w:rFonts w:eastAsia="Times"/>
    </w:rPr>
  </w:style>
  <w:style w:type="paragraph" w:styleId="TOC4">
    <w:name w:val="toc 4"/>
    <w:basedOn w:val="Normal"/>
    <w:next w:val="Normal"/>
    <w:autoRedefine/>
    <w:uiPriority w:val="39"/>
    <w:rsid w:val="009A7BE5"/>
    <w:pPr>
      <w:spacing w:after="120"/>
      <w:ind w:left="660"/>
    </w:pPr>
    <w:rPr>
      <w:rFonts w:eastAsia="Times"/>
      <w:lang w:val="en-AU"/>
    </w:rPr>
  </w:style>
  <w:style w:type="paragraph" w:styleId="TOC5">
    <w:name w:val="toc 5"/>
    <w:basedOn w:val="Normal"/>
    <w:next w:val="Normal"/>
    <w:autoRedefine/>
    <w:uiPriority w:val="39"/>
    <w:rsid w:val="009A7BE5"/>
    <w:pPr>
      <w:spacing w:after="120"/>
      <w:ind w:left="880"/>
    </w:pPr>
    <w:rPr>
      <w:rFonts w:eastAsia="Times"/>
      <w:lang w:val="en-AU"/>
    </w:rPr>
  </w:style>
  <w:style w:type="paragraph" w:styleId="TOC6">
    <w:name w:val="toc 6"/>
    <w:basedOn w:val="Normal"/>
    <w:next w:val="Normal"/>
    <w:autoRedefine/>
    <w:uiPriority w:val="39"/>
    <w:rsid w:val="009A7BE5"/>
    <w:pPr>
      <w:spacing w:after="120"/>
      <w:ind w:left="1100"/>
    </w:pPr>
    <w:rPr>
      <w:rFonts w:eastAsia="Times"/>
      <w:lang w:val="en-AU"/>
    </w:rPr>
  </w:style>
  <w:style w:type="paragraph" w:styleId="TOC7">
    <w:name w:val="toc 7"/>
    <w:basedOn w:val="Normal"/>
    <w:next w:val="Normal"/>
    <w:autoRedefine/>
    <w:uiPriority w:val="39"/>
    <w:rsid w:val="009A7BE5"/>
    <w:pPr>
      <w:spacing w:after="120"/>
      <w:ind w:left="1320"/>
    </w:pPr>
    <w:rPr>
      <w:rFonts w:eastAsia="Times"/>
      <w:lang w:val="en-AU"/>
    </w:rPr>
  </w:style>
  <w:style w:type="paragraph" w:styleId="TOC8">
    <w:name w:val="toc 8"/>
    <w:basedOn w:val="Normal"/>
    <w:next w:val="Normal"/>
    <w:autoRedefine/>
    <w:uiPriority w:val="39"/>
    <w:rsid w:val="009A7BE5"/>
    <w:pPr>
      <w:spacing w:after="120"/>
      <w:ind w:left="1540"/>
    </w:pPr>
    <w:rPr>
      <w:rFonts w:eastAsia="Times"/>
      <w:lang w:val="en-AU"/>
    </w:rPr>
  </w:style>
  <w:style w:type="paragraph" w:styleId="TOC9">
    <w:name w:val="toc 9"/>
    <w:basedOn w:val="Normal"/>
    <w:next w:val="Normal"/>
    <w:autoRedefine/>
    <w:uiPriority w:val="39"/>
    <w:rsid w:val="009A7BE5"/>
    <w:pPr>
      <w:spacing w:after="120"/>
      <w:ind w:left="1760"/>
    </w:pPr>
    <w:rPr>
      <w:rFonts w:eastAsia="Times"/>
      <w:lang w:val="en-AU"/>
    </w:rPr>
  </w:style>
  <w:style w:type="paragraph" w:customStyle="1" w:styleId="IPPReferences">
    <w:name w:val="IPP References"/>
    <w:basedOn w:val="IPPNormal"/>
    <w:qFormat/>
    <w:rsid w:val="009A7BE5"/>
    <w:pPr>
      <w:spacing w:after="60"/>
      <w:ind w:left="567" w:hanging="567"/>
    </w:pPr>
  </w:style>
  <w:style w:type="paragraph" w:customStyle="1" w:styleId="IPPArial">
    <w:name w:val="IPP Arial"/>
    <w:basedOn w:val="IPPNormal"/>
    <w:qFormat/>
    <w:rsid w:val="009A7BE5"/>
    <w:pPr>
      <w:spacing w:after="0"/>
    </w:pPr>
    <w:rPr>
      <w:rFonts w:ascii="Arial" w:hAnsi="Arial"/>
      <w:sz w:val="18"/>
    </w:rPr>
  </w:style>
  <w:style w:type="paragraph" w:customStyle="1" w:styleId="IPPArialTable">
    <w:name w:val="IPP Arial Table"/>
    <w:basedOn w:val="IPPArial"/>
    <w:qFormat/>
    <w:rsid w:val="009A7BE5"/>
    <w:pPr>
      <w:spacing w:before="60" w:after="60"/>
      <w:jc w:val="left"/>
    </w:pPr>
  </w:style>
  <w:style w:type="paragraph" w:customStyle="1" w:styleId="IPPHeaderlandscape">
    <w:name w:val="IPP Header landscape"/>
    <w:basedOn w:val="IPPHeader"/>
    <w:qFormat/>
    <w:rsid w:val="009A7BE5"/>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9A7BE5"/>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9A7BE5"/>
    <w:rPr>
      <w:rFonts w:ascii="Courier" w:eastAsia="Times" w:hAnsi="Courier"/>
      <w:sz w:val="21"/>
      <w:szCs w:val="21"/>
      <w:lang w:val="en-AU" w:eastAsia="zh-CN"/>
    </w:rPr>
  </w:style>
  <w:style w:type="paragraph" w:customStyle="1" w:styleId="IPPLetterList">
    <w:name w:val="IPP LetterList"/>
    <w:basedOn w:val="IPPBullet2"/>
    <w:qFormat/>
    <w:rsid w:val="009A7BE5"/>
    <w:pPr>
      <w:numPr>
        <w:numId w:val="2"/>
      </w:numPr>
      <w:jc w:val="left"/>
    </w:pPr>
  </w:style>
  <w:style w:type="paragraph" w:customStyle="1" w:styleId="IPPLetterListIndent">
    <w:name w:val="IPP LetterList Indent"/>
    <w:basedOn w:val="IPPLetterList"/>
    <w:qFormat/>
    <w:rsid w:val="009A7BE5"/>
    <w:pPr>
      <w:numPr>
        <w:numId w:val="3"/>
      </w:numPr>
    </w:pPr>
  </w:style>
  <w:style w:type="paragraph" w:customStyle="1" w:styleId="IPPFooterLandscape">
    <w:name w:val="IPP Footer Landscape"/>
    <w:basedOn w:val="IPPHeaderlandscape"/>
    <w:qFormat/>
    <w:rsid w:val="009A7BE5"/>
    <w:pPr>
      <w:pBdr>
        <w:top w:val="single" w:sz="4" w:space="1" w:color="auto"/>
        <w:bottom w:val="none" w:sz="0" w:space="0" w:color="auto"/>
      </w:pBdr>
      <w:jc w:val="right"/>
    </w:pPr>
    <w:rPr>
      <w:b/>
    </w:rPr>
  </w:style>
  <w:style w:type="paragraph" w:customStyle="1" w:styleId="IPPSubheadSpace">
    <w:name w:val="IPP Subhead Space"/>
    <w:basedOn w:val="IPPSubhead"/>
    <w:qFormat/>
    <w:rsid w:val="009A7BE5"/>
    <w:pPr>
      <w:tabs>
        <w:tab w:val="left" w:pos="567"/>
      </w:tabs>
      <w:spacing w:before="60" w:after="60"/>
    </w:pPr>
  </w:style>
  <w:style w:type="paragraph" w:customStyle="1" w:styleId="IPPSubheadSpaceAfter">
    <w:name w:val="IPP Subhead SpaceAfter"/>
    <w:basedOn w:val="IPPSubhead"/>
    <w:qFormat/>
    <w:rsid w:val="009A7BE5"/>
    <w:pPr>
      <w:spacing w:after="60"/>
    </w:pPr>
  </w:style>
  <w:style w:type="paragraph" w:customStyle="1" w:styleId="IPPHdg1Num">
    <w:name w:val="IPP Hdg1Num"/>
    <w:basedOn w:val="IPPHeading1"/>
    <w:next w:val="IPPNormal"/>
    <w:qFormat/>
    <w:rsid w:val="009A7BE5"/>
    <w:pPr>
      <w:numPr>
        <w:numId w:val="7"/>
      </w:numPr>
    </w:pPr>
  </w:style>
  <w:style w:type="paragraph" w:customStyle="1" w:styleId="IPPHdg2Num">
    <w:name w:val="IPP Hdg2Num"/>
    <w:basedOn w:val="IPPHeading2"/>
    <w:next w:val="IPPNormal"/>
    <w:qFormat/>
    <w:rsid w:val="009A7BE5"/>
    <w:pPr>
      <w:numPr>
        <w:ilvl w:val="1"/>
        <w:numId w:val="8"/>
      </w:numPr>
    </w:pPr>
  </w:style>
  <w:style w:type="paragraph" w:customStyle="1" w:styleId="IPPNumberedList">
    <w:name w:val="IPP NumberedList"/>
    <w:basedOn w:val="IPPBullet1"/>
    <w:qFormat/>
    <w:rsid w:val="009A7BE5"/>
    <w:pPr>
      <w:numPr>
        <w:numId w:val="9"/>
      </w:numPr>
    </w:pPr>
  </w:style>
  <w:style w:type="paragraph" w:customStyle="1" w:styleId="IPPParagraphnumbering">
    <w:name w:val="IPP Paragraph numbering"/>
    <w:basedOn w:val="IPPNormal"/>
    <w:qFormat/>
    <w:rsid w:val="009A7BE5"/>
    <w:pPr>
      <w:tabs>
        <w:tab w:val="num" w:pos="0"/>
      </w:tabs>
      <w:ind w:hanging="482"/>
    </w:pPr>
    <w:rPr>
      <w:lang w:val="en-US"/>
    </w:rPr>
  </w:style>
  <w:style w:type="paragraph" w:customStyle="1" w:styleId="IPPParagraphnumberingclose">
    <w:name w:val="IPP Paragraph numbering close"/>
    <w:basedOn w:val="IPPParagraphnumbering"/>
    <w:qFormat/>
    <w:rsid w:val="009A7BE5"/>
    <w:pPr>
      <w:keepNext/>
      <w:tabs>
        <w:tab w:val="clear" w:pos="0"/>
      </w:tabs>
      <w:spacing w:after="60"/>
      <w:ind w:firstLine="0"/>
    </w:pPr>
  </w:style>
  <w:style w:type="paragraph" w:customStyle="1" w:styleId="IPPNumberedListLast">
    <w:name w:val="IPP NumberedListLast"/>
    <w:basedOn w:val="IPPNumberedList"/>
    <w:qFormat/>
    <w:rsid w:val="009A7BE5"/>
    <w:pPr>
      <w:numPr>
        <w:numId w:val="0"/>
      </w:numPr>
      <w:spacing w:after="180"/>
    </w:pPr>
  </w:style>
  <w:style w:type="paragraph" w:customStyle="1" w:styleId="IPPPargraphnumbering">
    <w:name w:val="IPP Pargraph numbering"/>
    <w:basedOn w:val="IPPNormal"/>
    <w:qFormat/>
    <w:rsid w:val="009A7BE5"/>
    <w:pPr>
      <w:tabs>
        <w:tab w:val="num" w:pos="360"/>
      </w:tabs>
    </w:pPr>
    <w:rPr>
      <w:rFonts w:cs="Times New Roman"/>
      <w:lang w:val="en-US"/>
    </w:rPr>
  </w:style>
  <w:style w:type="character" w:customStyle="1" w:styleId="IPPNormalChar">
    <w:name w:val="IPP Normal Char"/>
    <w:link w:val="IPPNormal"/>
    <w:rsid w:val="009A7BE5"/>
    <w:rPr>
      <w:rFonts w:ascii="Times New Roman" w:eastAsia="Times"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0511">
      <w:bodyDiv w:val="1"/>
      <w:marLeft w:val="0"/>
      <w:marRight w:val="0"/>
      <w:marTop w:val="0"/>
      <w:marBottom w:val="0"/>
      <w:divBdr>
        <w:top w:val="none" w:sz="0" w:space="0" w:color="auto"/>
        <w:left w:val="none" w:sz="0" w:space="0" w:color="auto"/>
        <w:bottom w:val="none" w:sz="0" w:space="0" w:color="auto"/>
        <w:right w:val="none" w:sz="0" w:space="0" w:color="auto"/>
      </w:divBdr>
    </w:div>
    <w:div w:id="618338066">
      <w:bodyDiv w:val="1"/>
      <w:marLeft w:val="0"/>
      <w:marRight w:val="0"/>
      <w:marTop w:val="0"/>
      <w:marBottom w:val="0"/>
      <w:divBdr>
        <w:top w:val="none" w:sz="0" w:space="0" w:color="auto"/>
        <w:left w:val="none" w:sz="0" w:space="0" w:color="auto"/>
        <w:bottom w:val="none" w:sz="0" w:space="0" w:color="auto"/>
        <w:right w:val="none" w:sz="0" w:space="0" w:color="auto"/>
      </w:divBdr>
    </w:div>
    <w:div w:id="1291012139">
      <w:bodyDiv w:val="1"/>
      <w:marLeft w:val="0"/>
      <w:marRight w:val="0"/>
      <w:marTop w:val="0"/>
      <w:marBottom w:val="0"/>
      <w:divBdr>
        <w:top w:val="none" w:sz="0" w:space="0" w:color="auto"/>
        <w:left w:val="none" w:sz="0" w:space="0" w:color="auto"/>
        <w:bottom w:val="none" w:sz="0" w:space="0" w:color="auto"/>
        <w:right w:val="none" w:sz="0" w:space="0" w:color="auto"/>
      </w:divBdr>
    </w:div>
    <w:div w:id="1293748680">
      <w:bodyDiv w:val="1"/>
      <w:marLeft w:val="0"/>
      <w:marRight w:val="0"/>
      <w:marTop w:val="0"/>
      <w:marBottom w:val="0"/>
      <w:divBdr>
        <w:top w:val="none" w:sz="0" w:space="0" w:color="auto"/>
        <w:left w:val="none" w:sz="0" w:space="0" w:color="auto"/>
        <w:bottom w:val="none" w:sz="0" w:space="0" w:color="auto"/>
        <w:right w:val="none" w:sz="0" w:space="0" w:color="auto"/>
      </w:divBdr>
    </w:div>
    <w:div w:id="1965884308">
      <w:bodyDiv w:val="1"/>
      <w:marLeft w:val="0"/>
      <w:marRight w:val="0"/>
      <w:marTop w:val="0"/>
      <w:marBottom w:val="0"/>
      <w:divBdr>
        <w:top w:val="none" w:sz="0" w:space="0" w:color="auto"/>
        <w:left w:val="none" w:sz="0" w:space="0" w:color="auto"/>
        <w:bottom w:val="none" w:sz="0" w:space="0" w:color="auto"/>
        <w:right w:val="none" w:sz="0" w:space="0" w:color="auto"/>
      </w:divBdr>
    </w:div>
    <w:div w:id="20906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ippc.int/static/media/uploads/ippc_communicationsstrategy_cpm8_2013.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ippc.int/static/media/uploads/ippc_communicationsstrategy_cpm8_2013.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erwien\AppData\Roaming\Microsoft\Templates\IPPC_2015-06-04.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385D40-8E57-453F-94C6-B154EA02F18C}" type="doc">
      <dgm:prSet loTypeId="urn:microsoft.com/office/officeart/2005/8/layout/hierarchy4" loCatId="relationship" qsTypeId="urn:microsoft.com/office/officeart/2005/8/quickstyle/simple1" qsCatId="simple" csTypeId="urn:microsoft.com/office/officeart/2005/8/colors/colorful4" csCatId="colorful" phldr="1"/>
      <dgm:spPr/>
      <dgm:t>
        <a:bodyPr/>
        <a:lstStyle/>
        <a:p>
          <a:endParaRPr lang="en-CA"/>
        </a:p>
      </dgm:t>
    </dgm:pt>
    <dgm:pt modelId="{FF3616AC-26AA-4B46-A92E-5F1A6D606EA6}">
      <dgm:prSet phldrT="[Text]"/>
      <dgm:spPr/>
      <dgm:t>
        <a:bodyPr/>
        <a:lstStyle/>
        <a:p>
          <a:r>
            <a:rPr lang="en-US"/>
            <a:t>Vision of the IPPC ePhyto Solution</a:t>
          </a:r>
          <a:endParaRPr lang="en-CA"/>
        </a:p>
      </dgm:t>
    </dgm:pt>
    <dgm:pt modelId="{0753A78B-9D88-4FD2-B4B9-93B6AB55EE1F}" type="parTrans" cxnId="{A14D0CC8-64B6-464D-9CF3-2CE699F77B31}">
      <dgm:prSet/>
      <dgm:spPr/>
      <dgm:t>
        <a:bodyPr/>
        <a:lstStyle/>
        <a:p>
          <a:endParaRPr lang="en-CA"/>
        </a:p>
      </dgm:t>
    </dgm:pt>
    <dgm:pt modelId="{6E7CAA5F-C86F-44A3-8CF6-E4E81DD69EC1}" type="sibTrans" cxnId="{A14D0CC8-64B6-464D-9CF3-2CE699F77B31}">
      <dgm:prSet/>
      <dgm:spPr/>
      <dgm:t>
        <a:bodyPr/>
        <a:lstStyle/>
        <a:p>
          <a:endParaRPr lang="en-CA"/>
        </a:p>
      </dgm:t>
    </dgm:pt>
    <dgm:pt modelId="{0FDB025F-A7D9-4D54-B1B4-7C71E7E97834}">
      <dgm:prSet phldrT="[Text]" custT="1"/>
      <dgm:spPr/>
      <dgm:t>
        <a:bodyPr/>
        <a:lstStyle/>
        <a:p>
          <a:r>
            <a:rPr lang="en-CA" sz="1600"/>
            <a:t>Goal of the Commission on Phytosanitary Measures for the IPPC ePhyto Solution</a:t>
          </a:r>
        </a:p>
      </dgm:t>
    </dgm:pt>
    <dgm:pt modelId="{C2A1350B-F5EE-42C8-A862-20704BB13D33}" type="parTrans" cxnId="{C94BD5AD-B471-4C08-BF87-BC9C44E005F6}">
      <dgm:prSet/>
      <dgm:spPr/>
      <dgm:t>
        <a:bodyPr/>
        <a:lstStyle/>
        <a:p>
          <a:endParaRPr lang="en-CA"/>
        </a:p>
      </dgm:t>
    </dgm:pt>
    <dgm:pt modelId="{7D12E23A-A12C-4451-89B6-704B1FF395EA}" type="sibTrans" cxnId="{C94BD5AD-B471-4C08-BF87-BC9C44E005F6}">
      <dgm:prSet/>
      <dgm:spPr/>
      <dgm:t>
        <a:bodyPr/>
        <a:lstStyle/>
        <a:p>
          <a:endParaRPr lang="en-CA"/>
        </a:p>
      </dgm:t>
    </dgm:pt>
    <dgm:pt modelId="{0A9A5947-DBD8-411D-89F2-EC784C36A7B3}">
      <dgm:prSet/>
      <dgm:spPr/>
      <dgm:t>
        <a:bodyPr/>
        <a:lstStyle/>
        <a:p>
          <a:r>
            <a:rPr lang="en-US"/>
            <a:t>Phytosanitary certificates for the </a:t>
          </a:r>
          <a:r>
            <a:rPr lang="en-CA"/>
            <a:t>trade of plants and plant products are safely, securely and efficiently electronically exchanged between national plant protection organizations</a:t>
          </a:r>
        </a:p>
      </dgm:t>
    </dgm:pt>
    <dgm:pt modelId="{BB99A1AA-F7C4-4F3D-9420-B77D62D1665C}" type="parTrans" cxnId="{6BF21E7B-0F4D-4B81-B2BE-1FEE7BDCA9B4}">
      <dgm:prSet/>
      <dgm:spPr/>
      <dgm:t>
        <a:bodyPr/>
        <a:lstStyle/>
        <a:p>
          <a:endParaRPr lang="en-CA"/>
        </a:p>
      </dgm:t>
    </dgm:pt>
    <dgm:pt modelId="{4A347086-3479-4AC3-97C7-9506309C5A55}" type="sibTrans" cxnId="{6BF21E7B-0F4D-4B81-B2BE-1FEE7BDCA9B4}">
      <dgm:prSet/>
      <dgm:spPr/>
      <dgm:t>
        <a:bodyPr/>
        <a:lstStyle/>
        <a:p>
          <a:endParaRPr lang="en-CA"/>
        </a:p>
      </dgm:t>
    </dgm:pt>
    <dgm:pt modelId="{D1E5DAB5-F405-4487-8E70-FEA699768FBF}">
      <dgm:prSet/>
      <dgm:spPr/>
      <dgm:t>
        <a:bodyPr/>
        <a:lstStyle/>
        <a:p>
          <a:r>
            <a:rPr lang="en-CA"/>
            <a:t>All contracting parties to the IPPC have access to technology supporting the exchange of electronic phytosanitary certificates (ePhytos)</a:t>
          </a:r>
        </a:p>
      </dgm:t>
    </dgm:pt>
    <dgm:pt modelId="{8EB70A37-0083-467F-8FD1-DC6534F8E1D0}" type="parTrans" cxnId="{5FA19DBF-79D0-4E61-B067-775A29AB1546}">
      <dgm:prSet/>
      <dgm:spPr/>
      <dgm:t>
        <a:bodyPr/>
        <a:lstStyle/>
        <a:p>
          <a:endParaRPr lang="en-CA"/>
        </a:p>
      </dgm:t>
    </dgm:pt>
    <dgm:pt modelId="{03162EFA-249C-4AC4-B62B-B553BD1B72B8}" type="sibTrans" cxnId="{5FA19DBF-79D0-4E61-B067-775A29AB1546}">
      <dgm:prSet/>
      <dgm:spPr/>
      <dgm:t>
        <a:bodyPr/>
        <a:lstStyle/>
        <a:p>
          <a:endParaRPr lang="en-CA"/>
        </a:p>
      </dgm:t>
    </dgm:pt>
    <dgm:pt modelId="{7CADB281-EEF2-4870-BA94-DEA265166E05}" type="pres">
      <dgm:prSet presAssocID="{57385D40-8E57-453F-94C6-B154EA02F18C}" presName="Name0" presStyleCnt="0">
        <dgm:presLayoutVars>
          <dgm:chPref val="1"/>
          <dgm:dir/>
          <dgm:animOne val="branch"/>
          <dgm:animLvl val="lvl"/>
          <dgm:resizeHandles/>
        </dgm:presLayoutVars>
      </dgm:prSet>
      <dgm:spPr/>
      <dgm:t>
        <a:bodyPr/>
        <a:lstStyle/>
        <a:p>
          <a:endParaRPr lang="en-CA"/>
        </a:p>
      </dgm:t>
    </dgm:pt>
    <dgm:pt modelId="{15855A9F-FF7E-438E-990C-8CF6835CCDB6}" type="pres">
      <dgm:prSet presAssocID="{FF3616AC-26AA-4B46-A92E-5F1A6D606EA6}" presName="vertOne" presStyleCnt="0"/>
      <dgm:spPr/>
      <dgm:t>
        <a:bodyPr/>
        <a:lstStyle/>
        <a:p>
          <a:endParaRPr lang="en-CA"/>
        </a:p>
      </dgm:t>
    </dgm:pt>
    <dgm:pt modelId="{9598DC8F-9F1B-41B1-831D-60FE855C9804}" type="pres">
      <dgm:prSet presAssocID="{FF3616AC-26AA-4B46-A92E-5F1A6D606EA6}" presName="txOne" presStyleLbl="node0" presStyleIdx="0" presStyleCnt="1">
        <dgm:presLayoutVars>
          <dgm:chPref val="3"/>
        </dgm:presLayoutVars>
      </dgm:prSet>
      <dgm:spPr/>
      <dgm:t>
        <a:bodyPr/>
        <a:lstStyle/>
        <a:p>
          <a:endParaRPr lang="en-CA"/>
        </a:p>
      </dgm:t>
    </dgm:pt>
    <dgm:pt modelId="{06042877-E94B-42C0-B12D-4659A5BF121D}" type="pres">
      <dgm:prSet presAssocID="{FF3616AC-26AA-4B46-A92E-5F1A6D606EA6}" presName="parTransOne" presStyleCnt="0"/>
      <dgm:spPr/>
      <dgm:t>
        <a:bodyPr/>
        <a:lstStyle/>
        <a:p>
          <a:endParaRPr lang="en-CA"/>
        </a:p>
      </dgm:t>
    </dgm:pt>
    <dgm:pt modelId="{548BD6DF-75FB-4BCB-A716-DE91890E156C}" type="pres">
      <dgm:prSet presAssocID="{FF3616AC-26AA-4B46-A92E-5F1A6D606EA6}" presName="horzOne" presStyleCnt="0"/>
      <dgm:spPr/>
      <dgm:t>
        <a:bodyPr/>
        <a:lstStyle/>
        <a:p>
          <a:endParaRPr lang="en-CA"/>
        </a:p>
      </dgm:t>
    </dgm:pt>
    <dgm:pt modelId="{DE5AB936-F282-4984-AB5E-71BFCB824DB0}" type="pres">
      <dgm:prSet presAssocID="{0A9A5947-DBD8-411D-89F2-EC784C36A7B3}" presName="vertTwo" presStyleCnt="0"/>
      <dgm:spPr/>
      <dgm:t>
        <a:bodyPr/>
        <a:lstStyle/>
        <a:p>
          <a:endParaRPr lang="en-CA"/>
        </a:p>
      </dgm:t>
    </dgm:pt>
    <dgm:pt modelId="{0D0E9A81-40A5-4464-AB5A-63009606D925}" type="pres">
      <dgm:prSet presAssocID="{0A9A5947-DBD8-411D-89F2-EC784C36A7B3}" presName="txTwo" presStyleLbl="node2" presStyleIdx="0" presStyleCnt="1">
        <dgm:presLayoutVars>
          <dgm:chPref val="3"/>
        </dgm:presLayoutVars>
      </dgm:prSet>
      <dgm:spPr/>
      <dgm:t>
        <a:bodyPr/>
        <a:lstStyle/>
        <a:p>
          <a:endParaRPr lang="en-CA"/>
        </a:p>
      </dgm:t>
    </dgm:pt>
    <dgm:pt modelId="{138A5F4D-A4AA-4B0F-AE90-EB8BB276F4DA}" type="pres">
      <dgm:prSet presAssocID="{0A9A5947-DBD8-411D-89F2-EC784C36A7B3}" presName="parTransTwo" presStyleCnt="0"/>
      <dgm:spPr/>
      <dgm:t>
        <a:bodyPr/>
        <a:lstStyle/>
        <a:p>
          <a:endParaRPr lang="en-CA"/>
        </a:p>
      </dgm:t>
    </dgm:pt>
    <dgm:pt modelId="{2AE33377-DB78-497D-99B6-F2416004A896}" type="pres">
      <dgm:prSet presAssocID="{0A9A5947-DBD8-411D-89F2-EC784C36A7B3}" presName="horzTwo" presStyleCnt="0"/>
      <dgm:spPr/>
      <dgm:t>
        <a:bodyPr/>
        <a:lstStyle/>
        <a:p>
          <a:endParaRPr lang="en-CA"/>
        </a:p>
      </dgm:t>
    </dgm:pt>
    <dgm:pt modelId="{15986C6C-9E48-4FEC-93B9-86BF74D5CB84}" type="pres">
      <dgm:prSet presAssocID="{0FDB025F-A7D9-4D54-B1B4-7C71E7E97834}" presName="vertThree" presStyleCnt="0"/>
      <dgm:spPr/>
      <dgm:t>
        <a:bodyPr/>
        <a:lstStyle/>
        <a:p>
          <a:endParaRPr lang="en-CA"/>
        </a:p>
      </dgm:t>
    </dgm:pt>
    <dgm:pt modelId="{E7063744-200F-4D6D-B0A5-9C37A019B15B}" type="pres">
      <dgm:prSet presAssocID="{0FDB025F-A7D9-4D54-B1B4-7C71E7E97834}" presName="txThree" presStyleLbl="node3" presStyleIdx="0" presStyleCnt="1">
        <dgm:presLayoutVars>
          <dgm:chPref val="3"/>
        </dgm:presLayoutVars>
      </dgm:prSet>
      <dgm:spPr/>
      <dgm:t>
        <a:bodyPr/>
        <a:lstStyle/>
        <a:p>
          <a:endParaRPr lang="en-CA"/>
        </a:p>
      </dgm:t>
    </dgm:pt>
    <dgm:pt modelId="{36A7A348-C5C6-4D78-A2E6-D5BA37CF3661}" type="pres">
      <dgm:prSet presAssocID="{0FDB025F-A7D9-4D54-B1B4-7C71E7E97834}" presName="parTransThree" presStyleCnt="0"/>
      <dgm:spPr/>
      <dgm:t>
        <a:bodyPr/>
        <a:lstStyle/>
        <a:p>
          <a:endParaRPr lang="en-CA"/>
        </a:p>
      </dgm:t>
    </dgm:pt>
    <dgm:pt modelId="{329ED538-DDF0-4DA1-B53A-CD8AA7D43854}" type="pres">
      <dgm:prSet presAssocID="{0FDB025F-A7D9-4D54-B1B4-7C71E7E97834}" presName="horzThree" presStyleCnt="0"/>
      <dgm:spPr/>
      <dgm:t>
        <a:bodyPr/>
        <a:lstStyle/>
        <a:p>
          <a:endParaRPr lang="en-CA"/>
        </a:p>
      </dgm:t>
    </dgm:pt>
    <dgm:pt modelId="{237683DE-0FD6-4406-9A5E-99553F75AFB0}" type="pres">
      <dgm:prSet presAssocID="{D1E5DAB5-F405-4487-8E70-FEA699768FBF}" presName="vertFour" presStyleCnt="0">
        <dgm:presLayoutVars>
          <dgm:chPref val="3"/>
        </dgm:presLayoutVars>
      </dgm:prSet>
      <dgm:spPr/>
      <dgm:t>
        <a:bodyPr/>
        <a:lstStyle/>
        <a:p>
          <a:endParaRPr lang="en-CA"/>
        </a:p>
      </dgm:t>
    </dgm:pt>
    <dgm:pt modelId="{CA65F036-08AB-4320-9C8E-634F3B75FF54}" type="pres">
      <dgm:prSet presAssocID="{D1E5DAB5-F405-4487-8E70-FEA699768FBF}" presName="txFour" presStyleLbl="node4" presStyleIdx="0" presStyleCnt="1">
        <dgm:presLayoutVars>
          <dgm:chPref val="3"/>
        </dgm:presLayoutVars>
      </dgm:prSet>
      <dgm:spPr/>
      <dgm:t>
        <a:bodyPr/>
        <a:lstStyle/>
        <a:p>
          <a:endParaRPr lang="en-CA"/>
        </a:p>
      </dgm:t>
    </dgm:pt>
    <dgm:pt modelId="{D18C3191-3C59-4A40-BC14-BC35E6D4ED2E}" type="pres">
      <dgm:prSet presAssocID="{D1E5DAB5-F405-4487-8E70-FEA699768FBF}" presName="horzFour" presStyleCnt="0"/>
      <dgm:spPr/>
      <dgm:t>
        <a:bodyPr/>
        <a:lstStyle/>
        <a:p>
          <a:endParaRPr lang="en-CA"/>
        </a:p>
      </dgm:t>
    </dgm:pt>
  </dgm:ptLst>
  <dgm:cxnLst>
    <dgm:cxn modelId="{6BF21E7B-0F4D-4B81-B2BE-1FEE7BDCA9B4}" srcId="{FF3616AC-26AA-4B46-A92E-5F1A6D606EA6}" destId="{0A9A5947-DBD8-411D-89F2-EC784C36A7B3}" srcOrd="0" destOrd="0" parTransId="{BB99A1AA-F7C4-4F3D-9420-B77D62D1665C}" sibTransId="{4A347086-3479-4AC3-97C7-9506309C5A55}"/>
    <dgm:cxn modelId="{883A6D5B-0D15-4F76-87BC-A4583E1688C1}" type="presOf" srcId="{D1E5DAB5-F405-4487-8E70-FEA699768FBF}" destId="{CA65F036-08AB-4320-9C8E-634F3B75FF54}" srcOrd="0" destOrd="0" presId="urn:microsoft.com/office/officeart/2005/8/layout/hierarchy4"/>
    <dgm:cxn modelId="{9DCBF0A2-2732-4B25-8F41-8C36E37543A8}" type="presOf" srcId="{57385D40-8E57-453F-94C6-B154EA02F18C}" destId="{7CADB281-EEF2-4870-BA94-DEA265166E05}" srcOrd="0" destOrd="0" presId="urn:microsoft.com/office/officeart/2005/8/layout/hierarchy4"/>
    <dgm:cxn modelId="{A14D0CC8-64B6-464D-9CF3-2CE699F77B31}" srcId="{57385D40-8E57-453F-94C6-B154EA02F18C}" destId="{FF3616AC-26AA-4B46-A92E-5F1A6D606EA6}" srcOrd="0" destOrd="0" parTransId="{0753A78B-9D88-4FD2-B4B9-93B6AB55EE1F}" sibTransId="{6E7CAA5F-C86F-44A3-8CF6-E4E81DD69EC1}"/>
    <dgm:cxn modelId="{C599B5B2-3D64-45D8-8DBA-6E214F3138C6}" type="presOf" srcId="{FF3616AC-26AA-4B46-A92E-5F1A6D606EA6}" destId="{9598DC8F-9F1B-41B1-831D-60FE855C9804}" srcOrd="0" destOrd="0" presId="urn:microsoft.com/office/officeart/2005/8/layout/hierarchy4"/>
    <dgm:cxn modelId="{5FA19DBF-79D0-4E61-B067-775A29AB1546}" srcId="{0FDB025F-A7D9-4D54-B1B4-7C71E7E97834}" destId="{D1E5DAB5-F405-4487-8E70-FEA699768FBF}" srcOrd="0" destOrd="0" parTransId="{8EB70A37-0083-467F-8FD1-DC6534F8E1D0}" sibTransId="{03162EFA-249C-4AC4-B62B-B553BD1B72B8}"/>
    <dgm:cxn modelId="{3450EDCF-0184-4A8D-A47D-3D2C4EF9B53C}" type="presOf" srcId="{0FDB025F-A7D9-4D54-B1B4-7C71E7E97834}" destId="{E7063744-200F-4D6D-B0A5-9C37A019B15B}" srcOrd="0" destOrd="0" presId="urn:microsoft.com/office/officeart/2005/8/layout/hierarchy4"/>
    <dgm:cxn modelId="{C94BD5AD-B471-4C08-BF87-BC9C44E005F6}" srcId="{0A9A5947-DBD8-411D-89F2-EC784C36A7B3}" destId="{0FDB025F-A7D9-4D54-B1B4-7C71E7E97834}" srcOrd="0" destOrd="0" parTransId="{C2A1350B-F5EE-42C8-A862-20704BB13D33}" sibTransId="{7D12E23A-A12C-4451-89B6-704B1FF395EA}"/>
    <dgm:cxn modelId="{447869DB-1720-47CC-A765-6DC454ECFC78}" type="presOf" srcId="{0A9A5947-DBD8-411D-89F2-EC784C36A7B3}" destId="{0D0E9A81-40A5-4464-AB5A-63009606D925}" srcOrd="0" destOrd="0" presId="urn:microsoft.com/office/officeart/2005/8/layout/hierarchy4"/>
    <dgm:cxn modelId="{94E6B025-DBEB-40E0-AF76-7FA1D3DE5493}" type="presParOf" srcId="{7CADB281-EEF2-4870-BA94-DEA265166E05}" destId="{15855A9F-FF7E-438E-990C-8CF6835CCDB6}" srcOrd="0" destOrd="0" presId="urn:microsoft.com/office/officeart/2005/8/layout/hierarchy4"/>
    <dgm:cxn modelId="{5665B5D1-3A82-4A0C-83F0-176B40D02ACB}" type="presParOf" srcId="{15855A9F-FF7E-438E-990C-8CF6835CCDB6}" destId="{9598DC8F-9F1B-41B1-831D-60FE855C9804}" srcOrd="0" destOrd="0" presId="urn:microsoft.com/office/officeart/2005/8/layout/hierarchy4"/>
    <dgm:cxn modelId="{0DBF0222-C953-4612-9E94-84B4B5670180}" type="presParOf" srcId="{15855A9F-FF7E-438E-990C-8CF6835CCDB6}" destId="{06042877-E94B-42C0-B12D-4659A5BF121D}" srcOrd="1" destOrd="0" presId="urn:microsoft.com/office/officeart/2005/8/layout/hierarchy4"/>
    <dgm:cxn modelId="{D21C110D-2BA9-48B9-9B3D-5C9E8CE27CE3}" type="presParOf" srcId="{15855A9F-FF7E-438E-990C-8CF6835CCDB6}" destId="{548BD6DF-75FB-4BCB-A716-DE91890E156C}" srcOrd="2" destOrd="0" presId="urn:microsoft.com/office/officeart/2005/8/layout/hierarchy4"/>
    <dgm:cxn modelId="{F4DBDCFD-7974-4CE8-8438-22B3D62EBBD4}" type="presParOf" srcId="{548BD6DF-75FB-4BCB-A716-DE91890E156C}" destId="{DE5AB936-F282-4984-AB5E-71BFCB824DB0}" srcOrd="0" destOrd="0" presId="urn:microsoft.com/office/officeart/2005/8/layout/hierarchy4"/>
    <dgm:cxn modelId="{1F361D12-0377-4A1B-86A1-E5E75A32FD66}" type="presParOf" srcId="{DE5AB936-F282-4984-AB5E-71BFCB824DB0}" destId="{0D0E9A81-40A5-4464-AB5A-63009606D925}" srcOrd="0" destOrd="0" presId="urn:microsoft.com/office/officeart/2005/8/layout/hierarchy4"/>
    <dgm:cxn modelId="{DA445CB8-EEBE-48BD-8C66-5B476F277AF0}" type="presParOf" srcId="{DE5AB936-F282-4984-AB5E-71BFCB824DB0}" destId="{138A5F4D-A4AA-4B0F-AE90-EB8BB276F4DA}" srcOrd="1" destOrd="0" presId="urn:microsoft.com/office/officeart/2005/8/layout/hierarchy4"/>
    <dgm:cxn modelId="{D9CC67F3-C187-4472-B995-7F473F9B5D12}" type="presParOf" srcId="{DE5AB936-F282-4984-AB5E-71BFCB824DB0}" destId="{2AE33377-DB78-497D-99B6-F2416004A896}" srcOrd="2" destOrd="0" presId="urn:microsoft.com/office/officeart/2005/8/layout/hierarchy4"/>
    <dgm:cxn modelId="{7B18B278-23E7-4548-8E7B-0A0C5074D825}" type="presParOf" srcId="{2AE33377-DB78-497D-99B6-F2416004A896}" destId="{15986C6C-9E48-4FEC-93B9-86BF74D5CB84}" srcOrd="0" destOrd="0" presId="urn:microsoft.com/office/officeart/2005/8/layout/hierarchy4"/>
    <dgm:cxn modelId="{3DD1582A-F29E-40AE-8BB7-4E2DEECB3F46}" type="presParOf" srcId="{15986C6C-9E48-4FEC-93B9-86BF74D5CB84}" destId="{E7063744-200F-4D6D-B0A5-9C37A019B15B}" srcOrd="0" destOrd="0" presId="urn:microsoft.com/office/officeart/2005/8/layout/hierarchy4"/>
    <dgm:cxn modelId="{71E49574-579D-49F6-95C3-0EF3BD47288F}" type="presParOf" srcId="{15986C6C-9E48-4FEC-93B9-86BF74D5CB84}" destId="{36A7A348-C5C6-4D78-A2E6-D5BA37CF3661}" srcOrd="1" destOrd="0" presId="urn:microsoft.com/office/officeart/2005/8/layout/hierarchy4"/>
    <dgm:cxn modelId="{1EAB59E4-06B8-4915-A9D4-5AF45BC3FFAE}" type="presParOf" srcId="{15986C6C-9E48-4FEC-93B9-86BF74D5CB84}" destId="{329ED538-DDF0-4DA1-B53A-CD8AA7D43854}" srcOrd="2" destOrd="0" presId="urn:microsoft.com/office/officeart/2005/8/layout/hierarchy4"/>
    <dgm:cxn modelId="{64BD22B1-9B1A-4F56-A7C3-8B02A79D52A9}" type="presParOf" srcId="{329ED538-DDF0-4DA1-B53A-CD8AA7D43854}" destId="{237683DE-0FD6-4406-9A5E-99553F75AFB0}" srcOrd="0" destOrd="0" presId="urn:microsoft.com/office/officeart/2005/8/layout/hierarchy4"/>
    <dgm:cxn modelId="{67E60A96-2A7E-4407-86F0-A9EBA064D6A9}" type="presParOf" srcId="{237683DE-0FD6-4406-9A5E-99553F75AFB0}" destId="{CA65F036-08AB-4320-9C8E-634F3B75FF54}" srcOrd="0" destOrd="0" presId="urn:microsoft.com/office/officeart/2005/8/layout/hierarchy4"/>
    <dgm:cxn modelId="{FAD1F898-4771-4BB1-A38C-576C9C9B2527}" type="presParOf" srcId="{237683DE-0FD6-4406-9A5E-99553F75AFB0}" destId="{D18C3191-3C59-4A40-BC14-BC35E6D4ED2E}" srcOrd="1" destOrd="0" presId="urn:microsoft.com/office/officeart/2005/8/layout/hierarchy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98DC8F-9F1B-41B1-831D-60FE855C9804}">
      <dsp:nvSpPr>
        <dsp:cNvPr id="0" name=""/>
        <dsp:cNvSpPr/>
      </dsp:nvSpPr>
      <dsp:spPr>
        <a:xfrm>
          <a:off x="2678" y="1118"/>
          <a:ext cx="5481042" cy="57374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lvl="0" algn="ctr" defTabSz="1111250">
            <a:lnSpc>
              <a:spcPct val="90000"/>
            </a:lnSpc>
            <a:spcBef>
              <a:spcPct val="0"/>
            </a:spcBef>
            <a:spcAft>
              <a:spcPct val="35000"/>
            </a:spcAft>
          </a:pPr>
          <a:r>
            <a:rPr lang="en-US" sz="2500" kern="1200"/>
            <a:t>Vision of the IPPC ePhyto Solution</a:t>
          </a:r>
          <a:endParaRPr lang="en-CA" sz="2500" kern="1200"/>
        </a:p>
      </dsp:txBody>
      <dsp:txXfrm>
        <a:off x="19482" y="17922"/>
        <a:ext cx="5447434" cy="540137"/>
      </dsp:txXfrm>
    </dsp:sp>
    <dsp:sp modelId="{0D0E9A81-40A5-4464-AB5A-63009606D925}">
      <dsp:nvSpPr>
        <dsp:cNvPr id="0" name=""/>
        <dsp:cNvSpPr/>
      </dsp:nvSpPr>
      <dsp:spPr>
        <a:xfrm>
          <a:off x="2678" y="645147"/>
          <a:ext cx="5481042" cy="57374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Phytosanitary certificates for the </a:t>
          </a:r>
          <a:r>
            <a:rPr lang="en-CA" sz="1100" kern="1200"/>
            <a:t>trade of plants and plant products are safely, securely and efficiently electronically exchanged between national plant protection organizations</a:t>
          </a:r>
        </a:p>
      </dsp:txBody>
      <dsp:txXfrm>
        <a:off x="19482" y="661951"/>
        <a:ext cx="5447434" cy="540137"/>
      </dsp:txXfrm>
    </dsp:sp>
    <dsp:sp modelId="{E7063744-200F-4D6D-B0A5-9C37A019B15B}">
      <dsp:nvSpPr>
        <dsp:cNvPr id="0" name=""/>
        <dsp:cNvSpPr/>
      </dsp:nvSpPr>
      <dsp:spPr>
        <a:xfrm>
          <a:off x="2678" y="1289176"/>
          <a:ext cx="5481042" cy="57374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CA" sz="1600" kern="1200"/>
            <a:t>Goal of the Commission on Phytosanitary Measures for the IPPC ePhyto Solution</a:t>
          </a:r>
        </a:p>
      </dsp:txBody>
      <dsp:txXfrm>
        <a:off x="19482" y="1305980"/>
        <a:ext cx="5447434" cy="540137"/>
      </dsp:txXfrm>
    </dsp:sp>
    <dsp:sp modelId="{CA65F036-08AB-4320-9C8E-634F3B75FF54}">
      <dsp:nvSpPr>
        <dsp:cNvPr id="0" name=""/>
        <dsp:cNvSpPr/>
      </dsp:nvSpPr>
      <dsp:spPr>
        <a:xfrm>
          <a:off x="2678" y="1933205"/>
          <a:ext cx="5481042" cy="573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CA" sz="1100" kern="1200"/>
            <a:t>All contracting parties to the IPPC have access to technology supporting the exchange of electronic phytosanitary certificates (ePhytos)</a:t>
          </a:r>
        </a:p>
      </dsp:txBody>
      <dsp:txXfrm>
        <a:off x="19482" y="1950009"/>
        <a:ext cx="5447434" cy="5401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57C75-3E9F-490A-AA8C-ABA4DBE89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94</TotalTime>
  <Pages>12</Pages>
  <Words>3647</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24393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Shane</dc:creator>
  <cp:lastModifiedBy>Czerwien, Ewa (AGDI)</cp:lastModifiedBy>
  <cp:revision>5</cp:revision>
  <cp:lastPrinted>2018-09-10T17:14:00Z</cp:lastPrinted>
  <dcterms:created xsi:type="dcterms:W3CDTF">2018-10-23T09:27:00Z</dcterms:created>
  <dcterms:modified xsi:type="dcterms:W3CDTF">2018-10-24T07:52:00Z</dcterms:modified>
</cp:coreProperties>
</file>