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39FDB" w14:textId="2BF27598" w:rsidR="003C5BAD" w:rsidRPr="00E41251" w:rsidRDefault="00740B8E" w:rsidP="00E41251">
      <w:pPr>
        <w:spacing w:after="120"/>
        <w:jc w:val="center"/>
        <w:rPr>
          <w:rStyle w:val="IPPHeading2Char"/>
          <w:b w:val="0"/>
          <w:szCs w:val="22"/>
        </w:rPr>
      </w:pPr>
      <w:r w:rsidRPr="00E41251">
        <w:rPr>
          <w:rStyle w:val="IPPHeading2Char"/>
          <w:szCs w:val="22"/>
        </w:rPr>
        <w:t xml:space="preserve">Sea Containers Task Force </w:t>
      </w:r>
      <w:r w:rsidR="00E41251" w:rsidRPr="00E41251">
        <w:rPr>
          <w:rStyle w:val="IPPHeading2Char"/>
          <w:szCs w:val="22"/>
        </w:rPr>
        <w:t>Implementation and Capacity Development Committee (IC) Sub-group</w:t>
      </w:r>
      <w:r w:rsidRPr="00E41251">
        <w:rPr>
          <w:rStyle w:val="IPPHeading2Char"/>
          <w:szCs w:val="22"/>
        </w:rPr>
        <w:t xml:space="preserve"> Terms of Reference</w:t>
      </w:r>
    </w:p>
    <w:p w14:paraId="508A3EE7" w14:textId="77777777" w:rsidR="00740B8E" w:rsidRPr="00740B8E" w:rsidRDefault="00740B8E" w:rsidP="00740B8E">
      <w:pPr>
        <w:pStyle w:val="IPPNormal"/>
      </w:pPr>
    </w:p>
    <w:p w14:paraId="5B497120" w14:textId="77777777" w:rsidR="00740B8E" w:rsidRPr="00740B8E" w:rsidRDefault="00740B8E" w:rsidP="00740B8E">
      <w:pPr>
        <w:rPr>
          <w:b/>
          <w:lang w:val="en-NZ"/>
        </w:rPr>
      </w:pPr>
      <w:r w:rsidRPr="00740B8E">
        <w:rPr>
          <w:b/>
          <w:lang w:val="en-NZ"/>
        </w:rPr>
        <w:t xml:space="preserve">1. Purpose </w:t>
      </w:r>
    </w:p>
    <w:p w14:paraId="463E4CD2" w14:textId="492326FA" w:rsidR="00740B8E" w:rsidRPr="0050543C" w:rsidRDefault="00740B8E" w:rsidP="00740B8E">
      <w:pPr>
        <w:pStyle w:val="IPPParagraphnumbering"/>
        <w:rPr>
          <w:b/>
        </w:rPr>
      </w:pPr>
      <w:r w:rsidRPr="00740B8E">
        <w:t>The Sea Containers Task Force (SCTF) will supervise the actions contained in the Sea Container Complementary Action Plan</w:t>
      </w:r>
      <w:r w:rsidRPr="00740B8E">
        <w:rPr>
          <w:vertAlign w:val="superscript"/>
        </w:rPr>
        <w:footnoteReference w:id="1"/>
      </w:r>
      <w:r w:rsidRPr="00740B8E">
        <w:t xml:space="preserve"> for Assessing and Managing the Pest Threats Associated with Sea Containers, under the oversight of the IC.  </w:t>
      </w:r>
    </w:p>
    <w:p w14:paraId="5F15EECD" w14:textId="77777777" w:rsidR="00740B8E" w:rsidRPr="00740B8E" w:rsidRDefault="00740B8E" w:rsidP="00740B8E">
      <w:pPr>
        <w:rPr>
          <w:b/>
          <w:lang w:val="en-NZ"/>
        </w:rPr>
      </w:pPr>
      <w:r w:rsidRPr="00740B8E">
        <w:rPr>
          <w:b/>
        </w:rPr>
        <w:t xml:space="preserve">2. </w:t>
      </w:r>
      <w:r w:rsidRPr="00740B8E">
        <w:rPr>
          <w:b/>
          <w:lang w:val="en-NZ"/>
        </w:rPr>
        <w:t>Duration</w:t>
      </w:r>
    </w:p>
    <w:p w14:paraId="5EF39ACC" w14:textId="6C1DEAA0" w:rsidR="00740B8E" w:rsidRPr="0050543C" w:rsidRDefault="00740B8E" w:rsidP="0050543C">
      <w:pPr>
        <w:pStyle w:val="IPPParagraphnumbering"/>
        <w:rPr>
          <w:b/>
          <w:lang w:val="en-NZ"/>
        </w:rPr>
      </w:pPr>
      <w:r w:rsidRPr="00740B8E">
        <w:t xml:space="preserve">The SCTF will operate until a final report is submitted to CPM-16 (2021). </w:t>
      </w:r>
    </w:p>
    <w:p w14:paraId="42867C12" w14:textId="77777777" w:rsidR="00740B8E" w:rsidRPr="00740B8E" w:rsidRDefault="00740B8E" w:rsidP="00740B8E">
      <w:pPr>
        <w:rPr>
          <w:b/>
          <w:lang w:val="en-NZ"/>
        </w:rPr>
      </w:pPr>
      <w:r w:rsidRPr="00740B8E">
        <w:rPr>
          <w:b/>
          <w:lang w:val="en-NZ"/>
        </w:rPr>
        <w:t>3. Membership</w:t>
      </w:r>
    </w:p>
    <w:p w14:paraId="3C5290F6" w14:textId="0B7FE089" w:rsidR="00740B8E" w:rsidRPr="00740B8E" w:rsidRDefault="00740B8E" w:rsidP="0050543C">
      <w:pPr>
        <w:pStyle w:val="IPPParagraphnumbering"/>
      </w:pPr>
      <w:r w:rsidRPr="00740B8E">
        <w:rPr>
          <w:lang w:val="en-NZ"/>
        </w:rPr>
        <w:t xml:space="preserve">SCTF members </w:t>
      </w:r>
      <w:r w:rsidRPr="00740B8E">
        <w:t>should have experience relevant to the pest risks on sea containers and their management. The membership consists of nomin</w:t>
      </w:r>
      <w:r w:rsidR="00846795">
        <w:t>ated members</w:t>
      </w:r>
      <w:r w:rsidRPr="00740B8E">
        <w:t xml:space="preserve">. </w:t>
      </w:r>
    </w:p>
    <w:p w14:paraId="468FFFB7" w14:textId="7C8F2F48" w:rsidR="00740B8E" w:rsidRPr="00740B8E" w:rsidRDefault="00740B8E" w:rsidP="0050543C">
      <w:pPr>
        <w:pStyle w:val="IPPParagraphnumbering"/>
      </w:pPr>
      <w:r w:rsidRPr="00740B8E">
        <w:t>The SCTF nominated members may be drawn from contracting parties, RPPOs, international organizations, as follows:</w:t>
      </w:r>
    </w:p>
    <w:p w14:paraId="1D51DADC" w14:textId="77777777" w:rsidR="00740B8E" w:rsidRPr="00740B8E" w:rsidRDefault="00740B8E" w:rsidP="0050543C">
      <w:pPr>
        <w:pStyle w:val="IPPBullet1"/>
      </w:pPr>
      <w:r w:rsidRPr="00740B8E">
        <w:t>Up to three representatives of contracting parties</w:t>
      </w:r>
    </w:p>
    <w:p w14:paraId="6845F96B" w14:textId="77777777" w:rsidR="00740B8E" w:rsidRPr="00740B8E" w:rsidRDefault="00740B8E" w:rsidP="0050543C">
      <w:pPr>
        <w:pStyle w:val="IPPBullet1"/>
      </w:pPr>
      <w:r w:rsidRPr="00740B8E">
        <w:t>One representative from the CPM Bureau</w:t>
      </w:r>
    </w:p>
    <w:p w14:paraId="5F7E735B" w14:textId="77777777" w:rsidR="00740B8E" w:rsidRPr="00740B8E" w:rsidRDefault="00740B8E" w:rsidP="0050543C">
      <w:pPr>
        <w:pStyle w:val="IPPBullet1"/>
      </w:pPr>
      <w:r w:rsidRPr="00740B8E">
        <w:t>One Lead from the IC</w:t>
      </w:r>
    </w:p>
    <w:p w14:paraId="111C6312" w14:textId="77777777" w:rsidR="00740B8E" w:rsidRPr="00740B8E" w:rsidRDefault="00740B8E" w:rsidP="0050543C">
      <w:pPr>
        <w:pStyle w:val="IPPBullet1"/>
      </w:pPr>
      <w:r w:rsidRPr="00740B8E">
        <w:t>One representative of the SC</w:t>
      </w:r>
    </w:p>
    <w:p w14:paraId="09116A6E" w14:textId="7F08BD51" w:rsidR="00740B8E" w:rsidRPr="00740B8E" w:rsidRDefault="00740B8E" w:rsidP="0050543C">
      <w:pPr>
        <w:pStyle w:val="IPPBullet1"/>
      </w:pPr>
      <w:r w:rsidRPr="00740B8E">
        <w:t xml:space="preserve">One  representative from the  International Maritime </w:t>
      </w:r>
      <w:r w:rsidR="004B28CC" w:rsidRPr="00740B8E">
        <w:t>Organization</w:t>
      </w:r>
      <w:r w:rsidRPr="00740B8E">
        <w:t xml:space="preserve"> </w:t>
      </w:r>
      <w:r w:rsidR="004B28CC">
        <w:t>(IMO)</w:t>
      </w:r>
    </w:p>
    <w:p w14:paraId="7C2CBCF9" w14:textId="77777777" w:rsidR="00740B8E" w:rsidRDefault="00740B8E" w:rsidP="0050543C">
      <w:pPr>
        <w:pStyle w:val="IPPBullet1"/>
      </w:pPr>
      <w:r w:rsidRPr="00740B8E">
        <w:t>One representative from the RPPOs</w:t>
      </w:r>
    </w:p>
    <w:p w14:paraId="1C15E8E6" w14:textId="58813782" w:rsidR="00740B8E" w:rsidRDefault="00740B8E" w:rsidP="0050543C">
      <w:pPr>
        <w:pStyle w:val="IPPBullet1"/>
      </w:pPr>
      <w:r>
        <w:t xml:space="preserve">One </w:t>
      </w:r>
      <w:r w:rsidRPr="00740B8E">
        <w:t xml:space="preserve">representative from the World Customs Organization (WCO) </w:t>
      </w:r>
    </w:p>
    <w:p w14:paraId="7441D4B0" w14:textId="09C8FFC4" w:rsidR="00142016" w:rsidRPr="004B28CC" w:rsidRDefault="00142016" w:rsidP="0050543C">
      <w:pPr>
        <w:pStyle w:val="IPPBullet1"/>
      </w:pPr>
      <w:r>
        <w:t xml:space="preserve">One </w:t>
      </w:r>
      <w:r w:rsidRPr="00740B8E">
        <w:t xml:space="preserve">Former Sea Container Expert Working Group (EWG) member </w:t>
      </w:r>
    </w:p>
    <w:p w14:paraId="5B5A9371" w14:textId="77777777" w:rsidR="00740B8E" w:rsidRPr="00740B8E" w:rsidRDefault="00740B8E" w:rsidP="00740B8E"/>
    <w:p w14:paraId="3CD740F9" w14:textId="581DF256" w:rsidR="00740B8E" w:rsidRPr="00740B8E" w:rsidRDefault="0050543C" w:rsidP="00740B8E">
      <w:pPr>
        <w:rPr>
          <w:b/>
        </w:rPr>
      </w:pPr>
      <w:r>
        <w:rPr>
          <w:b/>
        </w:rPr>
        <w:t xml:space="preserve">4. </w:t>
      </w:r>
      <w:r w:rsidR="00275058">
        <w:rPr>
          <w:b/>
        </w:rPr>
        <w:t>Observers</w:t>
      </w:r>
      <w:r w:rsidR="00740B8E" w:rsidRPr="00740B8E">
        <w:rPr>
          <w:b/>
        </w:rPr>
        <w:tab/>
      </w:r>
    </w:p>
    <w:p w14:paraId="28E47204" w14:textId="28EBAC68" w:rsidR="00740B8E" w:rsidRPr="00740B8E" w:rsidRDefault="00740B8E" w:rsidP="0050543C">
      <w:pPr>
        <w:pStyle w:val="IPPParagraphnumbering"/>
      </w:pPr>
      <w:r w:rsidRPr="0050543C">
        <w:t xml:space="preserve">The </w:t>
      </w:r>
      <w:r w:rsidR="00142016" w:rsidRPr="0050543C">
        <w:t>IC</w:t>
      </w:r>
      <w:r w:rsidRPr="0050543C">
        <w:t xml:space="preserve"> may invite observers from</w:t>
      </w:r>
      <w:r w:rsidRPr="0050543C">
        <w:rPr>
          <w:rFonts w:hint="eastAsia"/>
        </w:rPr>
        <w:t xml:space="preserve"> </w:t>
      </w:r>
      <w:r w:rsidRPr="0050543C">
        <w:t>the following organizations</w:t>
      </w:r>
      <w:r w:rsidRPr="00740B8E">
        <w:t>:</w:t>
      </w:r>
    </w:p>
    <w:p w14:paraId="23CA51C1" w14:textId="3DA7EC2B" w:rsidR="00740B8E" w:rsidRPr="00142016" w:rsidRDefault="00142016" w:rsidP="0050543C">
      <w:pPr>
        <w:pStyle w:val="IPPBullet1"/>
      </w:pPr>
      <w:r>
        <w:t>One r</w:t>
      </w:r>
      <w:r w:rsidR="00740B8E" w:rsidRPr="00142016">
        <w:rPr>
          <w:rFonts w:hint="eastAsia"/>
        </w:rPr>
        <w:t xml:space="preserve">epresentative from </w:t>
      </w:r>
      <w:r w:rsidR="00740B8E" w:rsidRPr="00142016">
        <w:t xml:space="preserve">the </w:t>
      </w:r>
      <w:r w:rsidR="00740B8E" w:rsidRPr="00142016">
        <w:rPr>
          <w:rFonts w:hint="eastAsia"/>
        </w:rPr>
        <w:t>W</w:t>
      </w:r>
      <w:r w:rsidR="00740B8E" w:rsidRPr="00142016">
        <w:t xml:space="preserve">orld </w:t>
      </w:r>
      <w:r w:rsidR="00740B8E" w:rsidRPr="00142016">
        <w:rPr>
          <w:rFonts w:hint="eastAsia"/>
        </w:rPr>
        <w:t>B</w:t>
      </w:r>
      <w:r w:rsidR="00740B8E" w:rsidRPr="00142016">
        <w:t xml:space="preserve">ank (WB) </w:t>
      </w:r>
    </w:p>
    <w:p w14:paraId="23AF18BB" w14:textId="20103F26" w:rsidR="00740B8E" w:rsidRPr="00740B8E" w:rsidRDefault="009C33C2" w:rsidP="0050543C">
      <w:pPr>
        <w:pStyle w:val="IPPBullet1"/>
      </w:pPr>
      <w:r>
        <w:t>One r</w:t>
      </w:r>
      <w:r w:rsidR="00740B8E" w:rsidRPr="00740B8E">
        <w:t>epresentative</w:t>
      </w:r>
      <w:r w:rsidR="00740B8E" w:rsidRPr="00740B8E">
        <w:rPr>
          <w:rFonts w:hint="eastAsia"/>
        </w:rPr>
        <w:t>s</w:t>
      </w:r>
      <w:r w:rsidR="00740B8E" w:rsidRPr="00740B8E">
        <w:t xml:space="preserve"> from industry</w:t>
      </w:r>
    </w:p>
    <w:p w14:paraId="0F547994" w14:textId="118B0E2C" w:rsidR="00740B8E" w:rsidRPr="00740B8E" w:rsidRDefault="00142016" w:rsidP="0050543C">
      <w:pPr>
        <w:pStyle w:val="IPPBullet1"/>
      </w:pPr>
      <w:r>
        <w:t>One r</w:t>
      </w:r>
      <w:r w:rsidR="00740B8E" w:rsidRPr="00740B8E">
        <w:rPr>
          <w:rFonts w:hint="eastAsia"/>
        </w:rPr>
        <w:t>epresentative</w:t>
      </w:r>
      <w:r w:rsidR="00740B8E" w:rsidRPr="00740B8E">
        <w:t xml:space="preserve"> from the Container Owners Association (COA)</w:t>
      </w:r>
    </w:p>
    <w:p w14:paraId="36C8ECB9" w14:textId="492E55C5" w:rsidR="00740B8E" w:rsidRPr="00740B8E" w:rsidRDefault="00142016" w:rsidP="0050543C">
      <w:pPr>
        <w:pStyle w:val="IPPBullet1"/>
      </w:pPr>
      <w:r>
        <w:t>One r</w:t>
      </w:r>
      <w:r w:rsidR="00740B8E" w:rsidRPr="00740B8E">
        <w:t>epresentative from World  Shipping Council (WSC)</w:t>
      </w:r>
    </w:p>
    <w:p w14:paraId="552E3366" w14:textId="3E9F4BBD" w:rsidR="00740B8E" w:rsidRPr="00740B8E" w:rsidRDefault="00142016" w:rsidP="0050543C">
      <w:pPr>
        <w:pStyle w:val="IPPBullet1"/>
      </w:pPr>
      <w:r>
        <w:t>One r</w:t>
      </w:r>
      <w:r w:rsidR="00740B8E" w:rsidRPr="00740B8E">
        <w:t>epresentative from Global Shippers Forum (GSF)</w:t>
      </w:r>
    </w:p>
    <w:p w14:paraId="6876A0C0" w14:textId="77777777" w:rsidR="00740B8E" w:rsidRPr="00740B8E" w:rsidRDefault="00740B8E" w:rsidP="00740B8E">
      <w:pPr>
        <w:rPr>
          <w:lang w:val="en-US"/>
        </w:rPr>
      </w:pPr>
    </w:p>
    <w:p w14:paraId="61891CC3" w14:textId="77777777" w:rsidR="00740B8E" w:rsidRPr="00740B8E" w:rsidRDefault="00740B8E" w:rsidP="00740B8E">
      <w:pPr>
        <w:rPr>
          <w:b/>
          <w:lang w:val="en-NZ"/>
        </w:rPr>
      </w:pPr>
      <w:r w:rsidRPr="00740B8E">
        <w:rPr>
          <w:b/>
        </w:rPr>
        <w:t xml:space="preserve">5. </w:t>
      </w:r>
      <w:r w:rsidRPr="00740B8E">
        <w:rPr>
          <w:b/>
          <w:lang w:val="en-NZ"/>
        </w:rPr>
        <w:t>Tasks</w:t>
      </w:r>
    </w:p>
    <w:p w14:paraId="64215F92" w14:textId="77777777" w:rsidR="00740B8E" w:rsidRPr="00740B8E" w:rsidRDefault="00740B8E" w:rsidP="0050543C">
      <w:pPr>
        <w:pStyle w:val="IPPParagraphnumbering"/>
      </w:pPr>
      <w:r w:rsidRPr="00740B8E">
        <w:t xml:space="preserve">The SCTF operates under the guidance and supervision of the IC, and will undertake the following tasks: </w:t>
      </w:r>
    </w:p>
    <w:p w14:paraId="6F5C521B" w14:textId="153A803A" w:rsidR="00740B8E" w:rsidRPr="00740B8E" w:rsidRDefault="00740B8E" w:rsidP="00740B8E">
      <w:pPr>
        <w:numPr>
          <w:ilvl w:val="0"/>
          <w:numId w:val="23"/>
        </w:numPr>
        <w:rPr>
          <w:lang w:val="en-US"/>
        </w:rPr>
      </w:pPr>
      <w:r w:rsidRPr="00740B8E">
        <w:rPr>
          <w:lang w:val="en-US"/>
        </w:rPr>
        <w:t>Measuring the impact of the CTU code through:</w:t>
      </w:r>
    </w:p>
    <w:p w14:paraId="43C6CF7E" w14:textId="77777777" w:rsidR="00740B8E" w:rsidRPr="00740B8E" w:rsidRDefault="00740B8E" w:rsidP="00740B8E">
      <w:pPr>
        <w:numPr>
          <w:ilvl w:val="1"/>
          <w:numId w:val="23"/>
        </w:numPr>
        <w:rPr>
          <w:lang w:val="en-US"/>
        </w:rPr>
      </w:pPr>
      <w:r w:rsidRPr="00740B8E">
        <w:rPr>
          <w:lang w:val="en-US"/>
        </w:rPr>
        <w:lastRenderedPageBreak/>
        <w:t>The development of a joint IPPC/International Maritime Organization (IMO)/industry protocol for the collection of data related to contamination of sea containers to be completed by CPM-16 (2021)</w:t>
      </w:r>
    </w:p>
    <w:p w14:paraId="3D12EE03" w14:textId="77777777" w:rsidR="00740B8E" w:rsidRPr="00740B8E" w:rsidRDefault="00740B8E" w:rsidP="00740B8E">
      <w:pPr>
        <w:numPr>
          <w:ilvl w:val="1"/>
          <w:numId w:val="23"/>
        </w:numPr>
        <w:rPr>
          <w:lang w:val="en-US"/>
        </w:rPr>
      </w:pPr>
      <w:r w:rsidRPr="00740B8E">
        <w:rPr>
          <w:lang w:val="en-US"/>
        </w:rPr>
        <w:t>Monitoring the uptake and implementation of the IMO/ILO/United Nations Economic Commission for Europe (UNECE) Code of Practice for Packing of Cargo Transport Units through:</w:t>
      </w:r>
    </w:p>
    <w:p w14:paraId="1A41CFBF" w14:textId="77777777" w:rsidR="00740B8E" w:rsidRPr="00740B8E" w:rsidRDefault="00740B8E" w:rsidP="00740B8E">
      <w:pPr>
        <w:numPr>
          <w:ilvl w:val="2"/>
          <w:numId w:val="23"/>
        </w:numPr>
        <w:rPr>
          <w:lang w:val="en-US"/>
        </w:rPr>
      </w:pPr>
      <w:r w:rsidRPr="00740B8E">
        <w:rPr>
          <w:lang w:val="en-US"/>
        </w:rPr>
        <w:t>Industry reporting</w:t>
      </w:r>
    </w:p>
    <w:p w14:paraId="69CB8004" w14:textId="77777777" w:rsidR="00740B8E" w:rsidRPr="00740B8E" w:rsidRDefault="00740B8E" w:rsidP="00740B8E">
      <w:pPr>
        <w:numPr>
          <w:ilvl w:val="2"/>
          <w:numId w:val="23"/>
        </w:numPr>
        <w:rPr>
          <w:lang w:val="en-US"/>
        </w:rPr>
      </w:pPr>
      <w:r w:rsidRPr="00740B8E">
        <w:rPr>
          <w:lang w:val="en-US"/>
        </w:rPr>
        <w:t xml:space="preserve">NPPO monitoring </w:t>
      </w:r>
    </w:p>
    <w:p w14:paraId="3EFB0B0B" w14:textId="7AEB57FE" w:rsidR="00740B8E" w:rsidRPr="00740B8E" w:rsidRDefault="00740B8E" w:rsidP="00740B8E">
      <w:pPr>
        <w:numPr>
          <w:ilvl w:val="1"/>
          <w:numId w:val="23"/>
        </w:numPr>
        <w:rPr>
          <w:lang w:val="en-US"/>
        </w:rPr>
      </w:pPr>
      <w:r w:rsidRPr="00740B8E">
        <w:rPr>
          <w:lang w:val="en-US"/>
        </w:rPr>
        <w:t xml:space="preserve">Verifying the efficacy of the CTU  code in ensuring the arrival of clean sea container through: </w:t>
      </w:r>
    </w:p>
    <w:p w14:paraId="3FE38CEC" w14:textId="77777777" w:rsidR="00740B8E" w:rsidRPr="00740B8E" w:rsidRDefault="00740B8E" w:rsidP="00740B8E">
      <w:pPr>
        <w:numPr>
          <w:ilvl w:val="2"/>
          <w:numId w:val="23"/>
        </w:numPr>
        <w:rPr>
          <w:lang w:val="en-US"/>
        </w:rPr>
      </w:pPr>
      <w:r w:rsidRPr="00740B8E">
        <w:rPr>
          <w:lang w:val="en-US"/>
        </w:rPr>
        <w:t xml:space="preserve">Monitoring for pest contamination and freedom of soil by NPPOs; </w:t>
      </w:r>
    </w:p>
    <w:p w14:paraId="17A2111B" w14:textId="77777777" w:rsidR="00740B8E" w:rsidRPr="00740B8E" w:rsidRDefault="00740B8E" w:rsidP="00740B8E">
      <w:pPr>
        <w:numPr>
          <w:ilvl w:val="2"/>
          <w:numId w:val="23"/>
        </w:numPr>
        <w:rPr>
          <w:lang w:val="en-US"/>
        </w:rPr>
      </w:pPr>
      <w:r w:rsidRPr="00740B8E">
        <w:rPr>
          <w:lang w:val="en-US"/>
        </w:rPr>
        <w:t>Assisting NPPOs manage pest risks associated with sea containers,</w:t>
      </w:r>
    </w:p>
    <w:p w14:paraId="3F76E458" w14:textId="77777777" w:rsidR="00740B8E" w:rsidRPr="00740B8E" w:rsidRDefault="00740B8E" w:rsidP="00740B8E">
      <w:pPr>
        <w:numPr>
          <w:ilvl w:val="0"/>
          <w:numId w:val="23"/>
        </w:numPr>
        <w:rPr>
          <w:lang w:val="en-US"/>
        </w:rPr>
      </w:pPr>
      <w:r w:rsidRPr="00740B8E">
        <w:rPr>
          <w:lang w:val="en-US"/>
        </w:rPr>
        <w:t xml:space="preserve">Increasing awareness of pest risks of sea container through: </w:t>
      </w:r>
    </w:p>
    <w:p w14:paraId="4F22CBE6" w14:textId="77777777" w:rsidR="00740B8E" w:rsidRPr="00740B8E" w:rsidRDefault="00740B8E" w:rsidP="00740B8E">
      <w:pPr>
        <w:numPr>
          <w:ilvl w:val="1"/>
          <w:numId w:val="23"/>
        </w:numPr>
        <w:rPr>
          <w:lang w:val="en-US"/>
        </w:rPr>
      </w:pPr>
      <w:r w:rsidRPr="00740B8E">
        <w:rPr>
          <w:lang w:val="en-US"/>
        </w:rPr>
        <w:t xml:space="preserve">Publication of the data of the </w:t>
      </w:r>
      <w:bookmarkStart w:id="0" w:name="_GoBack"/>
      <w:bookmarkEnd w:id="0"/>
      <w:r w:rsidRPr="00740B8E">
        <w:rPr>
          <w:lang w:val="en-US"/>
        </w:rPr>
        <w:t>Sea Container Task Force;</w:t>
      </w:r>
    </w:p>
    <w:p w14:paraId="04F51EC9" w14:textId="77777777" w:rsidR="00740B8E" w:rsidRPr="00740B8E" w:rsidRDefault="00740B8E" w:rsidP="00740B8E">
      <w:pPr>
        <w:numPr>
          <w:ilvl w:val="1"/>
          <w:numId w:val="23"/>
        </w:numPr>
        <w:rPr>
          <w:lang w:val="en-US"/>
        </w:rPr>
      </w:pPr>
      <w:r w:rsidRPr="00740B8E">
        <w:rPr>
          <w:lang w:val="en-US"/>
        </w:rPr>
        <w:t>A request for countries having data on contamination of sea containers to make it publically available;</w:t>
      </w:r>
    </w:p>
    <w:p w14:paraId="4AAAAB88" w14:textId="77777777" w:rsidR="00740B8E" w:rsidRPr="00740B8E" w:rsidRDefault="00740B8E" w:rsidP="00740B8E">
      <w:pPr>
        <w:numPr>
          <w:ilvl w:val="1"/>
          <w:numId w:val="23"/>
        </w:numPr>
        <w:rPr>
          <w:lang w:val="en-US"/>
        </w:rPr>
      </w:pPr>
      <w:r w:rsidRPr="00740B8E">
        <w:rPr>
          <w:lang w:val="en-US"/>
        </w:rPr>
        <w:t>Calling for and publication of pest risk management guidance material for sea containers;</w:t>
      </w:r>
    </w:p>
    <w:p w14:paraId="1083682F" w14:textId="77777777" w:rsidR="00740B8E" w:rsidRPr="00740B8E" w:rsidRDefault="00740B8E" w:rsidP="00740B8E">
      <w:pPr>
        <w:numPr>
          <w:ilvl w:val="1"/>
          <w:numId w:val="23"/>
        </w:numPr>
        <w:rPr>
          <w:lang w:val="en-US"/>
        </w:rPr>
      </w:pPr>
      <w:r w:rsidRPr="00740B8E">
        <w:rPr>
          <w:lang w:val="en-US"/>
        </w:rPr>
        <w:t xml:space="preserve">Encouraging NPPOs to inform industry on the risks and possible international actions to manage pest risks associated with sea containers; </w:t>
      </w:r>
    </w:p>
    <w:p w14:paraId="1C409C82" w14:textId="77777777" w:rsidR="00740B8E" w:rsidRPr="00740B8E" w:rsidRDefault="00740B8E" w:rsidP="00740B8E">
      <w:pPr>
        <w:numPr>
          <w:ilvl w:val="0"/>
          <w:numId w:val="23"/>
        </w:numPr>
        <w:rPr>
          <w:lang w:val="en-US"/>
        </w:rPr>
      </w:pPr>
      <w:r w:rsidRPr="00740B8E">
        <w:rPr>
          <w:lang w:val="en-US"/>
        </w:rPr>
        <w:t>Providing information on pest risks of sea containers and their management;</w:t>
      </w:r>
    </w:p>
    <w:p w14:paraId="75C0DB00" w14:textId="77777777" w:rsidR="00740B8E" w:rsidRPr="00740B8E" w:rsidRDefault="00740B8E" w:rsidP="00740B8E">
      <w:pPr>
        <w:numPr>
          <w:ilvl w:val="0"/>
          <w:numId w:val="23"/>
        </w:numPr>
        <w:rPr>
          <w:lang w:val="en-US"/>
        </w:rPr>
      </w:pPr>
      <w:r w:rsidRPr="00740B8E">
        <w:rPr>
          <w:lang w:val="en-US"/>
        </w:rPr>
        <w:t>Coordinating with contracting parties, regional plant protection organizations (RPPOs), industry and other international organizations;</w:t>
      </w:r>
    </w:p>
    <w:p w14:paraId="029E7C8D" w14:textId="77777777" w:rsidR="00740B8E" w:rsidRPr="00740B8E" w:rsidRDefault="00740B8E" w:rsidP="00740B8E">
      <w:pPr>
        <w:numPr>
          <w:ilvl w:val="0"/>
          <w:numId w:val="23"/>
        </w:numPr>
        <w:rPr>
          <w:lang w:val="en-US"/>
        </w:rPr>
      </w:pPr>
      <w:r w:rsidRPr="00740B8E">
        <w:rPr>
          <w:lang w:val="en-US"/>
        </w:rPr>
        <w:t>Establishing a mechanism for contracting parties to report to Commission on Phytosanitary Measures (CPM) on their progress and achievements;</w:t>
      </w:r>
    </w:p>
    <w:p w14:paraId="151CCFEB" w14:textId="319BA795" w:rsidR="00740B8E" w:rsidRPr="00740B8E" w:rsidRDefault="00740B8E" w:rsidP="00740B8E">
      <w:pPr>
        <w:numPr>
          <w:ilvl w:val="0"/>
          <w:numId w:val="23"/>
        </w:numPr>
        <w:rPr>
          <w:lang w:val="en-US"/>
        </w:rPr>
      </w:pPr>
      <w:r w:rsidRPr="00740B8E">
        <w:rPr>
          <w:lang w:val="en-US"/>
        </w:rPr>
        <w:t>Providing advice on how the Cargo Transport Unit (CTU)  code or any other instrument could be updated;</w:t>
      </w:r>
    </w:p>
    <w:p w14:paraId="0D6121AD" w14:textId="77777777" w:rsidR="00740B8E" w:rsidRPr="00740B8E" w:rsidRDefault="00740B8E" w:rsidP="00740B8E">
      <w:pPr>
        <w:rPr>
          <w:lang w:val="en-US"/>
        </w:rPr>
      </w:pPr>
    </w:p>
    <w:p w14:paraId="62558FE9" w14:textId="77777777" w:rsidR="00740B8E" w:rsidRPr="00740B8E" w:rsidRDefault="00740B8E" w:rsidP="00740B8E">
      <w:pPr>
        <w:rPr>
          <w:lang w:val="en-US"/>
        </w:rPr>
      </w:pPr>
      <w:r w:rsidRPr="00740B8E">
        <w:rPr>
          <w:b/>
          <w:bCs/>
          <w:lang w:val="en-US"/>
        </w:rPr>
        <w:t xml:space="preserve">6. Reporting </w:t>
      </w:r>
    </w:p>
    <w:p w14:paraId="24E44F9D" w14:textId="61F5605A" w:rsidR="00740B8E" w:rsidRPr="0050543C" w:rsidRDefault="00740B8E" w:rsidP="0050543C">
      <w:pPr>
        <w:pStyle w:val="IPPParagraphnumbering"/>
      </w:pPr>
      <w:r w:rsidRPr="00740B8E">
        <w:t xml:space="preserve">The SCTF reports to the IC annually and if necessary, upon request. A final report of the SCTF will be prepared in time to be reviewed and approved by the IC to submit it to CPM-16 (2021). </w:t>
      </w:r>
    </w:p>
    <w:p w14:paraId="65CF11ED" w14:textId="77777777" w:rsidR="00740B8E" w:rsidRPr="00740B8E" w:rsidRDefault="00740B8E" w:rsidP="00740B8E">
      <w:pPr>
        <w:rPr>
          <w:b/>
          <w:bCs/>
          <w:lang w:val="en-US"/>
        </w:rPr>
      </w:pPr>
      <w:r w:rsidRPr="00740B8E">
        <w:rPr>
          <w:b/>
          <w:bCs/>
          <w:lang w:val="en-US"/>
        </w:rPr>
        <w:t>7. Rules of Procedure</w:t>
      </w:r>
    </w:p>
    <w:p w14:paraId="2810C698" w14:textId="095DAAE8" w:rsidR="00740B8E" w:rsidRPr="0050543C" w:rsidRDefault="00740B8E" w:rsidP="0050543C">
      <w:pPr>
        <w:pStyle w:val="IPPParagraphnumbering"/>
      </w:pPr>
      <w:r w:rsidRPr="00740B8E">
        <w:t>The IC Sub-group Rules of Procedure will apply to the SCTF.</w:t>
      </w:r>
    </w:p>
    <w:p w14:paraId="269F79B5" w14:textId="77777777" w:rsidR="00740B8E" w:rsidRPr="00740B8E" w:rsidRDefault="00740B8E" w:rsidP="00740B8E">
      <w:pPr>
        <w:rPr>
          <w:lang w:val="en-US"/>
        </w:rPr>
      </w:pPr>
      <w:r w:rsidRPr="00740B8E">
        <w:rPr>
          <w:b/>
          <w:bCs/>
          <w:lang w:val="en-US"/>
        </w:rPr>
        <w:t xml:space="preserve">8. Amendments </w:t>
      </w:r>
    </w:p>
    <w:p w14:paraId="59B94E30" w14:textId="2575D51B" w:rsidR="00AE187B" w:rsidRPr="0050543C" w:rsidRDefault="00740B8E" w:rsidP="0050543C">
      <w:pPr>
        <w:pStyle w:val="IPPParagraphnumbering"/>
      </w:pPr>
      <w:r w:rsidRPr="00740B8E">
        <w:t xml:space="preserve">Amendments to these Terms of Reference, if required, shall be </w:t>
      </w:r>
      <w:r w:rsidR="004B59FF">
        <w:t>approved</w:t>
      </w:r>
      <w:r w:rsidRPr="00740B8E">
        <w:t xml:space="preserve"> by the IC.</w:t>
      </w:r>
    </w:p>
    <w:sectPr w:rsidR="00AE187B" w:rsidRPr="0050543C" w:rsidSect="00874B0A">
      <w:headerReference w:type="even" r:id="rId8"/>
      <w:footerReference w:type="even" r:id="rId9"/>
      <w:headerReference w:type="first" r:id="rId10"/>
      <w:footerReference w:type="first" r:id="rId11"/>
      <w:pgSz w:w="11057" w:h="15139" w:code="9"/>
      <w:pgMar w:top="1134" w:right="144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C2121" w14:textId="77777777" w:rsidR="006A64D9" w:rsidRDefault="006A64D9" w:rsidP="00F304A9">
      <w:r>
        <w:separator/>
      </w:r>
    </w:p>
  </w:endnote>
  <w:endnote w:type="continuationSeparator" w:id="0">
    <w:p w14:paraId="6C428518" w14:textId="77777777" w:rsidR="006A64D9" w:rsidRDefault="006A64D9" w:rsidP="00F3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altName w:val="Arial"/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A7A0D" w14:textId="77777777" w:rsidR="00597EEA" w:rsidRPr="00FF7277" w:rsidRDefault="00597EEA" w:rsidP="00597EEA">
    <w:pPr>
      <w:pStyle w:val="IPPFooter"/>
    </w:pPr>
    <w:r w:rsidRPr="00597EEA">
      <w:rPr>
        <w:rStyle w:val="PageNumber"/>
        <w:b/>
      </w:rPr>
      <w:t xml:space="preserve">Page </w:t>
    </w:r>
    <w:r w:rsidRPr="00597EEA">
      <w:rPr>
        <w:rStyle w:val="PageNumber"/>
        <w:b/>
      </w:rPr>
      <w:fldChar w:fldCharType="begin"/>
    </w:r>
    <w:r w:rsidRPr="00597EEA">
      <w:rPr>
        <w:rStyle w:val="PageNumber"/>
        <w:b/>
      </w:rPr>
      <w:instrText xml:space="preserve"> PAGE </w:instrText>
    </w:r>
    <w:r w:rsidRPr="00597EEA">
      <w:rPr>
        <w:rStyle w:val="PageNumber"/>
        <w:b/>
      </w:rPr>
      <w:fldChar w:fldCharType="separate"/>
    </w:r>
    <w:r w:rsidR="00E3271D">
      <w:rPr>
        <w:rStyle w:val="PageNumber"/>
        <w:b/>
        <w:noProof/>
      </w:rPr>
      <w:t>2</w:t>
    </w:r>
    <w:r w:rsidRPr="00597EEA">
      <w:rPr>
        <w:rStyle w:val="PageNumber"/>
        <w:b/>
      </w:rPr>
      <w:fldChar w:fldCharType="end"/>
    </w:r>
    <w:r w:rsidRPr="00597EEA">
      <w:rPr>
        <w:rStyle w:val="PageNumber"/>
        <w:b/>
      </w:rPr>
      <w:t xml:space="preserve"> of </w:t>
    </w:r>
    <w:r w:rsidRPr="00597EEA">
      <w:rPr>
        <w:rStyle w:val="PageNumber"/>
        <w:b/>
      </w:rPr>
      <w:fldChar w:fldCharType="begin"/>
    </w:r>
    <w:r w:rsidRPr="00597EEA">
      <w:rPr>
        <w:rStyle w:val="PageNumber"/>
        <w:b/>
      </w:rPr>
      <w:instrText xml:space="preserve"> NUMPAGES </w:instrText>
    </w:r>
    <w:r w:rsidRPr="00597EEA">
      <w:rPr>
        <w:rStyle w:val="PageNumber"/>
        <w:b/>
      </w:rPr>
      <w:fldChar w:fldCharType="separate"/>
    </w:r>
    <w:r w:rsidR="00E3271D">
      <w:rPr>
        <w:rStyle w:val="PageNumber"/>
        <w:b/>
        <w:noProof/>
      </w:rPr>
      <w:t>2</w:t>
    </w:r>
    <w:r w:rsidRPr="00597EEA">
      <w:rPr>
        <w:rStyle w:val="PageNumber"/>
        <w:b/>
      </w:rPr>
      <w:fldChar w:fldCharType="end"/>
    </w:r>
    <w:r w:rsidRPr="00FF7277">
      <w:tab/>
      <w:t>International Plant Protection Convention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3D701" w14:textId="77777777" w:rsidR="00597EEA" w:rsidRPr="00597EEA" w:rsidRDefault="00597EEA" w:rsidP="00597EEA">
    <w:pPr>
      <w:pStyle w:val="IPPFooter"/>
      <w:rPr>
        <w:b w:val="0"/>
      </w:rPr>
    </w:pPr>
    <w:r w:rsidRPr="00A62A0E">
      <w:t>International Plant Protection Convention</w:t>
    </w:r>
    <w:r w:rsidRPr="00A62A0E">
      <w:tab/>
    </w:r>
    <w:r w:rsidRPr="00597EEA">
      <w:rPr>
        <w:rStyle w:val="PageNumber"/>
        <w:b/>
      </w:rPr>
      <w:t xml:space="preserve">Page </w:t>
    </w:r>
    <w:r w:rsidRPr="00597EEA">
      <w:rPr>
        <w:rStyle w:val="PageNumber"/>
        <w:b/>
      </w:rPr>
      <w:fldChar w:fldCharType="begin"/>
    </w:r>
    <w:r w:rsidRPr="00597EEA">
      <w:rPr>
        <w:rStyle w:val="PageNumber"/>
        <w:b/>
      </w:rPr>
      <w:instrText xml:space="preserve"> PAGE </w:instrText>
    </w:r>
    <w:r w:rsidRPr="00597EEA">
      <w:rPr>
        <w:rStyle w:val="PageNumber"/>
        <w:b/>
      </w:rPr>
      <w:fldChar w:fldCharType="separate"/>
    </w:r>
    <w:r w:rsidR="00E3271D">
      <w:rPr>
        <w:rStyle w:val="PageNumber"/>
        <w:b/>
        <w:noProof/>
      </w:rPr>
      <w:t>1</w:t>
    </w:r>
    <w:r w:rsidRPr="00597EEA">
      <w:rPr>
        <w:rStyle w:val="PageNumber"/>
        <w:b/>
      </w:rPr>
      <w:fldChar w:fldCharType="end"/>
    </w:r>
    <w:r w:rsidRPr="00597EEA">
      <w:rPr>
        <w:rStyle w:val="PageNumber"/>
        <w:b/>
      </w:rPr>
      <w:t xml:space="preserve"> of </w:t>
    </w:r>
    <w:r w:rsidRPr="00597EEA">
      <w:rPr>
        <w:rStyle w:val="PageNumber"/>
        <w:b/>
      </w:rPr>
      <w:fldChar w:fldCharType="begin"/>
    </w:r>
    <w:r w:rsidRPr="00597EEA">
      <w:rPr>
        <w:rStyle w:val="PageNumber"/>
        <w:b/>
      </w:rPr>
      <w:instrText xml:space="preserve"> NUMPAGES </w:instrText>
    </w:r>
    <w:r w:rsidRPr="00597EEA">
      <w:rPr>
        <w:rStyle w:val="PageNumber"/>
        <w:b/>
      </w:rPr>
      <w:fldChar w:fldCharType="separate"/>
    </w:r>
    <w:r w:rsidR="00E3271D">
      <w:rPr>
        <w:rStyle w:val="PageNumber"/>
        <w:b/>
        <w:noProof/>
      </w:rPr>
      <w:t>2</w:t>
    </w:r>
    <w:r w:rsidRPr="00597EEA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B6A5B" w14:textId="77777777" w:rsidR="006A64D9" w:rsidRDefault="006A64D9" w:rsidP="00F304A9">
      <w:r>
        <w:separator/>
      </w:r>
    </w:p>
  </w:footnote>
  <w:footnote w:type="continuationSeparator" w:id="0">
    <w:p w14:paraId="0A428724" w14:textId="77777777" w:rsidR="006A64D9" w:rsidRDefault="006A64D9" w:rsidP="00F304A9">
      <w:r>
        <w:continuationSeparator/>
      </w:r>
    </w:p>
  </w:footnote>
  <w:footnote w:id="1">
    <w:p w14:paraId="4B775EC8" w14:textId="77777777" w:rsidR="00740B8E" w:rsidRDefault="00740B8E" w:rsidP="0050543C">
      <w:pPr>
        <w:pStyle w:val="IPPFootnote"/>
      </w:pPr>
      <w:r>
        <w:rPr>
          <w:rStyle w:val="FootnoteReference"/>
          <w:szCs w:val="20"/>
        </w:rPr>
        <w:footnoteRef/>
      </w:r>
      <w:r w:rsidRPr="005F6829">
        <w:t>Sea Containers Complementary Action Plan endorsed by CPM 12</w:t>
      </w:r>
      <w:r>
        <w:t xml:space="preserve"> (2017) -  </w:t>
      </w:r>
      <w:hyperlink r:id="rId1" w:history="1">
        <w:r w:rsidRPr="000C5F31">
          <w:rPr>
            <w:rStyle w:val="Hyperlink"/>
          </w:rPr>
          <w:t>https://www.ippc.int/static/media/files/publication/en/2017/05/CPM-12_Report-2017-05-30_withISPMs.pdf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823D6" w14:textId="221EBEDF" w:rsidR="00597EEA" w:rsidRPr="00597EEA" w:rsidRDefault="00E3271D" w:rsidP="00597EEA">
    <w:pPr>
      <w:pBdr>
        <w:bottom w:val="single" w:sz="4" w:space="1" w:color="auto"/>
      </w:pBdr>
      <w:tabs>
        <w:tab w:val="right" w:pos="9072"/>
      </w:tabs>
      <w:rPr>
        <w:rFonts w:cs="Arial"/>
        <w:i/>
        <w:szCs w:val="18"/>
      </w:rPr>
    </w:pPr>
    <w:r>
      <w:rPr>
        <w:rFonts w:ascii="Arial" w:hAnsi="Arial" w:cs="Arial"/>
        <w:sz w:val="18"/>
        <w:szCs w:val="18"/>
        <w:lang w:val="en-US"/>
      </w:rPr>
      <w:t xml:space="preserve">                                                                                                                         </w:t>
    </w:r>
    <w:r w:rsidR="00597EEA" w:rsidRPr="00597EEA">
      <w:rPr>
        <w:rFonts w:ascii="Arial" w:hAnsi="Arial" w:cs="Arial"/>
        <w:sz w:val="18"/>
        <w:szCs w:val="18"/>
        <w:lang w:val="en-US"/>
      </w:rPr>
      <w:t xml:space="preserve">SCTF (IC Sub-group) </w:t>
    </w:r>
    <w:proofErr w:type="spellStart"/>
    <w:r w:rsidR="00597EEA" w:rsidRPr="00597EEA">
      <w:rPr>
        <w:rFonts w:ascii="Arial" w:hAnsi="Arial" w:cs="Arial"/>
        <w:sz w:val="18"/>
        <w:szCs w:val="18"/>
        <w:lang w:val="en-US"/>
      </w:rPr>
      <w:t>ToR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E623C" w14:textId="0EA55AF3" w:rsidR="00597EEA" w:rsidRPr="0029695F" w:rsidRDefault="00597EEA" w:rsidP="00597EEA">
    <w:pPr>
      <w:pStyle w:val="IPPHead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1C6B5218" wp14:editId="5C392255">
          <wp:simplePos x="0" y="0"/>
          <wp:positionH relativeFrom="column">
            <wp:posOffset>-354606</wp:posOffset>
          </wp:positionH>
          <wp:positionV relativeFrom="paragraph">
            <wp:posOffset>3810</wp:posOffset>
          </wp:positionV>
          <wp:extent cx="632460" cy="321310"/>
          <wp:effectExtent l="0" t="0" r="0" b="2540"/>
          <wp:wrapSquare wrapText="bothSides"/>
          <wp:docPr id="2" name="Picture 2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PC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1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0" wp14:anchorId="16E6F8E3" wp14:editId="35E6E66C">
          <wp:simplePos x="0" y="0"/>
          <wp:positionH relativeFrom="page">
            <wp:posOffset>-28575</wp:posOffset>
          </wp:positionH>
          <wp:positionV relativeFrom="paragraph">
            <wp:posOffset>-530225</wp:posOffset>
          </wp:positionV>
          <wp:extent cx="7629525" cy="46354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pc-banner-background-we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840" cy="465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695F">
      <w:t>Internatio</w:t>
    </w:r>
    <w:r>
      <w:t>nal Plant Protection Convention</w:t>
    </w:r>
    <w:r>
      <w:tab/>
    </w:r>
    <w:r>
      <w:br/>
    </w:r>
    <w:r>
      <w:rPr>
        <w:i/>
        <w:iCs/>
      </w:rPr>
      <w:t xml:space="preserve">SCTF (IC Sub-group) </w:t>
    </w:r>
    <w:proofErr w:type="spellStart"/>
    <w:r>
      <w:rPr>
        <w:i/>
        <w:iCs/>
      </w:rPr>
      <w:t>ToR</w:t>
    </w:r>
    <w:proofErr w:type="spellEnd"/>
    <w:r>
      <w:rPr>
        <w:i/>
        <w:iCs/>
      </w:rPr>
      <w:tab/>
    </w:r>
  </w:p>
  <w:p w14:paraId="42750F31" w14:textId="77777777" w:rsidR="00597EEA" w:rsidRPr="00597EEA" w:rsidRDefault="00597EEA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5" w15:restartNumberingAfterBreak="0">
    <w:nsid w:val="340158CC"/>
    <w:multiLevelType w:val="hybridMultilevel"/>
    <w:tmpl w:val="B9160418"/>
    <w:lvl w:ilvl="0" w:tplc="C9D0C53E">
      <w:start w:val="6"/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815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A0E33"/>
    <w:multiLevelType w:val="hybridMultilevel"/>
    <w:tmpl w:val="EF262A88"/>
    <w:lvl w:ilvl="0" w:tplc="C9D0C53E">
      <w:start w:val="6"/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4"/>
  </w:num>
  <w:num w:numId="5">
    <w:abstractNumId w:val="13"/>
  </w:num>
  <w:num w:numId="6">
    <w:abstractNumId w:val="10"/>
  </w:num>
  <w:num w:numId="7">
    <w:abstractNumId w:val="6"/>
  </w:num>
  <w:num w:numId="8">
    <w:abstractNumId w:val="14"/>
  </w:num>
  <w:num w:numId="9">
    <w:abstractNumId w:val="3"/>
  </w:num>
  <w:num w:numId="10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0"/>
  </w:num>
  <w:num w:numId="17">
    <w:abstractNumId w:val="8"/>
  </w:num>
  <w:num w:numId="18">
    <w:abstractNumId w:val="12"/>
  </w:num>
  <w:num w:numId="19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0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1">
    <w:abstractNumId w:val="9"/>
  </w:num>
  <w:num w:numId="22">
    <w:abstractNumId w:val="5"/>
  </w:num>
  <w:num w:numId="23">
    <w:abstractNumId w:val="7"/>
  </w:num>
  <w:num w:numId="24">
    <w:abstractNumId w:val="1"/>
    <w:lvlOverride w:ilvl="0">
      <w:startOverride w:val="1"/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startOverride w:val="1"/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startOverride w:val="1"/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7B"/>
    <w:rsid w:val="000742BA"/>
    <w:rsid w:val="000C368E"/>
    <w:rsid w:val="00142016"/>
    <w:rsid w:val="00151D5D"/>
    <w:rsid w:val="001C7538"/>
    <w:rsid w:val="001E4A7B"/>
    <w:rsid w:val="001F753A"/>
    <w:rsid w:val="002678EE"/>
    <w:rsid w:val="00275058"/>
    <w:rsid w:val="00285322"/>
    <w:rsid w:val="002A0378"/>
    <w:rsid w:val="002E0EFD"/>
    <w:rsid w:val="003C5BAD"/>
    <w:rsid w:val="00453E59"/>
    <w:rsid w:val="004B28CC"/>
    <w:rsid w:val="004B59FF"/>
    <w:rsid w:val="004E5AF3"/>
    <w:rsid w:val="0050543C"/>
    <w:rsid w:val="005077C2"/>
    <w:rsid w:val="005679FB"/>
    <w:rsid w:val="00597EEA"/>
    <w:rsid w:val="005F3861"/>
    <w:rsid w:val="006545C7"/>
    <w:rsid w:val="006A64D9"/>
    <w:rsid w:val="006E668F"/>
    <w:rsid w:val="00740B8E"/>
    <w:rsid w:val="007B5CB8"/>
    <w:rsid w:val="00846795"/>
    <w:rsid w:val="0087020A"/>
    <w:rsid w:val="00870556"/>
    <w:rsid w:val="00874B0A"/>
    <w:rsid w:val="008C7EFA"/>
    <w:rsid w:val="008F1344"/>
    <w:rsid w:val="00903773"/>
    <w:rsid w:val="00976ECC"/>
    <w:rsid w:val="009C33C2"/>
    <w:rsid w:val="00A52E82"/>
    <w:rsid w:val="00A8398D"/>
    <w:rsid w:val="00AC6E70"/>
    <w:rsid w:val="00AE187B"/>
    <w:rsid w:val="00B03294"/>
    <w:rsid w:val="00B32BF9"/>
    <w:rsid w:val="00B55E5E"/>
    <w:rsid w:val="00B6067D"/>
    <w:rsid w:val="00B8356E"/>
    <w:rsid w:val="00B9583A"/>
    <w:rsid w:val="00BE7FA6"/>
    <w:rsid w:val="00C7774D"/>
    <w:rsid w:val="00C8669C"/>
    <w:rsid w:val="00CA339F"/>
    <w:rsid w:val="00D81191"/>
    <w:rsid w:val="00DC13D6"/>
    <w:rsid w:val="00E3271D"/>
    <w:rsid w:val="00E41251"/>
    <w:rsid w:val="00EC013B"/>
    <w:rsid w:val="00F216F0"/>
    <w:rsid w:val="00F304A9"/>
    <w:rsid w:val="00FE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FE8F20E"/>
  <w15:chartTrackingRefBased/>
  <w15:docId w15:val="{E6574AC5-3089-4AF9-845E-4BCA5053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71D"/>
    <w:pPr>
      <w:spacing w:after="0" w:line="240" w:lineRule="auto"/>
      <w:jc w:val="both"/>
    </w:pPr>
    <w:rPr>
      <w:rFonts w:ascii="Times New Roman" w:eastAsia="MS Mincho" w:hAnsi="Times New Roman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E3271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3271D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3271D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E3271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3271D"/>
  </w:style>
  <w:style w:type="character" w:styleId="Hyperlink">
    <w:name w:val="Hyperlink"/>
    <w:basedOn w:val="DefaultParagraphFont"/>
    <w:uiPriority w:val="99"/>
    <w:unhideWhenUsed/>
    <w:rsid w:val="00AE187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187B"/>
    <w:rPr>
      <w:color w:val="954F72"/>
      <w:u w:val="single"/>
    </w:rPr>
  </w:style>
  <w:style w:type="paragraph" w:customStyle="1" w:styleId="msonormal0">
    <w:name w:val="msonormal"/>
    <w:basedOn w:val="Normal"/>
    <w:rsid w:val="00AE187B"/>
    <w:pPr>
      <w:spacing w:before="100" w:beforeAutospacing="1" w:after="100" w:afterAutospacing="1"/>
    </w:pPr>
    <w:rPr>
      <w:rFonts w:eastAsia="Times New Roman" w:cs="Times New Roman"/>
      <w:sz w:val="24"/>
    </w:rPr>
  </w:style>
  <w:style w:type="paragraph" w:customStyle="1" w:styleId="font0">
    <w:name w:val="font0"/>
    <w:basedOn w:val="Normal"/>
    <w:rsid w:val="00AE187B"/>
    <w:pPr>
      <w:spacing w:before="100" w:beforeAutospacing="1" w:after="100" w:afterAutospacing="1"/>
    </w:pPr>
    <w:rPr>
      <w:rFonts w:ascii="Calibri" w:eastAsia="Times New Roman" w:hAnsi="Calibri" w:cs="Calibri"/>
      <w:color w:val="000000"/>
    </w:rPr>
  </w:style>
  <w:style w:type="paragraph" w:customStyle="1" w:styleId="font5">
    <w:name w:val="font5"/>
    <w:basedOn w:val="Normal"/>
    <w:rsid w:val="00AE187B"/>
    <w:pPr>
      <w:spacing w:before="100" w:beforeAutospacing="1" w:after="100" w:afterAutospacing="1"/>
    </w:pPr>
    <w:rPr>
      <w:rFonts w:ascii="Calibri" w:eastAsia="Times New Roman" w:hAnsi="Calibri" w:cs="Calibri"/>
    </w:rPr>
  </w:style>
  <w:style w:type="paragraph" w:customStyle="1" w:styleId="xl65">
    <w:name w:val="xl65"/>
    <w:basedOn w:val="Normal"/>
    <w:rsid w:val="00AE18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0CECE" w:fill="D0CECE"/>
      <w:spacing w:before="100" w:beforeAutospacing="1" w:after="100" w:afterAutospacing="1"/>
      <w:textAlignment w:val="top"/>
    </w:pPr>
    <w:rPr>
      <w:rFonts w:eastAsia="Times New Roman" w:cs="Times New Roman"/>
      <w:sz w:val="24"/>
    </w:rPr>
  </w:style>
  <w:style w:type="paragraph" w:customStyle="1" w:styleId="xl66">
    <w:name w:val="xl66"/>
    <w:basedOn w:val="Normal"/>
    <w:rsid w:val="00AE18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0CECE" w:fill="D0CECE"/>
      <w:spacing w:before="100" w:beforeAutospacing="1" w:after="100" w:afterAutospacing="1"/>
      <w:textAlignment w:val="top"/>
    </w:pPr>
    <w:rPr>
      <w:rFonts w:eastAsia="Times New Roman" w:cs="Times New Roman"/>
      <w:sz w:val="24"/>
    </w:rPr>
  </w:style>
  <w:style w:type="paragraph" w:customStyle="1" w:styleId="xl67">
    <w:name w:val="xl67"/>
    <w:basedOn w:val="Normal"/>
    <w:rsid w:val="00AE18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0CECE" w:fill="D0CECE"/>
      <w:spacing w:before="100" w:beforeAutospacing="1" w:after="100" w:afterAutospacing="1"/>
      <w:textAlignment w:val="top"/>
    </w:pPr>
    <w:rPr>
      <w:rFonts w:eastAsia="Times New Roman" w:cs="Times New Roman"/>
      <w:sz w:val="24"/>
    </w:rPr>
  </w:style>
  <w:style w:type="paragraph" w:customStyle="1" w:styleId="xl68">
    <w:name w:val="xl68"/>
    <w:basedOn w:val="Normal"/>
    <w:rsid w:val="00AE18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0CECE" w:fill="D0CECE"/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</w:rPr>
  </w:style>
  <w:style w:type="paragraph" w:customStyle="1" w:styleId="xl69">
    <w:name w:val="xl69"/>
    <w:basedOn w:val="Normal"/>
    <w:rsid w:val="00AE18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  <w:sz w:val="24"/>
    </w:rPr>
  </w:style>
  <w:style w:type="paragraph" w:customStyle="1" w:styleId="xl70">
    <w:name w:val="xl70"/>
    <w:basedOn w:val="Normal"/>
    <w:rsid w:val="00AE18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</w:rPr>
  </w:style>
  <w:style w:type="paragraph" w:customStyle="1" w:styleId="xl71">
    <w:name w:val="xl71"/>
    <w:basedOn w:val="Normal"/>
    <w:rsid w:val="00AE18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</w:rPr>
  </w:style>
  <w:style w:type="paragraph" w:customStyle="1" w:styleId="xl72">
    <w:name w:val="xl72"/>
    <w:basedOn w:val="Normal"/>
    <w:rsid w:val="00AE18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  <w:sz w:val="24"/>
    </w:rPr>
  </w:style>
  <w:style w:type="paragraph" w:customStyle="1" w:styleId="xl73">
    <w:name w:val="xl73"/>
    <w:basedOn w:val="Normal"/>
    <w:rsid w:val="00AE18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  <w:sz w:val="24"/>
    </w:rPr>
  </w:style>
  <w:style w:type="paragraph" w:customStyle="1" w:styleId="xl74">
    <w:name w:val="xl74"/>
    <w:basedOn w:val="Normal"/>
    <w:rsid w:val="00AE18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  <w:sz w:val="24"/>
    </w:rPr>
  </w:style>
  <w:style w:type="paragraph" w:customStyle="1" w:styleId="xl75">
    <w:name w:val="xl75"/>
    <w:basedOn w:val="Normal"/>
    <w:rsid w:val="00AE18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  <w:sz w:val="24"/>
    </w:rPr>
  </w:style>
  <w:style w:type="paragraph" w:customStyle="1" w:styleId="xl76">
    <w:name w:val="xl76"/>
    <w:basedOn w:val="Normal"/>
    <w:rsid w:val="00AE18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</w:rPr>
  </w:style>
  <w:style w:type="paragraph" w:customStyle="1" w:styleId="xl77">
    <w:name w:val="xl77"/>
    <w:basedOn w:val="Normal"/>
    <w:rsid w:val="00AE18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</w:rPr>
  </w:style>
  <w:style w:type="paragraph" w:customStyle="1" w:styleId="xl78">
    <w:name w:val="xl78"/>
    <w:basedOn w:val="Normal"/>
    <w:rsid w:val="00AE187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  <w:sz w:val="24"/>
    </w:rPr>
  </w:style>
  <w:style w:type="paragraph" w:customStyle="1" w:styleId="xl79">
    <w:name w:val="xl79"/>
    <w:basedOn w:val="Normal"/>
    <w:rsid w:val="00AE18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  <w:sz w:val="24"/>
    </w:rPr>
  </w:style>
  <w:style w:type="paragraph" w:customStyle="1" w:styleId="xl80">
    <w:name w:val="xl80"/>
    <w:basedOn w:val="Normal"/>
    <w:rsid w:val="00AE18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  <w:sz w:val="24"/>
    </w:rPr>
  </w:style>
  <w:style w:type="paragraph" w:customStyle="1" w:styleId="xl81">
    <w:name w:val="xl81"/>
    <w:basedOn w:val="Normal"/>
    <w:rsid w:val="00AE18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  <w:sz w:val="24"/>
    </w:rPr>
  </w:style>
  <w:style w:type="paragraph" w:customStyle="1" w:styleId="xl82">
    <w:name w:val="xl82"/>
    <w:basedOn w:val="Normal"/>
    <w:rsid w:val="00AE18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</w:rPr>
  </w:style>
  <w:style w:type="paragraph" w:customStyle="1" w:styleId="xl83">
    <w:name w:val="xl83"/>
    <w:basedOn w:val="Normal"/>
    <w:rsid w:val="00AE18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 w:cs="Times New Roman"/>
      <w:sz w:val="24"/>
    </w:rPr>
  </w:style>
  <w:style w:type="paragraph" w:customStyle="1" w:styleId="xl84">
    <w:name w:val="xl84"/>
    <w:basedOn w:val="Normal"/>
    <w:rsid w:val="00AE18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 w:cs="Times New Roman"/>
      <w:color w:val="FF0000"/>
      <w:sz w:val="24"/>
    </w:rPr>
  </w:style>
  <w:style w:type="paragraph" w:customStyle="1" w:styleId="xl85">
    <w:name w:val="xl85"/>
    <w:basedOn w:val="Normal"/>
    <w:rsid w:val="00AE18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 w:cs="Times New Roman"/>
      <w:color w:val="FF0000"/>
      <w:sz w:val="24"/>
    </w:rPr>
  </w:style>
  <w:style w:type="paragraph" w:customStyle="1" w:styleId="xl86">
    <w:name w:val="xl86"/>
    <w:basedOn w:val="Normal"/>
    <w:rsid w:val="00AE18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 w:cs="Times New Roman"/>
      <w:color w:val="FF0000"/>
      <w:sz w:val="24"/>
    </w:rPr>
  </w:style>
  <w:style w:type="paragraph" w:customStyle="1" w:styleId="xl87">
    <w:name w:val="xl87"/>
    <w:basedOn w:val="Normal"/>
    <w:rsid w:val="00AE18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 w:cs="Times New Roman"/>
      <w:color w:val="FF0000"/>
      <w:sz w:val="24"/>
    </w:rPr>
  </w:style>
  <w:style w:type="paragraph" w:customStyle="1" w:styleId="xl88">
    <w:name w:val="xl88"/>
    <w:basedOn w:val="Normal"/>
    <w:rsid w:val="00AE187B"/>
    <w:pPr>
      <w:spacing w:before="100" w:beforeAutospacing="1" w:after="100" w:afterAutospacing="1"/>
      <w:textAlignment w:val="top"/>
    </w:pPr>
    <w:rPr>
      <w:rFonts w:eastAsia="Times New Roman" w:cs="Times New Roman"/>
      <w:sz w:val="24"/>
    </w:rPr>
  </w:style>
  <w:style w:type="paragraph" w:customStyle="1" w:styleId="xl89">
    <w:name w:val="xl89"/>
    <w:basedOn w:val="Normal"/>
    <w:rsid w:val="00AE187B"/>
    <w:pPr>
      <w:spacing w:before="100" w:beforeAutospacing="1" w:after="100" w:afterAutospacing="1"/>
      <w:textAlignment w:val="top"/>
    </w:pPr>
    <w:rPr>
      <w:rFonts w:eastAsia="Times New Roman" w:cs="Times New Roman"/>
      <w:sz w:val="24"/>
    </w:rPr>
  </w:style>
  <w:style w:type="paragraph" w:customStyle="1" w:styleId="xl90">
    <w:name w:val="xl90"/>
    <w:basedOn w:val="Normal"/>
    <w:rsid w:val="00AE187B"/>
    <w:pPr>
      <w:spacing w:before="100" w:beforeAutospacing="1" w:after="100" w:afterAutospacing="1"/>
      <w:textAlignment w:val="top"/>
    </w:pPr>
    <w:rPr>
      <w:rFonts w:eastAsia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E3271D"/>
    <w:rPr>
      <w:rFonts w:ascii="Times New Roman" w:eastAsia="MS Mincho" w:hAnsi="Times New Roman"/>
      <w:b/>
      <w:bCs/>
      <w:szCs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E3271D"/>
    <w:rPr>
      <w:rFonts w:ascii="Calibri" w:eastAsia="MS Mincho" w:hAnsi="Calibri"/>
      <w:b/>
      <w:bCs/>
      <w:i/>
      <w:iCs/>
      <w:sz w:val="28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E3271D"/>
    <w:rPr>
      <w:rFonts w:ascii="Calibri" w:eastAsia="MS Mincho" w:hAnsi="Calibri"/>
      <w:b/>
      <w:bCs/>
      <w:sz w:val="26"/>
      <w:szCs w:val="26"/>
      <w:lang w:val="en-GB" w:eastAsia="zh-CN"/>
    </w:rPr>
  </w:style>
  <w:style w:type="paragraph" w:styleId="FootnoteText">
    <w:name w:val="footnote text"/>
    <w:basedOn w:val="Normal"/>
    <w:link w:val="FootnoteTextChar"/>
    <w:semiHidden/>
    <w:rsid w:val="00E3271D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3271D"/>
    <w:rPr>
      <w:rFonts w:ascii="Times New Roman" w:eastAsia="MS Mincho" w:hAnsi="Times New Roman"/>
      <w:sz w:val="20"/>
      <w:szCs w:val="24"/>
      <w:lang w:val="en-GB" w:eastAsia="zh-CN"/>
    </w:rPr>
  </w:style>
  <w:style w:type="character" w:styleId="FootnoteReference">
    <w:name w:val="footnote reference"/>
    <w:basedOn w:val="DefaultParagraphFont"/>
    <w:semiHidden/>
    <w:rsid w:val="00E3271D"/>
    <w:rPr>
      <w:vertAlign w:val="superscript"/>
    </w:rPr>
  </w:style>
  <w:style w:type="paragraph" w:customStyle="1" w:styleId="Style">
    <w:name w:val="Style"/>
    <w:basedOn w:val="Footer"/>
    <w:autoRedefine/>
    <w:qFormat/>
    <w:rsid w:val="00E3271D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paragraph" w:styleId="Footer">
    <w:name w:val="footer"/>
    <w:basedOn w:val="Normal"/>
    <w:link w:val="FooterChar"/>
    <w:rsid w:val="00E32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3271D"/>
    <w:rPr>
      <w:rFonts w:ascii="Times New Roman" w:eastAsia="MS Mincho" w:hAnsi="Times New Roman"/>
      <w:szCs w:val="24"/>
      <w:lang w:val="en-GB" w:eastAsia="zh-CN"/>
    </w:rPr>
  </w:style>
  <w:style w:type="character" w:styleId="PageNumber">
    <w:name w:val="page number"/>
    <w:rsid w:val="00E3271D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E3271D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E3271D"/>
    <w:pPr>
      <w:spacing w:after="240"/>
    </w:pPr>
    <w:rPr>
      <w:sz w:val="24"/>
    </w:rPr>
  </w:style>
  <w:style w:type="table" w:styleId="TableGrid">
    <w:name w:val="Table Grid"/>
    <w:basedOn w:val="TableNormal"/>
    <w:rsid w:val="00E3271D"/>
    <w:pPr>
      <w:spacing w:after="200" w:line="276" w:lineRule="auto"/>
    </w:pPr>
    <w:rPr>
      <w:rFonts w:eastAsiaTheme="minorHAnsi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32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271D"/>
    <w:rPr>
      <w:rFonts w:ascii="Tahoma" w:eastAsia="MS Mincho" w:hAnsi="Tahoma" w:cs="Tahoma"/>
      <w:sz w:val="16"/>
      <w:szCs w:val="16"/>
      <w:lang w:val="en-GB" w:eastAsia="zh-CN"/>
    </w:rPr>
  </w:style>
  <w:style w:type="paragraph" w:customStyle="1" w:styleId="IPPBullet2">
    <w:name w:val="IPP Bullet2"/>
    <w:basedOn w:val="IPPNormal"/>
    <w:next w:val="IPPBullet1"/>
    <w:qFormat/>
    <w:rsid w:val="00E3271D"/>
    <w:pPr>
      <w:numPr>
        <w:numId w:val="5"/>
      </w:numPr>
      <w:tabs>
        <w:tab w:val="left" w:pos="1134"/>
      </w:tabs>
      <w:spacing w:after="60"/>
    </w:pPr>
  </w:style>
  <w:style w:type="paragraph" w:customStyle="1" w:styleId="IPPQuote">
    <w:name w:val="IPP Quote"/>
    <w:basedOn w:val="IPPNormal"/>
    <w:qFormat/>
    <w:rsid w:val="00E3271D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E3271D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E3271D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E3271D"/>
    <w:pPr>
      <w:spacing w:after="180"/>
    </w:pPr>
  </w:style>
  <w:style w:type="paragraph" w:customStyle="1" w:styleId="IPPFootnote">
    <w:name w:val="IPP Footnote"/>
    <w:basedOn w:val="IPPArialFootnote"/>
    <w:qFormat/>
    <w:rsid w:val="00E3271D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E3271D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E3271D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E3271D"/>
    <w:rPr>
      <w:rFonts w:ascii="Times New Roman" w:eastAsia="Times" w:hAnsi="Times New Roman"/>
      <w:b/>
      <w:sz w:val="22"/>
      <w:szCs w:val="21"/>
      <w:lang w:val="en-AU" w:eastAsia="zh-CN"/>
    </w:rPr>
  </w:style>
  <w:style w:type="paragraph" w:customStyle="1" w:styleId="IPPHeadSection">
    <w:name w:val="IPP HeadSection"/>
    <w:basedOn w:val="Normal"/>
    <w:next w:val="Normal"/>
    <w:qFormat/>
    <w:rsid w:val="00E3271D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E3271D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E3271D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E3271D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E3271D"/>
    <w:pPr>
      <w:numPr>
        <w:numId w:val="18"/>
      </w:num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E3271D"/>
    <w:pPr>
      <w:numPr>
        <w:numId w:val="6"/>
      </w:numPr>
    </w:pPr>
  </w:style>
  <w:style w:type="character" w:customStyle="1" w:styleId="IPPNormalstrikethrough">
    <w:name w:val="IPP Normal strikethrough"/>
    <w:rsid w:val="00E3271D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E3271D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E3271D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E3271D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E3271D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E3271D"/>
    <w:pPr>
      <w:numPr>
        <w:numId w:val="4"/>
      </w:numPr>
    </w:pPr>
  </w:style>
  <w:style w:type="paragraph" w:customStyle="1" w:styleId="IPPNormalCloseSpace">
    <w:name w:val="IPP NormalCloseSpace"/>
    <w:basedOn w:val="Normal"/>
    <w:qFormat/>
    <w:rsid w:val="00E3271D"/>
    <w:pPr>
      <w:keepNext/>
      <w:spacing w:after="60"/>
    </w:pPr>
  </w:style>
  <w:style w:type="paragraph" w:customStyle="1" w:styleId="IPPHeading2">
    <w:name w:val="IPP Heading2"/>
    <w:basedOn w:val="IPPNormal"/>
    <w:next w:val="IPPNormal"/>
    <w:link w:val="IPPHeading2Char"/>
    <w:qFormat/>
    <w:rsid w:val="00E3271D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E3271D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E3271D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E3271D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E3271D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E3271D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E3271D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E3271D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E3271D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E3271D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E3271D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E3271D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E3271D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E3271D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E3271D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E3271D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E3271D"/>
    <w:rPr>
      <w:rFonts w:ascii="Courier" w:eastAsia="Times" w:hAnsi="Courier"/>
      <w:sz w:val="21"/>
      <w:szCs w:val="21"/>
      <w:lang w:val="en-AU" w:eastAsia="zh-CN"/>
    </w:rPr>
  </w:style>
  <w:style w:type="paragraph" w:customStyle="1" w:styleId="IPPLetterList">
    <w:name w:val="IPP LetterList"/>
    <w:basedOn w:val="IPPBullet2"/>
    <w:qFormat/>
    <w:rsid w:val="00E3271D"/>
    <w:pPr>
      <w:numPr>
        <w:numId w:val="1"/>
      </w:numPr>
      <w:jc w:val="left"/>
    </w:pPr>
  </w:style>
  <w:style w:type="paragraph" w:customStyle="1" w:styleId="IPPLetterListIndent">
    <w:name w:val="IPP LetterList Indent"/>
    <w:basedOn w:val="IPPLetterList"/>
    <w:qFormat/>
    <w:rsid w:val="00E3271D"/>
    <w:pPr>
      <w:numPr>
        <w:numId w:val="2"/>
      </w:numPr>
    </w:pPr>
  </w:style>
  <w:style w:type="paragraph" w:customStyle="1" w:styleId="IPPFooterLandscape">
    <w:name w:val="IPP Footer Landscape"/>
    <w:basedOn w:val="IPPHeaderlandscape"/>
    <w:qFormat/>
    <w:rsid w:val="00E3271D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E3271D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E3271D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E3271D"/>
    <w:pPr>
      <w:numPr>
        <w:numId w:val="7"/>
      </w:numPr>
    </w:pPr>
  </w:style>
  <w:style w:type="paragraph" w:customStyle="1" w:styleId="IPPHdg2Num">
    <w:name w:val="IPP Hdg2Num"/>
    <w:basedOn w:val="IPPHeading2"/>
    <w:next w:val="IPPNormal"/>
    <w:qFormat/>
    <w:rsid w:val="00E3271D"/>
    <w:pPr>
      <w:numPr>
        <w:ilvl w:val="1"/>
        <w:numId w:val="8"/>
      </w:numPr>
    </w:pPr>
  </w:style>
  <w:style w:type="paragraph" w:customStyle="1" w:styleId="IPPNumberedList">
    <w:name w:val="IPP NumberedList"/>
    <w:basedOn w:val="IPPBullet1"/>
    <w:qFormat/>
    <w:rsid w:val="00E3271D"/>
    <w:pPr>
      <w:numPr>
        <w:numId w:val="16"/>
      </w:numPr>
    </w:pPr>
  </w:style>
  <w:style w:type="paragraph" w:styleId="Header">
    <w:name w:val="header"/>
    <w:basedOn w:val="Normal"/>
    <w:link w:val="HeaderChar"/>
    <w:rsid w:val="00E32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271D"/>
    <w:rPr>
      <w:rFonts w:ascii="Times New Roman" w:eastAsia="MS Mincho" w:hAnsi="Times New Roman"/>
      <w:szCs w:val="24"/>
      <w:lang w:val="en-GB" w:eastAsia="zh-CN"/>
    </w:rPr>
  </w:style>
  <w:style w:type="character" w:styleId="Strong">
    <w:name w:val="Strong"/>
    <w:basedOn w:val="DefaultParagraphFont"/>
    <w:qFormat/>
    <w:rsid w:val="00E3271D"/>
    <w:rPr>
      <w:b/>
      <w:bCs/>
    </w:rPr>
  </w:style>
  <w:style w:type="paragraph" w:styleId="ListParagraph">
    <w:name w:val="List Paragraph"/>
    <w:basedOn w:val="Normal"/>
    <w:uiPriority w:val="34"/>
    <w:qFormat/>
    <w:rsid w:val="00E3271D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agraphnumbering">
    <w:name w:val="IPP Paragraph numbering"/>
    <w:basedOn w:val="IPPNormal"/>
    <w:qFormat/>
    <w:rsid w:val="00E3271D"/>
    <w:pPr>
      <w:numPr>
        <w:numId w:val="10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E3271D"/>
    <w:pPr>
      <w:keepNext/>
      <w:numPr>
        <w:numId w:val="0"/>
      </w:numPr>
      <w:spacing w:after="60"/>
    </w:pPr>
  </w:style>
  <w:style w:type="paragraph" w:customStyle="1" w:styleId="IPPNumberedListLast">
    <w:name w:val="IPP NumberedListLast"/>
    <w:basedOn w:val="IPPNumberedList"/>
    <w:qFormat/>
    <w:rsid w:val="00E3271D"/>
    <w:pPr>
      <w:numPr>
        <w:numId w:val="0"/>
      </w:numPr>
      <w:spacing w:after="180"/>
    </w:pPr>
  </w:style>
  <w:style w:type="paragraph" w:customStyle="1" w:styleId="IPPPargraphnumbering">
    <w:name w:val="IPP Pargraph numbering"/>
    <w:basedOn w:val="IPPNormal"/>
    <w:qFormat/>
    <w:rsid w:val="00E3271D"/>
    <w:pPr>
      <w:tabs>
        <w:tab w:val="num" w:pos="360"/>
      </w:tabs>
    </w:pPr>
    <w:rPr>
      <w:rFonts w:cs="Times New Roman"/>
      <w:lang w:val="en-US"/>
    </w:rPr>
  </w:style>
  <w:style w:type="character" w:customStyle="1" w:styleId="IPPNormalChar">
    <w:name w:val="IPP Normal Char"/>
    <w:link w:val="IPPNormal"/>
    <w:rsid w:val="00E3271D"/>
    <w:rPr>
      <w:rFonts w:ascii="Times New Roman" w:eastAsia="Times" w:hAnsi="Times New Roman"/>
      <w:szCs w:val="24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EC01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1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13B"/>
    <w:rPr>
      <w:rFonts w:ascii="Times New Roman" w:eastAsia="MS Mincho" w:hAnsi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13B"/>
    <w:rPr>
      <w:rFonts w:ascii="Times New Roman" w:eastAsia="MS Mincho" w:hAnsi="Times New Roman"/>
      <w:b/>
      <w:bCs/>
      <w:sz w:val="20"/>
      <w:szCs w:val="20"/>
      <w:lang w:val="en-GB" w:eastAsia="zh-CN"/>
    </w:rPr>
  </w:style>
  <w:style w:type="character" w:customStyle="1" w:styleId="IPPHeading2Char">
    <w:name w:val="IPP Heading2 Char"/>
    <w:link w:val="IPPHeading2"/>
    <w:rsid w:val="00E41251"/>
    <w:rPr>
      <w:rFonts w:ascii="Times New Roman" w:eastAsia="Times" w:hAnsi="Times New Roman"/>
      <w:b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4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ppc.int/static/media/files/publication/en/2017/05/CPM-12_Report-2017-05-30_withISPMs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rwien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244F9-4B72-4A7B-9FED-EAB30E6B0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483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Yamamoto, Masumi (AGD)</dc:creator>
  <cp:keywords/>
  <dc:description/>
  <cp:lastModifiedBy>Czerwien, Ewa (AGDI)</cp:lastModifiedBy>
  <cp:revision>28</cp:revision>
  <dcterms:created xsi:type="dcterms:W3CDTF">2018-12-03T11:16:00Z</dcterms:created>
  <dcterms:modified xsi:type="dcterms:W3CDTF">2019-02-01T12:27:00Z</dcterms:modified>
</cp:coreProperties>
</file>