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003F5" w14:textId="392F63C0" w:rsidR="008C291B" w:rsidRPr="00670AE1" w:rsidRDefault="003B383C" w:rsidP="003B383C">
      <w:pPr>
        <w:pStyle w:val="IPPParagraphnumbering"/>
        <w:numPr>
          <w:ilvl w:val="0"/>
          <w:numId w:val="0"/>
        </w:numPr>
        <w:jc w:val="center"/>
        <w:rPr>
          <w:rFonts w:cs="Times New Roman"/>
          <w:b/>
        </w:rPr>
      </w:pPr>
      <w:bookmarkStart w:id="0" w:name="_Hlk38797077"/>
      <w:r w:rsidRPr="00670AE1">
        <w:rPr>
          <w:rFonts w:cs="Times New Roman"/>
          <w:b/>
        </w:rPr>
        <w:t>C</w:t>
      </w:r>
      <w:r w:rsidR="008C291B" w:rsidRPr="00670AE1">
        <w:rPr>
          <w:rFonts w:cs="Times New Roman"/>
          <w:b/>
        </w:rPr>
        <w:t xml:space="preserve">oncept note for the IPPC Strategic Framework 2020-2030 development </w:t>
      </w:r>
      <w:r w:rsidR="00C21344">
        <w:rPr>
          <w:rFonts w:cs="Times New Roman"/>
          <w:b/>
        </w:rPr>
        <w:t>agenda</w:t>
      </w:r>
      <w:r w:rsidR="008C291B" w:rsidRPr="00670AE1">
        <w:rPr>
          <w:rFonts w:cs="Times New Roman"/>
          <w:b/>
        </w:rPr>
        <w:t>:</w:t>
      </w:r>
    </w:p>
    <w:p w14:paraId="21B48873" w14:textId="6634695D" w:rsidR="008C291B" w:rsidRPr="00670AE1" w:rsidRDefault="00D94F62" w:rsidP="003B383C">
      <w:pPr>
        <w:pStyle w:val="IPPParagraphnumbering"/>
        <w:numPr>
          <w:ilvl w:val="0"/>
          <w:numId w:val="0"/>
        </w:numPr>
        <w:jc w:val="center"/>
        <w:rPr>
          <w:rFonts w:cs="Times New Roman"/>
          <w:b/>
          <w:i/>
        </w:rPr>
      </w:pPr>
      <w:r>
        <w:rPr>
          <w:rFonts w:cs="Times New Roman"/>
          <w:b/>
        </w:rPr>
        <w:t>Management of e-C</w:t>
      </w:r>
      <w:r w:rsidR="00F917B0" w:rsidRPr="00670AE1">
        <w:rPr>
          <w:rFonts w:cs="Times New Roman"/>
          <w:b/>
        </w:rPr>
        <w:t>ommerce and postal and courier pathways</w:t>
      </w:r>
    </w:p>
    <w:p w14:paraId="25E37154" w14:textId="77777777" w:rsidR="008C291B" w:rsidRPr="00E74846" w:rsidRDefault="008C291B" w:rsidP="003B383C">
      <w:pPr>
        <w:pStyle w:val="IPPParagraphnumbering"/>
        <w:numPr>
          <w:ilvl w:val="0"/>
          <w:numId w:val="0"/>
        </w:numPr>
        <w:jc w:val="center"/>
        <w:rPr>
          <w:rFonts w:cs="Times New Roman"/>
          <w:i/>
        </w:rPr>
      </w:pPr>
      <w:r w:rsidRPr="00E74846">
        <w:rPr>
          <w:rFonts w:cs="Times New Roman"/>
          <w:i/>
        </w:rPr>
        <w:t>(Prepared by the IPPC Secretariat)</w:t>
      </w:r>
      <w:bookmarkEnd w:id="0"/>
    </w:p>
    <w:p w14:paraId="217F7D48" w14:textId="03628DBC" w:rsidR="008C291B" w:rsidRPr="00670AE1" w:rsidRDefault="00832C7E" w:rsidP="00832C7E">
      <w:pPr>
        <w:pStyle w:val="IPPParagraphnumbering"/>
        <w:numPr>
          <w:ilvl w:val="0"/>
          <w:numId w:val="0"/>
        </w:numPr>
        <w:rPr>
          <w:rFonts w:cs="Times New Roman"/>
          <w:b/>
        </w:rPr>
      </w:pPr>
      <w:r w:rsidRPr="00832C7E">
        <w:rPr>
          <w:rFonts w:cs="Times New Roman"/>
          <w:b/>
        </w:rPr>
        <w:t>1.</w:t>
      </w:r>
      <w:r>
        <w:rPr>
          <w:rFonts w:cs="Times New Roman"/>
          <w:b/>
        </w:rPr>
        <w:tab/>
      </w:r>
      <w:r w:rsidR="008C291B" w:rsidRPr="00670AE1">
        <w:rPr>
          <w:rFonts w:cs="Times New Roman"/>
          <w:b/>
        </w:rPr>
        <w:t>Introduction</w:t>
      </w:r>
    </w:p>
    <w:p w14:paraId="32F5FDDC" w14:textId="1DA4B2F7" w:rsidR="00D92415" w:rsidRPr="00670AE1" w:rsidRDefault="008C291B" w:rsidP="002861B8">
      <w:pPr>
        <w:pStyle w:val="IPPParagraphnumbering"/>
        <w:rPr>
          <w:rFonts w:cs="Times New Roman"/>
        </w:rPr>
      </w:pPr>
      <w:r w:rsidRPr="00670AE1">
        <w:rPr>
          <w:rFonts w:cs="Times New Roman"/>
        </w:rPr>
        <w:t>The IPPC Strategic Framework</w:t>
      </w:r>
      <w:r w:rsidR="002861B8" w:rsidRPr="00670AE1">
        <w:rPr>
          <w:rFonts w:cs="Times New Roman"/>
        </w:rPr>
        <w:t xml:space="preserve"> (SF)</w:t>
      </w:r>
      <w:r w:rsidRPr="00670AE1">
        <w:rPr>
          <w:rFonts w:cs="Times New Roman"/>
        </w:rPr>
        <w:t xml:space="preserve"> 2020–2030</w:t>
      </w:r>
      <w:r w:rsidRPr="00670AE1">
        <w:rPr>
          <w:rFonts w:cs="Times New Roman"/>
          <w:vertAlign w:val="superscript"/>
        </w:rPr>
        <w:footnoteReference w:id="1"/>
      </w:r>
      <w:r w:rsidR="00D6619B" w:rsidRPr="00670AE1">
        <w:rPr>
          <w:rFonts w:cs="Times New Roman"/>
        </w:rPr>
        <w:t xml:space="preserve"> </w:t>
      </w:r>
      <w:r w:rsidRPr="00670AE1">
        <w:rPr>
          <w:rFonts w:cs="Times New Roman"/>
        </w:rPr>
        <w:t xml:space="preserve">identifies new priority work areas that are aligned to the IPPC’s vision, mission and strategic objectives. </w:t>
      </w:r>
      <w:r w:rsidR="00665702" w:rsidRPr="00670AE1">
        <w:rPr>
          <w:rFonts w:cs="Times New Roman"/>
        </w:rPr>
        <w:t xml:space="preserve">The management of e-Commerce and </w:t>
      </w:r>
      <w:r w:rsidR="00D94F62">
        <w:rPr>
          <w:rFonts w:cs="Times New Roman"/>
        </w:rPr>
        <w:t xml:space="preserve">the </w:t>
      </w:r>
      <w:r w:rsidR="00665702" w:rsidRPr="00670AE1">
        <w:rPr>
          <w:rFonts w:cs="Times New Roman"/>
        </w:rPr>
        <w:t>postal and courier pathways</w:t>
      </w:r>
      <w:r w:rsidR="00D6619B" w:rsidRPr="00670AE1">
        <w:rPr>
          <w:rFonts w:cs="Times New Roman"/>
        </w:rPr>
        <w:t xml:space="preserve"> has been identified as one of eight </w:t>
      </w:r>
      <w:r w:rsidR="00665702" w:rsidRPr="00670AE1">
        <w:rPr>
          <w:rFonts w:cs="Times New Roman"/>
        </w:rPr>
        <w:t>development agenda</w:t>
      </w:r>
      <w:r w:rsidR="002861B8" w:rsidRPr="00670AE1">
        <w:rPr>
          <w:rFonts w:cs="Times New Roman"/>
        </w:rPr>
        <w:t xml:space="preserve"> items in the SF</w:t>
      </w:r>
      <w:r w:rsidR="00665702" w:rsidRPr="00670AE1">
        <w:rPr>
          <w:rFonts w:cs="Times New Roman"/>
        </w:rPr>
        <w:t>.</w:t>
      </w:r>
      <w:r w:rsidR="00D92415" w:rsidRPr="00670AE1">
        <w:rPr>
          <w:rFonts w:cs="Times New Roman"/>
        </w:rPr>
        <w:t xml:space="preserve"> </w:t>
      </w:r>
    </w:p>
    <w:p w14:paraId="2218BE6F" w14:textId="5A04647D" w:rsidR="004371F5" w:rsidRPr="00670AE1" w:rsidRDefault="004371F5" w:rsidP="002861B8">
      <w:pPr>
        <w:pStyle w:val="IPPParagraphnumbering"/>
        <w:rPr>
          <w:rFonts w:eastAsia="Calibri" w:cs="Times New Roman"/>
        </w:rPr>
      </w:pPr>
      <w:r w:rsidRPr="00670AE1">
        <w:rPr>
          <w:rFonts w:eastAsia="Calibri" w:cs="Times New Roman"/>
        </w:rPr>
        <w:t xml:space="preserve">The pace of digital transformation of economies and businesses has accelerated and become a key driver of global trade. Furthermore, mobile technology, social media and electronic payment systems have revolutionized the way businesses and consumers are buying, selling and trading goods. </w:t>
      </w:r>
      <w:r w:rsidR="00D94F62">
        <w:rPr>
          <w:rFonts w:eastAsia="Calibri" w:cs="Times New Roman"/>
        </w:rPr>
        <w:t>G</w:t>
      </w:r>
      <w:r w:rsidRPr="00670AE1">
        <w:rPr>
          <w:rFonts w:eastAsia="Calibri" w:cs="Times New Roman"/>
        </w:rPr>
        <w:t xml:space="preserve">rowth in use of mobile apps and digital payments has made e-Commerce transactions easy and has resulted in </w:t>
      </w:r>
      <w:r w:rsidR="00D94F62">
        <w:rPr>
          <w:rFonts w:eastAsia="Calibri" w:cs="Times New Roman"/>
        </w:rPr>
        <w:t xml:space="preserve">a huge increase </w:t>
      </w:r>
      <w:r w:rsidRPr="00670AE1">
        <w:rPr>
          <w:rFonts w:eastAsia="Calibri" w:cs="Times New Roman"/>
        </w:rPr>
        <w:t xml:space="preserve">in business-to-consumer (B2C) and consumer-to-consumer (C2C) transactions. The increased role of consumers in individual transactions has </w:t>
      </w:r>
      <w:r w:rsidR="00D94F62">
        <w:rPr>
          <w:rFonts w:eastAsia="Calibri" w:cs="Times New Roman"/>
        </w:rPr>
        <w:t>resulted in</w:t>
      </w:r>
      <w:r w:rsidRPr="00670AE1">
        <w:rPr>
          <w:rFonts w:eastAsia="Calibri" w:cs="Times New Roman"/>
        </w:rPr>
        <w:t xml:space="preserve"> a phenomenal growth in the number of smaller consignments crossing borders. Due to the sheer quantity of these smaller shipments, many parcels may bypass normal phytosanitary controls border inspections, thereby dramatically increasing the risk of introducing and spreading pests into new areas.</w:t>
      </w:r>
    </w:p>
    <w:p w14:paraId="2A4E762D" w14:textId="151D6BA4" w:rsidR="00B80F7B" w:rsidRPr="00670AE1" w:rsidRDefault="00B80F7B" w:rsidP="002861B8">
      <w:pPr>
        <w:pStyle w:val="IPPParagraphnumbering"/>
        <w:rPr>
          <w:rFonts w:eastAsia="Calibri" w:cs="Times New Roman"/>
        </w:rPr>
      </w:pPr>
      <w:r w:rsidRPr="00670AE1">
        <w:rPr>
          <w:rFonts w:eastAsia="Calibri" w:cs="Times New Roman"/>
        </w:rPr>
        <w:t xml:space="preserve">National Plant Protection Organizations (NPPOs) and </w:t>
      </w:r>
      <w:r w:rsidR="002861B8" w:rsidRPr="00670AE1">
        <w:rPr>
          <w:rFonts w:eastAsia="Calibri" w:cs="Times New Roman"/>
        </w:rPr>
        <w:t xml:space="preserve">Regional Plant Protection Organizations </w:t>
      </w:r>
      <w:r w:rsidRPr="00670AE1">
        <w:rPr>
          <w:rFonts w:eastAsia="Calibri" w:cs="Times New Roman"/>
        </w:rPr>
        <w:t xml:space="preserve">(RPPOs) are encouraged to identify e-Commerce stakeholders based within their countries and regions, as well as, products of concern that might be purchased via e-Commerce and to explore options for ensuring these goods comply with </w:t>
      </w:r>
      <w:r w:rsidR="002861B8" w:rsidRPr="00670AE1">
        <w:rPr>
          <w:rFonts w:eastAsia="Calibri" w:cs="Times New Roman"/>
        </w:rPr>
        <w:t xml:space="preserve">national </w:t>
      </w:r>
      <w:r w:rsidRPr="00670AE1">
        <w:rPr>
          <w:rFonts w:eastAsia="Calibri" w:cs="Times New Roman"/>
        </w:rPr>
        <w:t>phytosanitary regulations. This requires increased awareness about phytosanitary requirements among e-Commerce stakeholders and improved collaboration, monitoring and enforcement across the pathways known for transporting those goods, particularly postal and express delivery services. Phytosanitary organizations around the world also need efficient tools and procedures to screen courier mail and packages</w:t>
      </w:r>
      <w:r w:rsidR="00C21344">
        <w:rPr>
          <w:rFonts w:eastAsia="Calibri" w:cs="Times New Roman"/>
        </w:rPr>
        <w:t xml:space="preserve"> to deal with the increased volume</w:t>
      </w:r>
      <w:r w:rsidRPr="00670AE1">
        <w:rPr>
          <w:rFonts w:eastAsia="Calibri" w:cs="Times New Roman"/>
        </w:rPr>
        <w:t xml:space="preserve">. Cooperation with other </w:t>
      </w:r>
      <w:r w:rsidR="002861B8" w:rsidRPr="00670AE1">
        <w:rPr>
          <w:rFonts w:eastAsia="Calibri" w:cs="Times New Roman"/>
        </w:rPr>
        <w:t xml:space="preserve">organizations </w:t>
      </w:r>
      <w:r w:rsidRPr="00670AE1">
        <w:rPr>
          <w:rFonts w:eastAsia="Calibri" w:cs="Times New Roman"/>
        </w:rPr>
        <w:t xml:space="preserve">such as the World Customs Organization (WCO), Universal Postal Union (UPU), </w:t>
      </w:r>
      <w:r w:rsidR="0022071D">
        <w:rPr>
          <w:rFonts w:eastAsia="Calibri" w:cs="Times New Roman"/>
        </w:rPr>
        <w:t xml:space="preserve">World Trade Organization (WTO), </w:t>
      </w:r>
      <w:r w:rsidRPr="00670AE1">
        <w:rPr>
          <w:rFonts w:eastAsia="Calibri" w:cs="Times New Roman"/>
        </w:rPr>
        <w:t xml:space="preserve">Codex and OIE may help to develop </w:t>
      </w:r>
      <w:r w:rsidR="002861B8" w:rsidRPr="00670AE1">
        <w:rPr>
          <w:rFonts w:eastAsia="Calibri" w:cs="Times New Roman"/>
        </w:rPr>
        <w:t xml:space="preserve">internationally agreed </w:t>
      </w:r>
      <w:r w:rsidRPr="00670AE1">
        <w:rPr>
          <w:rFonts w:eastAsia="Calibri" w:cs="Times New Roman"/>
        </w:rPr>
        <w:t>procedures for e-Commerce</w:t>
      </w:r>
      <w:r w:rsidR="002861B8" w:rsidRPr="00670AE1">
        <w:rPr>
          <w:rFonts w:eastAsia="Calibri" w:cs="Times New Roman"/>
        </w:rPr>
        <w:t xml:space="preserve"> </w:t>
      </w:r>
      <w:r w:rsidR="003D4130">
        <w:rPr>
          <w:rFonts w:eastAsia="Calibri" w:cs="Times New Roman"/>
        </w:rPr>
        <w:t xml:space="preserve">which should </w:t>
      </w:r>
      <w:r w:rsidR="002861B8" w:rsidRPr="00670AE1">
        <w:rPr>
          <w:rFonts w:eastAsia="Calibri" w:cs="Times New Roman"/>
        </w:rPr>
        <w:t xml:space="preserve">help </w:t>
      </w:r>
      <w:r w:rsidR="003D4130">
        <w:rPr>
          <w:rFonts w:eastAsia="Calibri" w:cs="Times New Roman"/>
        </w:rPr>
        <w:t xml:space="preserve">NPPOs </w:t>
      </w:r>
      <w:r w:rsidR="002861B8" w:rsidRPr="00670AE1">
        <w:rPr>
          <w:rFonts w:eastAsia="Calibri" w:cs="Times New Roman"/>
        </w:rPr>
        <w:t xml:space="preserve">manage the </w:t>
      </w:r>
      <w:r w:rsidR="00F71A63" w:rsidRPr="00670AE1">
        <w:rPr>
          <w:rFonts w:eastAsia="Calibri" w:cs="Times New Roman"/>
        </w:rPr>
        <w:t>associated phytosanitary</w:t>
      </w:r>
      <w:r w:rsidR="002861B8" w:rsidRPr="00670AE1">
        <w:rPr>
          <w:rFonts w:eastAsia="Calibri" w:cs="Times New Roman"/>
        </w:rPr>
        <w:t xml:space="preserve"> risk</w:t>
      </w:r>
      <w:r w:rsidR="00F71A63" w:rsidRPr="00670AE1">
        <w:rPr>
          <w:rFonts w:eastAsia="Calibri" w:cs="Times New Roman"/>
        </w:rPr>
        <w:t>s</w:t>
      </w:r>
      <w:r w:rsidRPr="00670AE1">
        <w:rPr>
          <w:rFonts w:eastAsia="Calibri" w:cs="Times New Roman"/>
        </w:rPr>
        <w:t>.</w:t>
      </w:r>
    </w:p>
    <w:p w14:paraId="1F186BA0" w14:textId="6E4D2C7F" w:rsidR="002847D8" w:rsidRPr="00670AE1" w:rsidRDefault="00832C7E" w:rsidP="002861B8">
      <w:pPr>
        <w:pStyle w:val="IPPParagraphnumbering"/>
        <w:numPr>
          <w:ilvl w:val="0"/>
          <w:numId w:val="0"/>
        </w:numPr>
        <w:rPr>
          <w:rFonts w:cs="Times New Roman"/>
          <w:b/>
        </w:rPr>
      </w:pPr>
      <w:r>
        <w:rPr>
          <w:rFonts w:cs="Times New Roman"/>
          <w:b/>
        </w:rPr>
        <w:t>2.</w:t>
      </w:r>
      <w:r>
        <w:rPr>
          <w:rFonts w:cs="Times New Roman"/>
          <w:b/>
        </w:rPr>
        <w:tab/>
      </w:r>
      <w:r w:rsidR="002847D8" w:rsidRPr="00670AE1">
        <w:rPr>
          <w:rFonts w:cs="Times New Roman"/>
          <w:b/>
        </w:rPr>
        <w:t>Background</w:t>
      </w:r>
    </w:p>
    <w:p w14:paraId="06E59359" w14:textId="131B377C" w:rsidR="002847D8" w:rsidRPr="00670AE1" w:rsidRDefault="002847D8" w:rsidP="002861B8">
      <w:pPr>
        <w:pStyle w:val="IPPParagraphnumbering"/>
        <w:rPr>
          <w:rFonts w:eastAsia="Calibri" w:cs="Times New Roman"/>
        </w:rPr>
      </w:pPr>
      <w:r w:rsidRPr="00670AE1">
        <w:rPr>
          <w:rFonts w:eastAsia="Calibri" w:cs="Times New Roman"/>
        </w:rPr>
        <w:t xml:space="preserve">An </w:t>
      </w:r>
      <w:r w:rsidR="00AC4DAA" w:rsidRPr="00670AE1">
        <w:rPr>
          <w:rFonts w:eastAsia="Calibri" w:cs="Times New Roman"/>
        </w:rPr>
        <w:t>Implementation Review and Support System (</w:t>
      </w:r>
      <w:r w:rsidRPr="00670AE1">
        <w:rPr>
          <w:rFonts w:eastAsia="Calibri" w:cs="Times New Roman"/>
        </w:rPr>
        <w:t>IRSS</w:t>
      </w:r>
      <w:r w:rsidR="00AC4DAA" w:rsidRPr="00670AE1">
        <w:rPr>
          <w:rFonts w:eastAsia="Calibri" w:cs="Times New Roman"/>
        </w:rPr>
        <w:t>)</w:t>
      </w:r>
      <w:r w:rsidRPr="00670AE1">
        <w:rPr>
          <w:rFonts w:eastAsia="Calibri" w:cs="Times New Roman"/>
        </w:rPr>
        <w:t xml:space="preserve"> study was carried out in 2012 to evaluate potential phytosanitary risks associated with e-Commerce (e.g. types of products consignment quantities, shipping coverage, warnings on shipping requirements)</w:t>
      </w:r>
      <w:r w:rsidR="0022071D">
        <w:rPr>
          <w:rFonts w:eastAsia="Calibri" w:cs="Times New Roman"/>
        </w:rPr>
        <w:t>.</w:t>
      </w:r>
      <w:r w:rsidRPr="00670AE1">
        <w:rPr>
          <w:rFonts w:eastAsia="Calibri" w:cs="Times New Roman"/>
        </w:rPr>
        <w:t xml:space="preserve"> This desk study explored the range of products offered for sale over the internet and highlighted some potential phytosanitary risks.</w:t>
      </w:r>
    </w:p>
    <w:p w14:paraId="305275FB" w14:textId="77777777" w:rsidR="002847D8" w:rsidRPr="00670AE1" w:rsidRDefault="002847D8" w:rsidP="002861B8">
      <w:pPr>
        <w:pStyle w:val="IPPParagraphnumbering"/>
        <w:rPr>
          <w:rFonts w:eastAsia="Calibri" w:cs="Times New Roman"/>
        </w:rPr>
      </w:pPr>
      <w:r w:rsidRPr="00670AE1">
        <w:rPr>
          <w:rFonts w:eastAsia="Calibri" w:cs="Times New Roman"/>
        </w:rPr>
        <w:t>CPM-9 (2014) adopted R-05: Recommendation on: Internet trade (e-Commerce) in plants and other regulated articles</w:t>
      </w:r>
      <w:r w:rsidRPr="00670AE1">
        <w:rPr>
          <w:rFonts w:eastAsia="Calibri" w:cs="Times New Roman"/>
          <w:vertAlign w:val="superscript"/>
        </w:rPr>
        <w:footnoteReference w:id="2"/>
      </w:r>
      <w:r w:rsidRPr="00670AE1">
        <w:rPr>
          <w:rFonts w:eastAsia="Calibri" w:cs="Times New Roman"/>
        </w:rPr>
        <w:t xml:space="preserve">. </w:t>
      </w:r>
    </w:p>
    <w:p w14:paraId="32EF19F6" w14:textId="236C3F8B" w:rsidR="00A83595" w:rsidRPr="00A83595" w:rsidRDefault="003D4130" w:rsidP="00E14CB1">
      <w:pPr>
        <w:pStyle w:val="IPPParagraphnumbering"/>
      </w:pPr>
      <w:r>
        <w:rPr>
          <w:rFonts w:eastAsia="Calibri" w:cs="Times New Roman"/>
        </w:rPr>
        <w:t>CPM-12 (2017) held a</w:t>
      </w:r>
      <w:r w:rsidR="002847D8" w:rsidRPr="00A83595">
        <w:rPr>
          <w:rFonts w:eastAsia="Calibri" w:cs="Times New Roman"/>
        </w:rPr>
        <w:t xml:space="preserve"> special topics</w:t>
      </w:r>
      <w:r w:rsidR="00DB7CED" w:rsidRPr="00670AE1">
        <w:rPr>
          <w:rStyle w:val="FootnoteReference"/>
          <w:rFonts w:eastAsia="Calibri" w:cs="Times New Roman"/>
        </w:rPr>
        <w:footnoteReference w:id="3"/>
      </w:r>
      <w:r w:rsidR="002847D8" w:rsidRPr="00A83595">
        <w:rPr>
          <w:rFonts w:eastAsia="Calibri" w:cs="Times New Roman"/>
        </w:rPr>
        <w:t xml:space="preserve"> session on the subject of e-Commerce</w:t>
      </w:r>
      <w:r>
        <w:rPr>
          <w:rFonts w:eastAsia="Calibri" w:cs="Times New Roman"/>
        </w:rPr>
        <w:t>.</w:t>
      </w:r>
    </w:p>
    <w:p w14:paraId="45189933" w14:textId="47D78AA8" w:rsidR="00771BA1" w:rsidRPr="00771BA1" w:rsidRDefault="002847D8" w:rsidP="00E14CB1">
      <w:pPr>
        <w:pStyle w:val="IPPParagraphnumbering"/>
      </w:pPr>
      <w:r w:rsidRPr="00A83595">
        <w:rPr>
          <w:rFonts w:eastAsia="Calibri" w:cs="Times New Roman"/>
        </w:rPr>
        <w:t xml:space="preserve">CPM-14 (2019) noted the e-Commerce action plan within the </w:t>
      </w:r>
      <w:r w:rsidRPr="00A83595">
        <w:rPr>
          <w:rFonts w:eastAsia="Calibri" w:cs="Times New Roman"/>
          <w:i/>
        </w:rPr>
        <w:t>Five year investment plan of the IPPC Secretariat – in relation to the IPPC Strategic Framework 2020-2030</w:t>
      </w:r>
      <w:r w:rsidRPr="00670AE1">
        <w:rPr>
          <w:i/>
          <w:vertAlign w:val="superscript"/>
        </w:rPr>
        <w:footnoteReference w:id="4"/>
      </w:r>
      <w:r w:rsidRPr="00A83595">
        <w:rPr>
          <w:rFonts w:eastAsia="Calibri" w:cs="Times New Roman"/>
        </w:rPr>
        <w:t xml:space="preserve">, endorsed the e-Commerce </w:t>
      </w:r>
      <w:r w:rsidRPr="00A83595">
        <w:rPr>
          <w:rFonts w:eastAsia="Calibri" w:cs="Times New Roman"/>
        </w:rPr>
        <w:lastRenderedPageBreak/>
        <w:t>proposed project work plan and budget</w:t>
      </w:r>
      <w:r w:rsidRPr="00670AE1">
        <w:rPr>
          <w:vertAlign w:val="superscript"/>
        </w:rPr>
        <w:footnoteReference w:id="5"/>
      </w:r>
      <w:r w:rsidRPr="00A83595">
        <w:rPr>
          <w:rFonts w:eastAsia="Calibri" w:cs="Times New Roman"/>
        </w:rPr>
        <w:t xml:space="preserve"> that were presented, and considered the extra-budgetary resources required to implement the project work plan. </w:t>
      </w:r>
    </w:p>
    <w:p w14:paraId="12437CDC" w14:textId="251F3584" w:rsidR="002847D8" w:rsidRPr="00670AE1" w:rsidRDefault="00771BA1" w:rsidP="00C810A5">
      <w:pPr>
        <w:pStyle w:val="IPPParagraphnumbering"/>
      </w:pPr>
      <w:r w:rsidRPr="00771BA1">
        <w:rPr>
          <w:rFonts w:eastAsia="Calibri" w:cs="Times New Roman"/>
        </w:rPr>
        <w:t xml:space="preserve">CPM-14 (2019) also agreed that the two topics </w:t>
      </w:r>
      <w:r w:rsidR="00A83595">
        <w:rPr>
          <w:rFonts w:eastAsia="Calibri" w:cs="Times New Roman"/>
        </w:rPr>
        <w:t xml:space="preserve">related to e-Commerce </w:t>
      </w:r>
      <w:r w:rsidR="00E701A1">
        <w:rPr>
          <w:rFonts w:eastAsia="Calibri" w:cs="Times New Roman"/>
        </w:rPr>
        <w:t xml:space="preserve">(2018-014 and 2018-021) </w:t>
      </w:r>
      <w:r w:rsidR="00A83595">
        <w:rPr>
          <w:rFonts w:eastAsia="Calibri" w:cs="Times New Roman"/>
        </w:rPr>
        <w:t xml:space="preserve">that were </w:t>
      </w:r>
      <w:r w:rsidRPr="00771BA1">
        <w:rPr>
          <w:rFonts w:eastAsia="Calibri" w:cs="Times New Roman"/>
        </w:rPr>
        <w:t xml:space="preserve">submitted </w:t>
      </w:r>
      <w:r w:rsidR="00A83595">
        <w:rPr>
          <w:rFonts w:eastAsia="Calibri" w:cs="Times New Roman"/>
        </w:rPr>
        <w:t>during</w:t>
      </w:r>
      <w:r w:rsidRPr="00771BA1">
        <w:rPr>
          <w:rFonts w:eastAsia="Calibri" w:cs="Times New Roman"/>
        </w:rPr>
        <w:t xml:space="preserve"> the 2018 Call for Topics be added to the </w:t>
      </w:r>
      <w:r w:rsidRPr="00771BA1">
        <w:rPr>
          <w:rFonts w:eastAsia="Calibri" w:cs="Times New Roman"/>
          <w:i/>
          <w:iCs/>
          <w:lang w:val="en-CA"/>
        </w:rPr>
        <w:t>List of Topics for</w:t>
      </w:r>
      <w:r>
        <w:rPr>
          <w:rFonts w:eastAsia="Calibri" w:cs="Times New Roman"/>
          <w:i/>
          <w:iCs/>
          <w:lang w:val="en-CA"/>
        </w:rPr>
        <w:t xml:space="preserve"> </w:t>
      </w:r>
      <w:r w:rsidRPr="00771BA1">
        <w:rPr>
          <w:rFonts w:eastAsia="Calibri" w:cs="Times New Roman"/>
          <w:i/>
          <w:iCs/>
          <w:lang w:val="en-CA"/>
        </w:rPr>
        <w:t>Standards</w:t>
      </w:r>
      <w:r w:rsidR="00E701A1">
        <w:rPr>
          <w:rStyle w:val="FootnoteReference"/>
          <w:rFonts w:eastAsia="Calibri" w:cs="Times New Roman"/>
          <w:i/>
          <w:iCs/>
          <w:lang w:val="en-CA"/>
        </w:rPr>
        <w:footnoteReference w:id="6"/>
      </w:r>
      <w:r w:rsidRPr="00771BA1">
        <w:rPr>
          <w:rFonts w:eastAsia="Calibri" w:cs="Times New Roman"/>
        </w:rPr>
        <w:t>.</w:t>
      </w:r>
    </w:p>
    <w:p w14:paraId="4219C5A2" w14:textId="2C27016A" w:rsidR="002847D8" w:rsidRPr="00670AE1" w:rsidRDefault="002847D8" w:rsidP="002861B8">
      <w:pPr>
        <w:pStyle w:val="IPPParagraphnumbering"/>
        <w:rPr>
          <w:rFonts w:eastAsia="Calibri" w:cs="Times New Roman"/>
        </w:rPr>
      </w:pPr>
      <w:r w:rsidRPr="00670AE1">
        <w:rPr>
          <w:rFonts w:eastAsia="Calibri" w:cs="Times New Roman"/>
        </w:rPr>
        <w:t>CPM Bureau</w:t>
      </w:r>
      <w:r w:rsidR="003D4130">
        <w:rPr>
          <w:rFonts w:eastAsia="Calibri" w:cs="Times New Roman"/>
        </w:rPr>
        <w:t xml:space="preserve"> i</w:t>
      </w:r>
      <w:r w:rsidR="003D4130" w:rsidRPr="00670AE1">
        <w:rPr>
          <w:rFonts w:eastAsia="Calibri" w:cs="Times New Roman"/>
        </w:rPr>
        <w:t xml:space="preserve">n October 2019 </w:t>
      </w:r>
      <w:r w:rsidRPr="00670AE1">
        <w:rPr>
          <w:rFonts w:eastAsia="Calibri" w:cs="Times New Roman"/>
        </w:rPr>
        <w:t>determined that the Implementation and Capacity Development Committee (IC) would provide oversight of e-Commerce activities, with input from the Standards Committee (SC).</w:t>
      </w:r>
    </w:p>
    <w:p w14:paraId="71BFBD27" w14:textId="714342C3" w:rsidR="00D92415" w:rsidRPr="00670AE1" w:rsidRDefault="00832C7E" w:rsidP="002861B8">
      <w:pPr>
        <w:pStyle w:val="IPPParagraphnumbering"/>
        <w:numPr>
          <w:ilvl w:val="0"/>
          <w:numId w:val="0"/>
        </w:numPr>
        <w:rPr>
          <w:rFonts w:cs="Times New Roman"/>
          <w:i/>
        </w:rPr>
      </w:pPr>
      <w:r>
        <w:rPr>
          <w:rFonts w:cs="Times New Roman"/>
          <w:b/>
        </w:rPr>
        <w:t>3.</w:t>
      </w:r>
      <w:r>
        <w:rPr>
          <w:rFonts w:cs="Times New Roman"/>
          <w:b/>
        </w:rPr>
        <w:tab/>
      </w:r>
      <w:r w:rsidR="00D92415" w:rsidRPr="00670AE1">
        <w:rPr>
          <w:rFonts w:cs="Times New Roman"/>
          <w:b/>
        </w:rPr>
        <w:t>Desired 2030 Outcome</w:t>
      </w:r>
      <w:r w:rsidR="00D92415" w:rsidRPr="00670AE1">
        <w:rPr>
          <w:rFonts w:cs="Times New Roman"/>
        </w:rPr>
        <w:t xml:space="preserve"> </w:t>
      </w:r>
      <w:r w:rsidR="003A7439" w:rsidRPr="00670AE1">
        <w:rPr>
          <w:rFonts w:cs="Times New Roman"/>
          <w:i/>
        </w:rPr>
        <w:t>(as identified in the SF)</w:t>
      </w:r>
    </w:p>
    <w:p w14:paraId="63C8712F" w14:textId="27B39989" w:rsidR="00D92415" w:rsidRPr="00670AE1" w:rsidRDefault="00D92415" w:rsidP="002861B8">
      <w:pPr>
        <w:pStyle w:val="IPPParagraphnumbering"/>
        <w:rPr>
          <w:rFonts w:cs="Times New Roman"/>
          <w:i/>
        </w:rPr>
      </w:pPr>
      <w:r w:rsidRPr="00670AE1">
        <w:rPr>
          <w:rFonts w:cs="Times New Roman"/>
          <w:i/>
        </w:rPr>
        <w:t>A coordinated international effort has substantially reduced the spread of pests and pest host material sold through e-commence and distributed through mail and courier pathways. Volumes of high risk plant material purchased online in small quantities and shipped via courier pathways is sourced from plant health export programs, and compliance is tracked and enforced in collaboration with other border agencies, the international postal services and courier services.</w:t>
      </w:r>
    </w:p>
    <w:p w14:paraId="1BAB0732" w14:textId="6E0B96E9" w:rsidR="00CF5E08" w:rsidRPr="00670AE1" w:rsidRDefault="00832C7E" w:rsidP="002861B8">
      <w:pPr>
        <w:pStyle w:val="IPPParagraphnumbering"/>
        <w:numPr>
          <w:ilvl w:val="0"/>
          <w:numId w:val="0"/>
        </w:numPr>
        <w:rPr>
          <w:rFonts w:cs="Times New Roman"/>
          <w:b/>
        </w:rPr>
      </w:pPr>
      <w:r>
        <w:rPr>
          <w:rFonts w:cs="Times New Roman"/>
          <w:b/>
        </w:rPr>
        <w:t>4.</w:t>
      </w:r>
      <w:r>
        <w:rPr>
          <w:rFonts w:cs="Times New Roman"/>
          <w:b/>
        </w:rPr>
        <w:tab/>
      </w:r>
      <w:r w:rsidR="00CF5E08" w:rsidRPr="00670AE1">
        <w:rPr>
          <w:rFonts w:cs="Times New Roman"/>
          <w:b/>
        </w:rPr>
        <w:t>e-Commerce programme</w:t>
      </w:r>
    </w:p>
    <w:p w14:paraId="0B3FCAF4" w14:textId="334B2FF1" w:rsidR="00B80F7B" w:rsidRPr="00670AE1" w:rsidRDefault="00837EC6" w:rsidP="0022071D">
      <w:pPr>
        <w:pStyle w:val="IPPParagraphnumbering"/>
        <w:spacing w:after="60" w:line="257" w:lineRule="auto"/>
        <w:rPr>
          <w:rFonts w:cs="Times New Roman"/>
        </w:rPr>
      </w:pPr>
      <w:r w:rsidRPr="00670AE1">
        <w:rPr>
          <w:rFonts w:cs="Times New Roman"/>
        </w:rPr>
        <w:t>The IPPC Secretariat</w:t>
      </w:r>
      <w:r w:rsidR="46BADD1E" w:rsidRPr="00670AE1">
        <w:rPr>
          <w:rFonts w:cs="Times New Roman"/>
        </w:rPr>
        <w:t>’s</w:t>
      </w:r>
      <w:r w:rsidRPr="00670AE1">
        <w:rPr>
          <w:rFonts w:cs="Times New Roman"/>
        </w:rPr>
        <w:t xml:space="preserve"> </w:t>
      </w:r>
      <w:r w:rsidR="00D6619B" w:rsidRPr="00670AE1">
        <w:rPr>
          <w:rFonts w:cs="Times New Roman"/>
        </w:rPr>
        <w:t xml:space="preserve">3-year </w:t>
      </w:r>
      <w:r w:rsidRPr="00670AE1">
        <w:rPr>
          <w:rFonts w:cs="Times New Roman"/>
        </w:rPr>
        <w:t xml:space="preserve">e-Commerce work plan was </w:t>
      </w:r>
      <w:r w:rsidR="00B80F7B" w:rsidRPr="00670AE1">
        <w:rPr>
          <w:rFonts w:cs="Times New Roman"/>
        </w:rPr>
        <w:t>approved by</w:t>
      </w:r>
      <w:r w:rsidRPr="00670AE1">
        <w:rPr>
          <w:rFonts w:cs="Times New Roman"/>
        </w:rPr>
        <w:t xml:space="preserve"> the IC during their November 2019 meeting</w:t>
      </w:r>
      <w:r w:rsidR="00301398" w:rsidRPr="00670AE1">
        <w:rPr>
          <w:rStyle w:val="FootnoteReference"/>
          <w:rFonts w:cs="Times New Roman"/>
        </w:rPr>
        <w:footnoteReference w:id="7"/>
      </w:r>
      <w:r w:rsidRPr="00670AE1">
        <w:rPr>
          <w:rFonts w:cs="Times New Roman"/>
        </w:rPr>
        <w:t>.</w:t>
      </w:r>
      <w:r w:rsidR="00B80F7B" w:rsidRPr="00670AE1">
        <w:rPr>
          <w:rFonts w:cs="Times New Roman"/>
        </w:rPr>
        <w:t xml:space="preserve"> The key outputs/results of the IPPC Secretariat e-Commerce work plan, include:</w:t>
      </w:r>
    </w:p>
    <w:p w14:paraId="2959B88D" w14:textId="77777777" w:rsidR="0099488B" w:rsidRPr="00670AE1" w:rsidRDefault="0099488B" w:rsidP="0022071D">
      <w:pPr>
        <w:pStyle w:val="IPPParagraphnumbering"/>
        <w:numPr>
          <w:ilvl w:val="0"/>
          <w:numId w:val="26"/>
        </w:numPr>
        <w:spacing w:after="60" w:line="257" w:lineRule="auto"/>
        <w:rPr>
          <w:rFonts w:cs="Times New Roman"/>
        </w:rPr>
      </w:pPr>
      <w:r w:rsidRPr="00670AE1">
        <w:rPr>
          <w:rFonts w:cs="Times New Roman"/>
        </w:rPr>
        <w:t xml:space="preserve">Establishing an informal network of e-Commerce experts </w:t>
      </w:r>
    </w:p>
    <w:p w14:paraId="7209BEC1" w14:textId="77777777" w:rsidR="0099488B" w:rsidRPr="00670AE1" w:rsidRDefault="0099488B" w:rsidP="0022071D">
      <w:pPr>
        <w:pStyle w:val="IPPParagraphnumbering"/>
        <w:numPr>
          <w:ilvl w:val="0"/>
          <w:numId w:val="26"/>
        </w:numPr>
        <w:spacing w:after="60" w:line="257" w:lineRule="auto"/>
        <w:rPr>
          <w:rFonts w:cs="Times New Roman"/>
        </w:rPr>
      </w:pPr>
      <w:r w:rsidRPr="00670AE1">
        <w:rPr>
          <w:rFonts w:cs="Times New Roman"/>
        </w:rPr>
        <w:t xml:space="preserve">Strengthening collaboration between the IPPC Secretariat and the </w:t>
      </w:r>
      <w:r w:rsidR="00D25C9D" w:rsidRPr="00670AE1">
        <w:rPr>
          <w:rFonts w:cs="Times New Roman"/>
        </w:rPr>
        <w:t xml:space="preserve">World Customs Organization (WCO) </w:t>
      </w:r>
      <w:r w:rsidRPr="00670AE1">
        <w:rPr>
          <w:rFonts w:cs="Times New Roman"/>
        </w:rPr>
        <w:t>and other key international organizations.</w:t>
      </w:r>
    </w:p>
    <w:p w14:paraId="7AE7E187" w14:textId="77777777" w:rsidR="0099488B" w:rsidRPr="00670AE1" w:rsidRDefault="0099488B" w:rsidP="0022071D">
      <w:pPr>
        <w:pStyle w:val="IPPParagraphnumbering"/>
        <w:numPr>
          <w:ilvl w:val="0"/>
          <w:numId w:val="26"/>
        </w:numPr>
        <w:spacing w:after="60" w:line="257" w:lineRule="auto"/>
        <w:rPr>
          <w:rFonts w:cs="Times New Roman"/>
        </w:rPr>
      </w:pPr>
      <w:r w:rsidRPr="00670AE1">
        <w:rPr>
          <w:rFonts w:cs="Times New Roman"/>
        </w:rPr>
        <w:t>Gathering existing information and technical resources relevant to the IPPC community on the subject of e-Commerce and making these resources available on the IPPC website.</w:t>
      </w:r>
    </w:p>
    <w:p w14:paraId="2CC3FC25" w14:textId="77777777" w:rsidR="0099488B" w:rsidRPr="00670AE1" w:rsidRDefault="0099488B" w:rsidP="00F71A63">
      <w:pPr>
        <w:pStyle w:val="IPPParagraphnumbering"/>
        <w:numPr>
          <w:ilvl w:val="0"/>
          <w:numId w:val="26"/>
        </w:numPr>
        <w:rPr>
          <w:rFonts w:cs="Times New Roman"/>
        </w:rPr>
      </w:pPr>
      <w:r w:rsidRPr="00670AE1">
        <w:rPr>
          <w:rFonts w:cs="Times New Roman"/>
        </w:rPr>
        <w:t>Developing a new IPPC Guide on e-Commerce (2017-039).</w:t>
      </w:r>
    </w:p>
    <w:p w14:paraId="75ACD3E8" w14:textId="05828B9E" w:rsidR="008C291B" w:rsidRPr="00832C7E" w:rsidRDefault="00832C7E" w:rsidP="002861B8">
      <w:pPr>
        <w:pStyle w:val="IPPParagraphnumbering"/>
        <w:numPr>
          <w:ilvl w:val="0"/>
          <w:numId w:val="0"/>
        </w:numPr>
        <w:rPr>
          <w:rFonts w:cs="Times New Roman"/>
          <w:b/>
        </w:rPr>
      </w:pPr>
      <w:r>
        <w:rPr>
          <w:rFonts w:cs="Times New Roman"/>
          <w:b/>
        </w:rPr>
        <w:t>5.</w:t>
      </w:r>
      <w:r>
        <w:rPr>
          <w:rFonts w:cs="Times New Roman"/>
          <w:b/>
        </w:rPr>
        <w:tab/>
      </w:r>
      <w:r w:rsidR="46BADD1E" w:rsidRPr="00832C7E">
        <w:rPr>
          <w:rFonts w:cs="Times New Roman"/>
          <w:b/>
        </w:rPr>
        <w:t>Ongoing activities</w:t>
      </w:r>
    </w:p>
    <w:p w14:paraId="024A5B87" w14:textId="6F6E0F14" w:rsidR="00D25C9D" w:rsidRPr="00670AE1" w:rsidRDefault="46BADD1E" w:rsidP="002861B8">
      <w:pPr>
        <w:pStyle w:val="IPPParagraphnumbering"/>
        <w:rPr>
          <w:rFonts w:eastAsia="Times New Roman" w:cs="Times New Roman"/>
          <w:lang w:eastAsia="en-CA"/>
        </w:rPr>
      </w:pPr>
      <w:r w:rsidRPr="0022071D">
        <w:rPr>
          <w:rFonts w:eastAsia="Times New Roman" w:cs="Times New Roman"/>
          <w:b/>
          <w:lang w:eastAsia="en-CA"/>
        </w:rPr>
        <w:t>An informal network of e-Commerce experts:</w:t>
      </w:r>
      <w:r w:rsidRPr="00670AE1">
        <w:rPr>
          <w:rFonts w:eastAsia="Times New Roman" w:cs="Times New Roman"/>
          <w:lang w:eastAsia="en-CA"/>
        </w:rPr>
        <w:t xml:space="preserve"> A virtual network of e-Commerce experts was </w:t>
      </w:r>
      <w:r w:rsidR="003D4130">
        <w:rPr>
          <w:rFonts w:eastAsia="Times New Roman" w:cs="Times New Roman"/>
          <w:lang w:eastAsia="en-CA"/>
        </w:rPr>
        <w:t xml:space="preserve">formed and an e-Forum for discussion was </w:t>
      </w:r>
      <w:r w:rsidRPr="00670AE1">
        <w:rPr>
          <w:rFonts w:eastAsia="Times New Roman" w:cs="Times New Roman"/>
          <w:lang w:eastAsia="en-CA"/>
        </w:rPr>
        <w:t>launched in February 2020. The Secretariats of the WCO, Convention on Biological Diversity (CBD), Universal Postal Union (UPU),</w:t>
      </w:r>
      <w:r w:rsidRPr="00670AE1">
        <w:rPr>
          <w:rFonts w:cs="Times New Roman"/>
        </w:rPr>
        <w:t xml:space="preserve"> </w:t>
      </w:r>
      <w:r w:rsidRPr="00670AE1">
        <w:rPr>
          <w:rFonts w:eastAsia="Times New Roman" w:cs="Times New Roman"/>
          <w:lang w:eastAsia="en-CA"/>
        </w:rPr>
        <w:t xml:space="preserve">Standards Trade and Development Facility (STDF), Codex and OIE have all nominated representatives to participate in the IPPC e-Commerce network, as </w:t>
      </w:r>
      <w:r w:rsidR="003D4130">
        <w:rPr>
          <w:rFonts w:eastAsia="Times New Roman" w:cs="Times New Roman"/>
          <w:lang w:eastAsia="en-CA"/>
        </w:rPr>
        <w:t xml:space="preserve">well, experts from </w:t>
      </w:r>
      <w:r w:rsidRPr="00670AE1">
        <w:rPr>
          <w:rFonts w:eastAsia="Times New Roman" w:cs="Times New Roman"/>
          <w:lang w:eastAsia="en-CA"/>
        </w:rPr>
        <w:t>a number of NPPOs and RPPOs and some industry stakeholders</w:t>
      </w:r>
      <w:r w:rsidR="003D4130">
        <w:rPr>
          <w:rFonts w:eastAsia="Times New Roman" w:cs="Times New Roman"/>
          <w:lang w:eastAsia="en-CA"/>
        </w:rPr>
        <w:t xml:space="preserve"> have also joined this network</w:t>
      </w:r>
      <w:r w:rsidRPr="00670AE1">
        <w:rPr>
          <w:rFonts w:eastAsia="Times New Roman" w:cs="Times New Roman"/>
          <w:lang w:eastAsia="en-CA"/>
        </w:rPr>
        <w:t>. The network is intended to enhance collaboration among the participants, facilitate the exchange of information about e-Commerce initiatives and issues, and identify opportunities for addressing the phytosanitary risks associated with cross-border e-Commerce.</w:t>
      </w:r>
    </w:p>
    <w:p w14:paraId="70912243" w14:textId="0648E003" w:rsidR="004371F5" w:rsidRPr="0022071D" w:rsidRDefault="46BADD1E" w:rsidP="000F26A4">
      <w:pPr>
        <w:pStyle w:val="IPPParagraphnumbering"/>
        <w:rPr>
          <w:rFonts w:eastAsia="Times New Roman" w:cs="Times New Roman"/>
          <w:lang w:eastAsia="en-CA"/>
        </w:rPr>
      </w:pPr>
      <w:r w:rsidRPr="0022071D">
        <w:rPr>
          <w:rFonts w:eastAsia="Times New Roman" w:cs="Times New Roman"/>
          <w:b/>
          <w:lang w:eastAsia="en-CA"/>
        </w:rPr>
        <w:t>Strengthened collaboration with other key international organizations:</w:t>
      </w:r>
      <w:r w:rsidRPr="0022071D">
        <w:rPr>
          <w:rFonts w:eastAsia="Times New Roman" w:cs="Times New Roman"/>
          <w:lang w:eastAsia="en-CA"/>
        </w:rPr>
        <w:t xml:space="preserve"> </w:t>
      </w:r>
      <w:r w:rsidR="0022071D" w:rsidRPr="0022071D">
        <w:rPr>
          <w:rFonts w:eastAsia="Times New Roman" w:cs="Times New Roman"/>
          <w:lang w:eastAsia="en-CA"/>
        </w:rPr>
        <w:t xml:space="preserve">In 2018, the </w:t>
      </w:r>
      <w:r w:rsidRPr="0022071D">
        <w:rPr>
          <w:rFonts w:eastAsia="Times New Roman" w:cs="Times New Roman"/>
          <w:lang w:eastAsia="en-CA"/>
        </w:rPr>
        <w:t xml:space="preserve">IPPC Secretariat participated actively in the WCO e-Commerce working group that developed the WCO’s </w:t>
      </w:r>
      <w:r w:rsidRPr="0022071D">
        <w:rPr>
          <w:rFonts w:eastAsia="Times New Roman" w:cs="Times New Roman"/>
          <w:i/>
          <w:iCs/>
          <w:lang w:eastAsia="en-CA"/>
        </w:rPr>
        <w:t>Framework of Standards on cross-border e-Commerce</w:t>
      </w:r>
      <w:r w:rsidRPr="0022071D">
        <w:rPr>
          <w:rFonts w:eastAsia="Times New Roman" w:cs="Times New Roman"/>
          <w:lang w:eastAsia="en-CA"/>
        </w:rPr>
        <w:t xml:space="preserve"> and Technical Specifications, which recognizes the phytosanitary risks associated with e-Commerce and provides for close collaboration between Customs and other relevant government agencies.</w:t>
      </w:r>
      <w:r w:rsidR="0022071D" w:rsidRPr="0022071D">
        <w:rPr>
          <w:rFonts w:eastAsia="Times New Roman" w:cs="Times New Roman"/>
          <w:lang w:eastAsia="en-CA"/>
        </w:rPr>
        <w:t xml:space="preserve"> </w:t>
      </w:r>
      <w:r w:rsidR="00665160" w:rsidRPr="0022071D">
        <w:rPr>
          <w:rFonts w:eastAsia="Times New Roman" w:cs="Times New Roman"/>
          <w:lang w:eastAsia="en-CA"/>
        </w:rPr>
        <w:t>In March 2019, t</w:t>
      </w:r>
      <w:r w:rsidR="004371F5" w:rsidRPr="0022071D">
        <w:rPr>
          <w:rFonts w:eastAsia="Times New Roman" w:cs="Times New Roman"/>
          <w:lang w:eastAsia="en-CA"/>
        </w:rPr>
        <w:t xml:space="preserve">he IPPC and </w:t>
      </w:r>
      <w:r w:rsidR="002E700A" w:rsidRPr="0022071D">
        <w:rPr>
          <w:rFonts w:eastAsia="Times New Roman" w:cs="Times New Roman"/>
          <w:lang w:eastAsia="en-CA"/>
        </w:rPr>
        <w:t xml:space="preserve">World Customs Organization (WCO) </w:t>
      </w:r>
      <w:r w:rsidR="004371F5" w:rsidRPr="0022071D">
        <w:rPr>
          <w:rFonts w:eastAsia="Times New Roman" w:cs="Times New Roman"/>
          <w:lang w:eastAsia="en-CA"/>
        </w:rPr>
        <w:t>Secretariats signed a joint workplan</w:t>
      </w:r>
      <w:r w:rsidR="00D92415" w:rsidRPr="00670AE1">
        <w:rPr>
          <w:rStyle w:val="FootnoteReference"/>
          <w:rFonts w:eastAsia="Times New Roman" w:cs="Times New Roman"/>
          <w:lang w:eastAsia="en-CA"/>
        </w:rPr>
        <w:footnoteReference w:id="8"/>
      </w:r>
      <w:r w:rsidR="004371F5" w:rsidRPr="0022071D">
        <w:rPr>
          <w:rFonts w:eastAsia="Times New Roman" w:cs="Times New Roman"/>
          <w:lang w:eastAsia="en-CA"/>
        </w:rPr>
        <w:t>, which includes improved cooperation on e-Commerce.</w:t>
      </w:r>
      <w:r w:rsidR="00665160" w:rsidRPr="0022071D">
        <w:rPr>
          <w:rFonts w:eastAsia="Times New Roman" w:cs="Times New Roman"/>
          <w:lang w:eastAsia="en-CA"/>
        </w:rPr>
        <w:t xml:space="preserve"> </w:t>
      </w:r>
      <w:r w:rsidR="006170B9" w:rsidRPr="0022071D">
        <w:rPr>
          <w:rFonts w:eastAsia="Times New Roman" w:cs="Times New Roman"/>
          <w:lang w:eastAsia="en-CA"/>
        </w:rPr>
        <w:t xml:space="preserve">In September 2019, the IPPC Secretariat met with a WCO Technical Officer responsible for </w:t>
      </w:r>
      <w:r w:rsidR="0022071D">
        <w:rPr>
          <w:rFonts w:eastAsia="Times New Roman" w:cs="Times New Roman"/>
          <w:lang w:eastAsia="en-CA"/>
        </w:rPr>
        <w:t>e</w:t>
      </w:r>
      <w:r w:rsidR="006170B9" w:rsidRPr="0022071D">
        <w:rPr>
          <w:rFonts w:eastAsia="Times New Roman" w:cs="Times New Roman"/>
          <w:lang w:eastAsia="en-CA"/>
        </w:rPr>
        <w:t xml:space="preserve">-Commerce to exchange information and enhance collaboration between the IPPC Secretariat and the WCO. In February 2020 the IPPC Secretariat participated in the WCO Working group on </w:t>
      </w:r>
      <w:r w:rsidR="0022071D">
        <w:rPr>
          <w:rFonts w:eastAsia="Times New Roman" w:cs="Times New Roman"/>
          <w:lang w:eastAsia="en-CA"/>
        </w:rPr>
        <w:t>e</w:t>
      </w:r>
      <w:r w:rsidR="006170B9" w:rsidRPr="0022071D">
        <w:rPr>
          <w:rFonts w:eastAsia="Times New Roman" w:cs="Times New Roman"/>
          <w:lang w:eastAsia="en-CA"/>
        </w:rPr>
        <w:t xml:space="preserve">-Commerce. </w:t>
      </w:r>
      <w:r w:rsidR="00665160" w:rsidRPr="0022071D">
        <w:rPr>
          <w:rFonts w:eastAsia="Times New Roman" w:cs="Times New Roman"/>
          <w:lang w:eastAsia="en-CA"/>
        </w:rPr>
        <w:t xml:space="preserve">The WCO submitted a </w:t>
      </w:r>
      <w:r w:rsidR="006170B9" w:rsidRPr="0022071D">
        <w:rPr>
          <w:rFonts w:eastAsia="Times New Roman" w:cs="Times New Roman"/>
          <w:lang w:eastAsia="en-CA"/>
        </w:rPr>
        <w:t xml:space="preserve">written </w:t>
      </w:r>
      <w:r w:rsidR="00665160" w:rsidRPr="0022071D">
        <w:rPr>
          <w:rFonts w:eastAsia="Times New Roman" w:cs="Times New Roman"/>
          <w:lang w:eastAsia="en-CA"/>
        </w:rPr>
        <w:t>report for CPM-15 (2020)</w:t>
      </w:r>
      <w:r w:rsidR="006170B9" w:rsidRPr="00670AE1">
        <w:rPr>
          <w:rStyle w:val="FootnoteReference"/>
          <w:rFonts w:eastAsia="Times New Roman" w:cs="Times New Roman"/>
          <w:lang w:eastAsia="en-CA"/>
        </w:rPr>
        <w:footnoteReference w:id="9"/>
      </w:r>
      <w:r w:rsidR="00665160" w:rsidRPr="0022071D">
        <w:rPr>
          <w:rFonts w:eastAsia="Times New Roman" w:cs="Times New Roman"/>
          <w:lang w:eastAsia="en-CA"/>
        </w:rPr>
        <w:t xml:space="preserve"> describing </w:t>
      </w:r>
      <w:r w:rsidR="006170B9" w:rsidRPr="0022071D">
        <w:rPr>
          <w:rFonts w:eastAsia="Times New Roman" w:cs="Times New Roman"/>
          <w:lang w:eastAsia="en-CA"/>
        </w:rPr>
        <w:t>the collaboration between the WCO and IPPC Secretariats</w:t>
      </w:r>
      <w:r w:rsidR="00C8750B" w:rsidRPr="0022071D">
        <w:rPr>
          <w:rFonts w:eastAsia="Times New Roman" w:cs="Times New Roman"/>
          <w:lang w:eastAsia="en-CA"/>
        </w:rPr>
        <w:t xml:space="preserve"> and suggesting additional areas for collaboration</w:t>
      </w:r>
      <w:r w:rsidR="006170B9" w:rsidRPr="0022071D">
        <w:rPr>
          <w:rFonts w:eastAsia="Times New Roman" w:cs="Times New Roman"/>
          <w:lang w:eastAsia="en-CA"/>
        </w:rPr>
        <w:t xml:space="preserve">. </w:t>
      </w:r>
    </w:p>
    <w:p w14:paraId="0ADC64B2" w14:textId="773FD790" w:rsidR="004371F5" w:rsidRPr="00670AE1" w:rsidRDefault="46BADD1E" w:rsidP="002861B8">
      <w:pPr>
        <w:pStyle w:val="IPPParagraphnumbering"/>
        <w:rPr>
          <w:rFonts w:eastAsia="Times New Roman" w:cs="Times New Roman"/>
          <w:lang w:eastAsia="en-CA"/>
        </w:rPr>
      </w:pPr>
      <w:r w:rsidRPr="0022071D">
        <w:rPr>
          <w:rFonts w:eastAsia="Times New Roman" w:cs="Times New Roman"/>
          <w:b/>
          <w:lang w:eastAsia="en-CA"/>
        </w:rPr>
        <w:t>Existing phytosanitary technical resources are shared with the IPPC community:</w:t>
      </w:r>
      <w:r w:rsidRPr="00670AE1">
        <w:rPr>
          <w:rFonts w:eastAsia="Times New Roman" w:cs="Times New Roman"/>
          <w:lang w:eastAsia="en-CA"/>
        </w:rPr>
        <w:t xml:space="preserve"> </w:t>
      </w:r>
      <w:r w:rsidRPr="00670AE1">
        <w:rPr>
          <w:rFonts w:cs="Times New Roman"/>
        </w:rPr>
        <w:t xml:space="preserve">A dedicated webpage </w:t>
      </w:r>
      <w:r w:rsidR="003D4130">
        <w:rPr>
          <w:rFonts w:cs="Times New Roman"/>
        </w:rPr>
        <w:t xml:space="preserve">on </w:t>
      </w:r>
      <w:r w:rsidR="003D4130" w:rsidRPr="00670AE1">
        <w:rPr>
          <w:rFonts w:eastAsia="Times New Roman" w:cs="Times New Roman"/>
          <w:lang w:eastAsia="en-CA"/>
        </w:rPr>
        <w:t>e-Commerce</w:t>
      </w:r>
      <w:r w:rsidR="003D4130">
        <w:rPr>
          <w:rStyle w:val="FootnoteReference"/>
          <w:rFonts w:cs="Times New Roman"/>
        </w:rPr>
        <w:footnoteReference w:id="10"/>
      </w:r>
      <w:r w:rsidR="003D4130" w:rsidRPr="00670AE1">
        <w:rPr>
          <w:rFonts w:eastAsia="Times New Roman" w:cs="Times New Roman"/>
          <w:lang w:eastAsia="en-CA"/>
        </w:rPr>
        <w:t xml:space="preserve"> was launched on the International Phytosanitary Portal (IPP) in February 2020</w:t>
      </w:r>
      <w:r w:rsidR="003D4130">
        <w:rPr>
          <w:rFonts w:eastAsia="Times New Roman" w:cs="Times New Roman"/>
          <w:lang w:eastAsia="en-CA"/>
        </w:rPr>
        <w:t xml:space="preserve"> </w:t>
      </w:r>
      <w:r w:rsidRPr="00670AE1">
        <w:rPr>
          <w:rFonts w:cs="Times New Roman"/>
        </w:rPr>
        <w:t xml:space="preserve">to present </w:t>
      </w:r>
      <w:r w:rsidR="003D4130">
        <w:rPr>
          <w:rFonts w:cs="Times New Roman"/>
        </w:rPr>
        <w:t xml:space="preserve">relevant </w:t>
      </w:r>
      <w:r w:rsidRPr="00670AE1">
        <w:rPr>
          <w:rFonts w:cs="Times New Roman"/>
        </w:rPr>
        <w:t>information and resources</w:t>
      </w:r>
      <w:r w:rsidR="003D4130">
        <w:rPr>
          <w:rFonts w:cs="Times New Roman"/>
        </w:rPr>
        <w:t>.</w:t>
      </w:r>
      <w:hyperlink w:history="1"/>
      <w:r w:rsidRPr="00670AE1">
        <w:rPr>
          <w:rFonts w:eastAsia="Times New Roman" w:cs="Times New Roman"/>
          <w:lang w:eastAsia="en-CA"/>
        </w:rPr>
        <w:t>. A call for the submission of phytosanitary technical resources relevant to e-Commerce was issued in 2020. Submitted resources will be reviewed by the IC and posted to the IPP, as per the established process</w:t>
      </w:r>
      <w:r w:rsidR="00C10E71">
        <w:rPr>
          <w:rFonts w:eastAsia="Times New Roman" w:cs="Times New Roman"/>
          <w:lang w:eastAsia="en-CA"/>
        </w:rPr>
        <w:t xml:space="preserve"> for contributed resources</w:t>
      </w:r>
      <w:r w:rsidRPr="00670AE1">
        <w:rPr>
          <w:rFonts w:eastAsia="Times New Roman" w:cs="Times New Roman"/>
          <w:lang w:eastAsia="en-CA"/>
        </w:rPr>
        <w:t>.</w:t>
      </w:r>
    </w:p>
    <w:p w14:paraId="440FB9FC" w14:textId="77777777" w:rsidR="004371F5" w:rsidRPr="00670AE1" w:rsidRDefault="46BADD1E" w:rsidP="002861B8">
      <w:pPr>
        <w:pStyle w:val="IPPParagraphnumbering"/>
        <w:rPr>
          <w:rFonts w:cs="Times New Roman"/>
        </w:rPr>
      </w:pPr>
      <w:r w:rsidRPr="0022071D">
        <w:rPr>
          <w:rFonts w:cs="Times New Roman"/>
          <w:b/>
        </w:rPr>
        <w:t>IPPC e-Commerce Guide for plants, plant products and other regulated articles (2017-039):</w:t>
      </w:r>
      <w:r w:rsidRPr="00670AE1">
        <w:rPr>
          <w:rFonts w:cs="Times New Roman"/>
        </w:rPr>
        <w:t xml:space="preserve"> The purpose of this Guide is to provide guidance to reduce the pest risks associated with cross-border e-Commerce and to increase awareness among IPPC contracting parties, e-Commerce stakeholders (particularly postal operators, express carriers, customs administrations, freight forwarders, etc.) and different international organizations about the potential pest risks associated with e-Commerce of plants, plant products and other regulated articles. The Outline of the Guide was distributed for NPPO and RPPO consultation in 2020. A working group (WG) will be established and tasked with developing the guide. </w:t>
      </w:r>
    </w:p>
    <w:p w14:paraId="2A5ED0AA" w14:textId="62C030C7" w:rsidR="008C291B" w:rsidRPr="00832C7E" w:rsidRDefault="00832C7E" w:rsidP="002861B8">
      <w:pPr>
        <w:pStyle w:val="IPPParagraphnumbering"/>
        <w:numPr>
          <w:ilvl w:val="0"/>
          <w:numId w:val="0"/>
        </w:numPr>
        <w:rPr>
          <w:rFonts w:eastAsia="Calibri" w:cs="Times New Roman"/>
          <w:b/>
        </w:rPr>
      </w:pPr>
      <w:r w:rsidRPr="00832C7E">
        <w:rPr>
          <w:rFonts w:cs="Times New Roman"/>
          <w:b/>
        </w:rPr>
        <w:t>6.</w:t>
      </w:r>
      <w:r w:rsidRPr="00832C7E">
        <w:rPr>
          <w:rFonts w:cs="Times New Roman"/>
          <w:b/>
        </w:rPr>
        <w:tab/>
      </w:r>
      <w:r w:rsidR="00CD3075" w:rsidRPr="00832C7E">
        <w:rPr>
          <w:rFonts w:cs="Times New Roman"/>
          <w:b/>
        </w:rPr>
        <w:t>Possible</w:t>
      </w:r>
      <w:r w:rsidR="008C291B" w:rsidRPr="00832C7E">
        <w:rPr>
          <w:rFonts w:cs="Times New Roman"/>
          <w:b/>
        </w:rPr>
        <w:t xml:space="preserve"> </w:t>
      </w:r>
      <w:r w:rsidR="00CD3075" w:rsidRPr="00832C7E">
        <w:rPr>
          <w:rFonts w:cs="Times New Roman"/>
          <w:b/>
        </w:rPr>
        <w:t xml:space="preserve">future </w:t>
      </w:r>
      <w:r w:rsidR="008C291B" w:rsidRPr="00832C7E">
        <w:rPr>
          <w:rFonts w:cs="Times New Roman"/>
          <w:b/>
        </w:rPr>
        <w:t xml:space="preserve">activities </w:t>
      </w:r>
    </w:p>
    <w:p w14:paraId="0B1F172F" w14:textId="2E51AB9F" w:rsidR="003A7439" w:rsidRPr="00670AE1" w:rsidRDefault="46BADD1E" w:rsidP="00801DBA">
      <w:pPr>
        <w:pStyle w:val="IPPParagraphnumbering"/>
        <w:rPr>
          <w:rFonts w:eastAsia="Times New Roman" w:cs="Times New Roman"/>
          <w:lang w:eastAsia="en-CA"/>
        </w:rPr>
      </w:pPr>
      <w:r w:rsidRPr="0022071D">
        <w:rPr>
          <w:rFonts w:eastAsia="Times New Roman" w:cs="Times New Roman"/>
          <w:b/>
          <w:lang w:eastAsia="en-CA"/>
        </w:rPr>
        <w:t>Increased collaboration with WCO:</w:t>
      </w:r>
      <w:r w:rsidRPr="00670AE1">
        <w:rPr>
          <w:rFonts w:eastAsia="Times New Roman" w:cs="Times New Roman"/>
          <w:lang w:eastAsia="en-CA"/>
        </w:rPr>
        <w:t xml:space="preserve"> In addition to participating in the WCO permanent technical committee (PTC) meetings, the IPPC Secretariat could explore the options for a joint IPPC-WCO guidance or policy paper on </w:t>
      </w:r>
      <w:r w:rsidR="00D94F62">
        <w:rPr>
          <w:rFonts w:eastAsia="Times New Roman" w:cs="Times New Roman"/>
          <w:lang w:eastAsia="en-CA"/>
        </w:rPr>
        <w:t>e</w:t>
      </w:r>
      <w:r w:rsidRPr="00670AE1">
        <w:rPr>
          <w:rFonts w:eastAsia="Times New Roman" w:cs="Times New Roman"/>
          <w:lang w:eastAsia="en-CA"/>
        </w:rPr>
        <w:t xml:space="preserve">-Commerce or collaboration related to awareness raising and capacity building about the phytosanitary risks associated with e-Commerce. </w:t>
      </w:r>
    </w:p>
    <w:p w14:paraId="092A4F7E" w14:textId="673DB44F" w:rsidR="00D94F62" w:rsidRPr="00D94F62" w:rsidRDefault="00D94F62" w:rsidP="00D94F62">
      <w:pPr>
        <w:pStyle w:val="IPPParagraphnumbering"/>
        <w:rPr>
          <w:rFonts w:cs="Times New Roman"/>
        </w:rPr>
      </w:pPr>
      <w:r w:rsidRPr="00D94F62">
        <w:rPr>
          <w:rFonts w:eastAsia="Times New Roman" w:cs="Times New Roman"/>
          <w:b/>
          <w:lang w:eastAsia="en-CA"/>
        </w:rPr>
        <w:t>Increased collaboration with WTO:</w:t>
      </w:r>
      <w:r w:rsidRPr="00D94F62">
        <w:rPr>
          <w:rFonts w:eastAsia="Times New Roman" w:cs="Times New Roman"/>
          <w:lang w:eastAsia="en-CA"/>
        </w:rPr>
        <w:t xml:space="preserve"> </w:t>
      </w:r>
      <w:r w:rsidRPr="00D94F62">
        <w:rPr>
          <w:rFonts w:cs="Times New Roman"/>
        </w:rPr>
        <w:t xml:space="preserve">e-Commerce discussions at the WTO are primarily being carried out under a multilateral Work Programme on e-commerce. A group of </w:t>
      </w:r>
      <w:r w:rsidR="00C10E71">
        <w:rPr>
          <w:rFonts w:cs="Times New Roman"/>
        </w:rPr>
        <w:t xml:space="preserve">WTO </w:t>
      </w:r>
      <w:r w:rsidRPr="00D94F62">
        <w:rPr>
          <w:rFonts w:cs="Times New Roman"/>
        </w:rPr>
        <w:t xml:space="preserve">members has also been discussing potential rules on e-commerce under a Joint Statement Initiative since 2017. The IPPC Secretariat could investigate the possibility of delivering a side session to </w:t>
      </w:r>
      <w:r w:rsidR="00C10E71">
        <w:rPr>
          <w:rFonts w:cs="Times New Roman"/>
        </w:rPr>
        <w:t xml:space="preserve">WTO countries who are part </w:t>
      </w:r>
      <w:r w:rsidRPr="00D94F62">
        <w:rPr>
          <w:rFonts w:cs="Times New Roman"/>
        </w:rPr>
        <w:t xml:space="preserve">of this Initiative, </w:t>
      </w:r>
      <w:r w:rsidR="00C10E71">
        <w:rPr>
          <w:rFonts w:cs="Times New Roman"/>
        </w:rPr>
        <w:t xml:space="preserve">and could explore doing this </w:t>
      </w:r>
      <w:r w:rsidRPr="00D94F62">
        <w:rPr>
          <w:rFonts w:cs="Times New Roman"/>
        </w:rPr>
        <w:t>in collaboration with Codex and OIE, in order to raise awareness about plant, animal and human health in the context of e-Commerce trade.</w:t>
      </w:r>
    </w:p>
    <w:p w14:paraId="1A24501F" w14:textId="6EFD7DDD" w:rsidR="00A07178" w:rsidRPr="00C10E71" w:rsidRDefault="46BADD1E" w:rsidP="00C10E71">
      <w:pPr>
        <w:pStyle w:val="IPPParagraphnumbering"/>
        <w:rPr>
          <w:rFonts w:cs="Times New Roman"/>
        </w:rPr>
      </w:pPr>
      <w:r w:rsidRPr="00C10E71">
        <w:rPr>
          <w:rFonts w:cs="Times New Roman"/>
          <w:b/>
        </w:rPr>
        <w:t xml:space="preserve">Increased collaboration with </w:t>
      </w:r>
      <w:r w:rsidR="00C10E71" w:rsidRPr="00C10E71">
        <w:rPr>
          <w:rFonts w:cs="Times New Roman"/>
          <w:b/>
        </w:rPr>
        <w:t xml:space="preserve">Universal Postal Union </w:t>
      </w:r>
      <w:r w:rsidR="00C10E71">
        <w:rPr>
          <w:rFonts w:cs="Times New Roman"/>
          <w:b/>
        </w:rPr>
        <w:t>(</w:t>
      </w:r>
      <w:r w:rsidRPr="00C10E71">
        <w:rPr>
          <w:rFonts w:cs="Times New Roman"/>
          <w:b/>
        </w:rPr>
        <w:t>UPU</w:t>
      </w:r>
      <w:r w:rsidR="00C10E71">
        <w:rPr>
          <w:rFonts w:cs="Times New Roman"/>
          <w:b/>
        </w:rPr>
        <w:t>)</w:t>
      </w:r>
      <w:r w:rsidRPr="00C10E71">
        <w:rPr>
          <w:rFonts w:cs="Times New Roman"/>
          <w:b/>
        </w:rPr>
        <w:t xml:space="preserve"> and other key international organizations:</w:t>
      </w:r>
      <w:r w:rsidRPr="00C10E71">
        <w:rPr>
          <w:rFonts w:cs="Times New Roman"/>
        </w:rPr>
        <w:t xml:space="preserve"> The IPPC Secretariat could explore opportunities for increased collaboration with UPU and other international organizations. This might include the development of a joint inter-agency toolkit that supports a multidisciplinary and integrated approach across NPPOs, Customs and other relevant government agencies to facilitate safe trade via e-Commerce transactions.</w:t>
      </w:r>
    </w:p>
    <w:p w14:paraId="7E227ADE" w14:textId="77777777" w:rsidR="00A07178" w:rsidRPr="00670AE1" w:rsidRDefault="46BADD1E" w:rsidP="002861B8">
      <w:pPr>
        <w:pStyle w:val="IPPParagraphnumbering"/>
        <w:rPr>
          <w:rFonts w:cs="Times New Roman"/>
        </w:rPr>
      </w:pPr>
      <w:r w:rsidRPr="0022071D">
        <w:rPr>
          <w:rFonts w:cs="Times New Roman"/>
          <w:b/>
        </w:rPr>
        <w:t>Communication and Advocacy:</w:t>
      </w:r>
      <w:r w:rsidRPr="00670AE1">
        <w:rPr>
          <w:rFonts w:cs="Times New Roman"/>
        </w:rPr>
        <w:t xml:space="preserve"> Development of other information material, e.g. videos, info-graphics, e-learnings, news items and brochures or factsheets could be used to raise awareness about the phytosanitary risk associated with e-Commerce and inform contracting parties of relevant IPPC activities, and provide easy-to-understand resources in multiple languages. </w:t>
      </w:r>
    </w:p>
    <w:p w14:paraId="0BD08D0A" w14:textId="453B246C" w:rsidR="00255399" w:rsidRPr="00670AE1" w:rsidRDefault="46BADD1E" w:rsidP="002861B8">
      <w:pPr>
        <w:pStyle w:val="IPPParagraphnumbering"/>
        <w:rPr>
          <w:rFonts w:cs="Times New Roman"/>
        </w:rPr>
      </w:pPr>
      <w:r w:rsidRPr="0022071D">
        <w:rPr>
          <w:rFonts w:cs="Times New Roman"/>
          <w:b/>
        </w:rPr>
        <w:t>Monitoring and evaluation (short and medium-term studies):</w:t>
      </w:r>
      <w:r w:rsidRPr="00670AE1">
        <w:rPr>
          <w:rFonts w:cs="Times New Roman"/>
        </w:rPr>
        <w:t xml:space="preserve"> A proposal for a short-term desk study to evaluate whether the potential phytosanitary risks associated with e-Commerce have changed since the 2012 IRSS study could be submitted to the </w:t>
      </w:r>
      <w:r w:rsidR="00C10E71">
        <w:rPr>
          <w:rFonts w:cs="Times New Roman"/>
        </w:rPr>
        <w:t>IC S</w:t>
      </w:r>
      <w:r w:rsidRPr="00670AE1">
        <w:rPr>
          <w:rFonts w:cs="Times New Roman"/>
        </w:rPr>
        <w:t>ub-group</w:t>
      </w:r>
      <w:r w:rsidR="00C10E71">
        <w:rPr>
          <w:rFonts w:cs="Times New Roman"/>
        </w:rPr>
        <w:t xml:space="preserve"> on </w:t>
      </w:r>
      <w:r w:rsidR="00C10E71" w:rsidRPr="00670AE1">
        <w:rPr>
          <w:rFonts w:cs="Times New Roman"/>
        </w:rPr>
        <w:t>IRSS</w:t>
      </w:r>
      <w:r w:rsidRPr="00670AE1">
        <w:rPr>
          <w:rFonts w:cs="Times New Roman"/>
        </w:rPr>
        <w:t xml:space="preserve">. Such a study would provide baseline data that can be used to evaluate the e-Commerce programme at later stages. A medium-term evaluation could also be proposed, in order to assess the availability, accessibility and use of the Guide and other e-Commerce resources once they are available on the IPP and to identify gaps and any additional supplemental materials needed. It could also assess the extent that each component / output of the e-Commerce programme contributes to promote information and knowledge sharing, support capacity development and raise awareness among NPPO, other border agencies and e-Commerce vendors, consumers and other stakeholders. </w:t>
      </w:r>
    </w:p>
    <w:p w14:paraId="5ABF6BCF" w14:textId="2E021F86" w:rsidR="00255399" w:rsidRPr="00670AE1" w:rsidRDefault="46BADD1E" w:rsidP="002C7483">
      <w:pPr>
        <w:pStyle w:val="IPPParagraphnumbering"/>
        <w:rPr>
          <w:rFonts w:cs="Times New Roman"/>
        </w:rPr>
      </w:pPr>
      <w:r w:rsidRPr="0022071D">
        <w:rPr>
          <w:rFonts w:cs="Times New Roman"/>
          <w:b/>
        </w:rPr>
        <w:t>Monitoring and evaluation (long-term study):</w:t>
      </w:r>
      <w:r w:rsidRPr="00670AE1">
        <w:rPr>
          <w:rFonts w:cs="Times New Roman"/>
        </w:rPr>
        <w:t xml:space="preserve"> </w:t>
      </w:r>
      <w:r w:rsidR="002C7483" w:rsidRPr="00670AE1">
        <w:rPr>
          <w:rFonts w:cs="Times New Roman"/>
        </w:rPr>
        <w:t xml:space="preserve">A long-term desk study would evaluate whether the Desired 2030 Outcome as identified in the SF has been achieved by 2030. </w:t>
      </w:r>
    </w:p>
    <w:p w14:paraId="21E0A691" w14:textId="6027C1A3" w:rsidR="008C291B" w:rsidRPr="00832C7E" w:rsidRDefault="00832C7E" w:rsidP="002861B8">
      <w:pPr>
        <w:pStyle w:val="IPPParagraphnumbering"/>
        <w:numPr>
          <w:ilvl w:val="0"/>
          <w:numId w:val="0"/>
        </w:numPr>
        <w:rPr>
          <w:rFonts w:cs="Times New Roman"/>
          <w:b/>
        </w:rPr>
      </w:pPr>
      <w:r>
        <w:rPr>
          <w:rFonts w:cs="Times New Roman"/>
          <w:b/>
        </w:rPr>
        <w:t>7.</w:t>
      </w:r>
      <w:r>
        <w:rPr>
          <w:rFonts w:cs="Times New Roman"/>
          <w:b/>
        </w:rPr>
        <w:tab/>
      </w:r>
      <w:bookmarkStart w:id="1" w:name="_GoBack"/>
      <w:bookmarkEnd w:id="1"/>
      <w:r w:rsidR="008C291B" w:rsidRPr="00832C7E">
        <w:rPr>
          <w:rFonts w:cs="Times New Roman"/>
          <w:b/>
        </w:rPr>
        <w:t>Budget considerations</w:t>
      </w:r>
    </w:p>
    <w:p w14:paraId="4262D361" w14:textId="2C08738A" w:rsidR="00D92415" w:rsidRPr="00670AE1" w:rsidRDefault="008C291B" w:rsidP="00670AE1">
      <w:pPr>
        <w:pStyle w:val="IPPParagraphnumbering"/>
        <w:spacing w:line="257" w:lineRule="auto"/>
        <w:ind w:hanging="475"/>
        <w:rPr>
          <w:rFonts w:cs="Times New Roman"/>
        </w:rPr>
      </w:pPr>
      <w:r w:rsidRPr="00670AE1">
        <w:rPr>
          <w:rFonts w:cs="Times New Roman"/>
        </w:rPr>
        <w:t>IPPC</w:t>
      </w:r>
      <w:r w:rsidR="46BADD1E" w:rsidRPr="00670AE1">
        <w:rPr>
          <w:rFonts w:cs="Times New Roman"/>
        </w:rPr>
        <w:t xml:space="preserve"> Secretariat’s budget for</w:t>
      </w:r>
      <w:r w:rsidRPr="00670AE1">
        <w:rPr>
          <w:rFonts w:cs="Times New Roman"/>
        </w:rPr>
        <w:t xml:space="preserve"> </w:t>
      </w:r>
      <w:r w:rsidR="46BADD1E" w:rsidRPr="00670AE1">
        <w:rPr>
          <w:rFonts w:cs="Times New Roman"/>
        </w:rPr>
        <w:t xml:space="preserve">the </w:t>
      </w:r>
      <w:r w:rsidR="00AE2FBA" w:rsidRPr="00670AE1">
        <w:rPr>
          <w:rFonts w:cs="Times New Roman"/>
        </w:rPr>
        <w:t xml:space="preserve">e-Commerce </w:t>
      </w:r>
      <w:r w:rsidR="46BADD1E" w:rsidRPr="00670AE1">
        <w:rPr>
          <w:rFonts w:cs="Times New Roman"/>
        </w:rPr>
        <w:t xml:space="preserve">programme (Table A) </w:t>
      </w:r>
      <w:r w:rsidR="00AE2FBA" w:rsidRPr="00670AE1">
        <w:rPr>
          <w:rFonts w:cs="Times New Roman"/>
        </w:rPr>
        <w:t>:</w:t>
      </w:r>
      <w:r w:rsidR="008706A9" w:rsidRPr="00670AE1">
        <w:rPr>
          <w:rFonts w:cs="Times New Roman"/>
        </w:rPr>
        <w:t xml:space="preserve"> </w:t>
      </w:r>
      <w:r w:rsidR="00AE2FBA" w:rsidRPr="00670AE1">
        <w:rPr>
          <w:rFonts w:cs="Times New Roman"/>
        </w:rPr>
        <w:t>CPM-14 (2019) endorsed the following e-Commerce budget.</w:t>
      </w:r>
      <w:r w:rsidR="00AE2FBA" w:rsidRPr="00670AE1">
        <w:rPr>
          <w:rFonts w:cs="Times New Roman"/>
          <w:vertAlign w:val="superscript"/>
        </w:rPr>
        <w:footnoteReference w:id="11"/>
      </w:r>
      <w:r w:rsidR="00AE2FBA" w:rsidRPr="00670AE1">
        <w:rPr>
          <w:rFonts w:cs="Times New Roman"/>
        </w:rPr>
        <w:t xml:space="preserve"> </w:t>
      </w:r>
      <w:r w:rsidR="008706A9" w:rsidRPr="00670AE1">
        <w:rPr>
          <w:rFonts w:cs="Times New Roman"/>
        </w:rPr>
        <w:t>The</w:t>
      </w:r>
      <w:r w:rsidRPr="00670AE1">
        <w:rPr>
          <w:rFonts w:cs="Times New Roman"/>
        </w:rPr>
        <w:t xml:space="preserve"> </w:t>
      </w:r>
      <w:r w:rsidR="00AE2FBA" w:rsidRPr="00670AE1">
        <w:rPr>
          <w:rFonts w:cs="Times New Roman"/>
        </w:rPr>
        <w:t>budget</w:t>
      </w:r>
      <w:r w:rsidRPr="00670AE1">
        <w:rPr>
          <w:rFonts w:cs="Times New Roman"/>
        </w:rPr>
        <w:t xml:space="preserve"> discusses only the first 5 year</w:t>
      </w:r>
      <w:r w:rsidR="00A07178" w:rsidRPr="00670AE1">
        <w:rPr>
          <w:rFonts w:cs="Times New Roman"/>
        </w:rPr>
        <w:t>s</w:t>
      </w:r>
      <w:r w:rsidRPr="00670AE1">
        <w:rPr>
          <w:rFonts w:cs="Times New Roman"/>
        </w:rPr>
        <w:t xml:space="preserve"> of the 10 year lifespan of the Strategic Framework and should be re-visited once a detailed set of </w:t>
      </w:r>
      <w:r w:rsidR="00AE2FBA" w:rsidRPr="00670AE1">
        <w:rPr>
          <w:rFonts w:cs="Times New Roman"/>
        </w:rPr>
        <w:t xml:space="preserve">e-Commerce </w:t>
      </w:r>
      <w:r w:rsidRPr="00670AE1">
        <w:rPr>
          <w:rFonts w:cs="Times New Roman"/>
        </w:rPr>
        <w:t xml:space="preserve">activities are agreed. </w:t>
      </w:r>
    </w:p>
    <w:tbl>
      <w:tblPr>
        <w:tblStyle w:val="TableGrid2"/>
        <w:tblW w:w="9082" w:type="dxa"/>
        <w:tblLook w:val="04A0" w:firstRow="1" w:lastRow="0" w:firstColumn="1" w:lastColumn="0" w:noHBand="0" w:noVBand="1"/>
      </w:tblPr>
      <w:tblGrid>
        <w:gridCol w:w="3257"/>
        <w:gridCol w:w="1115"/>
        <w:gridCol w:w="1116"/>
        <w:gridCol w:w="1115"/>
        <w:gridCol w:w="1115"/>
        <w:gridCol w:w="1364"/>
      </w:tblGrid>
      <w:tr w:rsidR="002861B8" w:rsidRPr="00832C7E" w14:paraId="07A04C9B" w14:textId="77777777" w:rsidTr="46BADD1E">
        <w:trPr>
          <w:trHeight w:val="283"/>
          <w:tblHeader/>
        </w:trPr>
        <w:tc>
          <w:tcPr>
            <w:tcW w:w="9082" w:type="dxa"/>
            <w:gridSpan w:val="6"/>
            <w:shd w:val="clear" w:color="auto" w:fill="D9D9D9" w:themeFill="background1" w:themeFillShade="D9"/>
          </w:tcPr>
          <w:p w14:paraId="64540DBF" w14:textId="77777777" w:rsidR="002861B8" w:rsidRPr="00832C7E" w:rsidRDefault="46BADD1E" w:rsidP="00F71A63">
            <w:pPr>
              <w:pStyle w:val="IPPParagraphnumbering"/>
              <w:rPr>
                <w:rFonts w:ascii="Arial" w:eastAsia="Calibri" w:hAnsi="Arial" w:cs="Arial"/>
                <w:sz w:val="18"/>
                <w:szCs w:val="18"/>
              </w:rPr>
            </w:pPr>
            <w:r w:rsidRPr="00832C7E">
              <w:rPr>
                <w:rFonts w:ascii="Arial" w:eastAsia="MS Mincho" w:hAnsi="Arial" w:cs="Arial"/>
                <w:sz w:val="18"/>
                <w:szCs w:val="18"/>
              </w:rPr>
              <w:t xml:space="preserve">Table A: </w:t>
            </w:r>
            <w:r w:rsidRPr="00832C7E">
              <w:rPr>
                <w:rFonts w:ascii="Arial" w:eastAsia="Calibri" w:hAnsi="Arial" w:cs="Arial"/>
                <w:sz w:val="18"/>
                <w:szCs w:val="18"/>
              </w:rPr>
              <w:t xml:space="preserve">Expenditures for the </w:t>
            </w:r>
            <w:r w:rsidRPr="00832C7E">
              <w:rPr>
                <w:rFonts w:ascii="Arial" w:eastAsia="MS Mincho" w:hAnsi="Arial" w:cs="Arial"/>
                <w:sz w:val="18"/>
                <w:szCs w:val="18"/>
              </w:rPr>
              <w:t>e-Commerce programme over the next five years (endorsed by CPM-14 (2019))</w:t>
            </w:r>
          </w:p>
        </w:tc>
      </w:tr>
      <w:tr w:rsidR="00D85B12" w:rsidRPr="00832C7E" w14:paraId="4A47CE1B" w14:textId="77777777" w:rsidTr="46BADD1E">
        <w:trPr>
          <w:trHeight w:val="283"/>
          <w:tblHeader/>
        </w:trPr>
        <w:tc>
          <w:tcPr>
            <w:tcW w:w="3257" w:type="dxa"/>
            <w:vMerge w:val="restart"/>
            <w:shd w:val="clear" w:color="auto" w:fill="D9D9D9" w:themeFill="background1" w:themeFillShade="D9"/>
          </w:tcPr>
          <w:p w14:paraId="2BA77F39" w14:textId="77777777" w:rsidR="00D85B12" w:rsidRPr="00832C7E" w:rsidRDefault="46BADD1E" w:rsidP="002861B8">
            <w:pPr>
              <w:pStyle w:val="IPPParagraphnumbering"/>
              <w:rPr>
                <w:rFonts w:ascii="Arial" w:eastAsia="Calibri" w:hAnsi="Arial" w:cs="Arial"/>
                <w:sz w:val="18"/>
                <w:szCs w:val="18"/>
              </w:rPr>
            </w:pPr>
            <w:r w:rsidRPr="00832C7E">
              <w:rPr>
                <w:rFonts w:ascii="Arial" w:eastAsia="Calibri" w:hAnsi="Arial" w:cs="Arial"/>
                <w:sz w:val="18"/>
                <w:szCs w:val="18"/>
              </w:rPr>
              <w:t>Item</w:t>
            </w:r>
          </w:p>
        </w:tc>
        <w:tc>
          <w:tcPr>
            <w:tcW w:w="5825" w:type="dxa"/>
            <w:gridSpan w:val="5"/>
            <w:shd w:val="clear" w:color="auto" w:fill="D9D9D9" w:themeFill="background1" w:themeFillShade="D9"/>
          </w:tcPr>
          <w:p w14:paraId="53C867ED" w14:textId="77777777" w:rsidR="00D85B12" w:rsidRPr="00832C7E" w:rsidRDefault="46BADD1E" w:rsidP="002861B8">
            <w:pPr>
              <w:pStyle w:val="IPPParagraphnumbering"/>
              <w:rPr>
                <w:rFonts w:ascii="Arial" w:eastAsia="Calibri" w:hAnsi="Arial" w:cs="Arial"/>
                <w:sz w:val="18"/>
                <w:szCs w:val="18"/>
              </w:rPr>
            </w:pPr>
            <w:r w:rsidRPr="00832C7E">
              <w:rPr>
                <w:rFonts w:ascii="Arial" w:eastAsia="Calibri" w:hAnsi="Arial" w:cs="Arial"/>
                <w:sz w:val="18"/>
                <w:szCs w:val="18"/>
              </w:rPr>
              <w:t>Proposed Expenditure (USD)</w:t>
            </w:r>
          </w:p>
        </w:tc>
      </w:tr>
      <w:tr w:rsidR="00D85B12" w:rsidRPr="00832C7E" w14:paraId="3F5BA4FE" w14:textId="77777777" w:rsidTr="46BADD1E">
        <w:trPr>
          <w:trHeight w:val="325"/>
          <w:tblHeader/>
        </w:trPr>
        <w:tc>
          <w:tcPr>
            <w:tcW w:w="3257" w:type="dxa"/>
            <w:vMerge/>
          </w:tcPr>
          <w:p w14:paraId="3FBAC7F0" w14:textId="77777777" w:rsidR="00D85B12" w:rsidRPr="00832C7E" w:rsidRDefault="00D85B12" w:rsidP="002861B8">
            <w:pPr>
              <w:pStyle w:val="IPPParagraphnumbering"/>
              <w:rPr>
                <w:rFonts w:ascii="Arial" w:eastAsia="Calibri" w:hAnsi="Arial" w:cs="Arial"/>
                <w:sz w:val="18"/>
                <w:szCs w:val="18"/>
              </w:rPr>
            </w:pPr>
          </w:p>
        </w:tc>
        <w:tc>
          <w:tcPr>
            <w:tcW w:w="1115" w:type="dxa"/>
            <w:shd w:val="clear" w:color="auto" w:fill="F2F2F2" w:themeFill="background1" w:themeFillShade="F2"/>
          </w:tcPr>
          <w:p w14:paraId="7B950BC4" w14:textId="77777777" w:rsidR="00D85B12" w:rsidRPr="00832C7E" w:rsidRDefault="46BADD1E" w:rsidP="002861B8">
            <w:pPr>
              <w:pStyle w:val="IPPParagraphnumbering"/>
              <w:rPr>
                <w:rFonts w:ascii="Arial" w:eastAsia="Calibri" w:hAnsi="Arial" w:cs="Arial"/>
                <w:sz w:val="18"/>
                <w:szCs w:val="18"/>
              </w:rPr>
            </w:pPr>
            <w:r w:rsidRPr="00832C7E">
              <w:rPr>
                <w:rFonts w:ascii="Arial" w:eastAsia="Calibri" w:hAnsi="Arial" w:cs="Arial"/>
                <w:sz w:val="18"/>
                <w:szCs w:val="18"/>
              </w:rPr>
              <w:t>Year 1</w:t>
            </w:r>
          </w:p>
        </w:tc>
        <w:tc>
          <w:tcPr>
            <w:tcW w:w="1116" w:type="dxa"/>
            <w:shd w:val="clear" w:color="auto" w:fill="F2F2F2" w:themeFill="background1" w:themeFillShade="F2"/>
          </w:tcPr>
          <w:p w14:paraId="1FF14648" w14:textId="77777777" w:rsidR="00D85B12" w:rsidRPr="00832C7E" w:rsidRDefault="46BADD1E" w:rsidP="002861B8">
            <w:pPr>
              <w:pStyle w:val="IPPParagraphnumbering"/>
              <w:rPr>
                <w:rFonts w:ascii="Arial" w:eastAsia="Calibri" w:hAnsi="Arial" w:cs="Arial"/>
                <w:sz w:val="18"/>
                <w:szCs w:val="18"/>
              </w:rPr>
            </w:pPr>
            <w:r w:rsidRPr="00832C7E">
              <w:rPr>
                <w:rFonts w:ascii="Arial" w:eastAsia="Calibri" w:hAnsi="Arial" w:cs="Arial"/>
                <w:sz w:val="18"/>
                <w:szCs w:val="18"/>
              </w:rPr>
              <w:t>Year 2</w:t>
            </w:r>
          </w:p>
        </w:tc>
        <w:tc>
          <w:tcPr>
            <w:tcW w:w="1115" w:type="dxa"/>
            <w:shd w:val="clear" w:color="auto" w:fill="F2F2F2" w:themeFill="background1" w:themeFillShade="F2"/>
          </w:tcPr>
          <w:p w14:paraId="0621F72D" w14:textId="77777777" w:rsidR="00D85B12" w:rsidRPr="00832C7E" w:rsidRDefault="46BADD1E" w:rsidP="002861B8">
            <w:pPr>
              <w:pStyle w:val="IPPParagraphnumbering"/>
              <w:rPr>
                <w:rFonts w:ascii="Arial" w:eastAsia="Calibri" w:hAnsi="Arial" w:cs="Arial"/>
                <w:sz w:val="18"/>
                <w:szCs w:val="18"/>
              </w:rPr>
            </w:pPr>
            <w:r w:rsidRPr="00832C7E">
              <w:rPr>
                <w:rFonts w:ascii="Arial" w:eastAsia="Calibri" w:hAnsi="Arial" w:cs="Arial"/>
                <w:sz w:val="18"/>
                <w:szCs w:val="18"/>
              </w:rPr>
              <w:t>Year 3</w:t>
            </w:r>
          </w:p>
        </w:tc>
        <w:tc>
          <w:tcPr>
            <w:tcW w:w="1115" w:type="dxa"/>
            <w:shd w:val="clear" w:color="auto" w:fill="F2F2F2" w:themeFill="background1" w:themeFillShade="F2"/>
          </w:tcPr>
          <w:p w14:paraId="6014239B" w14:textId="77777777" w:rsidR="00D85B12" w:rsidRPr="00832C7E" w:rsidRDefault="46BADD1E" w:rsidP="002861B8">
            <w:pPr>
              <w:pStyle w:val="IPPParagraphnumbering"/>
              <w:rPr>
                <w:rFonts w:ascii="Arial" w:eastAsia="Calibri" w:hAnsi="Arial" w:cs="Arial"/>
                <w:sz w:val="18"/>
                <w:szCs w:val="18"/>
              </w:rPr>
            </w:pPr>
            <w:r w:rsidRPr="00832C7E">
              <w:rPr>
                <w:rFonts w:ascii="Arial" w:eastAsia="Calibri" w:hAnsi="Arial" w:cs="Arial"/>
                <w:sz w:val="18"/>
                <w:szCs w:val="18"/>
              </w:rPr>
              <w:t>Year 4</w:t>
            </w:r>
          </w:p>
        </w:tc>
        <w:tc>
          <w:tcPr>
            <w:tcW w:w="1364" w:type="dxa"/>
            <w:shd w:val="clear" w:color="auto" w:fill="F2F2F2" w:themeFill="background1" w:themeFillShade="F2"/>
          </w:tcPr>
          <w:p w14:paraId="7FA6DC3A" w14:textId="77777777" w:rsidR="00D85B12" w:rsidRPr="00832C7E" w:rsidRDefault="46BADD1E" w:rsidP="002861B8">
            <w:pPr>
              <w:pStyle w:val="IPPParagraphnumbering"/>
              <w:rPr>
                <w:rFonts w:ascii="Arial" w:eastAsia="Calibri" w:hAnsi="Arial" w:cs="Arial"/>
                <w:sz w:val="18"/>
                <w:szCs w:val="18"/>
              </w:rPr>
            </w:pPr>
            <w:r w:rsidRPr="00832C7E">
              <w:rPr>
                <w:rFonts w:ascii="Arial" w:eastAsia="Calibri" w:hAnsi="Arial" w:cs="Arial"/>
                <w:sz w:val="18"/>
                <w:szCs w:val="18"/>
              </w:rPr>
              <w:t>Year 5</w:t>
            </w:r>
          </w:p>
        </w:tc>
      </w:tr>
      <w:tr w:rsidR="00D85B12" w:rsidRPr="00832C7E" w14:paraId="5474C189" w14:textId="77777777" w:rsidTr="46BADD1E">
        <w:trPr>
          <w:trHeight w:val="283"/>
        </w:trPr>
        <w:tc>
          <w:tcPr>
            <w:tcW w:w="3257" w:type="dxa"/>
          </w:tcPr>
          <w:p w14:paraId="39D56AEE"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e-Commerce Coordinator </w:t>
            </w:r>
          </w:p>
        </w:tc>
        <w:tc>
          <w:tcPr>
            <w:tcW w:w="1115" w:type="dxa"/>
          </w:tcPr>
          <w:p w14:paraId="4B741150"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70,000 </w:t>
            </w:r>
          </w:p>
        </w:tc>
        <w:tc>
          <w:tcPr>
            <w:tcW w:w="1116" w:type="dxa"/>
          </w:tcPr>
          <w:p w14:paraId="3EC916A2"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70,000 </w:t>
            </w:r>
          </w:p>
        </w:tc>
        <w:tc>
          <w:tcPr>
            <w:tcW w:w="1115" w:type="dxa"/>
          </w:tcPr>
          <w:p w14:paraId="43762642"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50,000 </w:t>
            </w:r>
          </w:p>
        </w:tc>
        <w:tc>
          <w:tcPr>
            <w:tcW w:w="1115" w:type="dxa"/>
          </w:tcPr>
          <w:p w14:paraId="26A690EA"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50,000 </w:t>
            </w:r>
          </w:p>
        </w:tc>
        <w:tc>
          <w:tcPr>
            <w:tcW w:w="1364" w:type="dxa"/>
          </w:tcPr>
          <w:p w14:paraId="5F1219CD"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30,000 </w:t>
            </w:r>
          </w:p>
        </w:tc>
      </w:tr>
      <w:tr w:rsidR="00D85B12" w:rsidRPr="00832C7E" w14:paraId="652AA275" w14:textId="77777777" w:rsidTr="46BADD1E">
        <w:trPr>
          <w:trHeight w:val="303"/>
        </w:trPr>
        <w:tc>
          <w:tcPr>
            <w:tcW w:w="3257" w:type="dxa"/>
          </w:tcPr>
          <w:p w14:paraId="1E318C79"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Member participation </w:t>
            </w:r>
          </w:p>
        </w:tc>
        <w:tc>
          <w:tcPr>
            <w:tcW w:w="1115" w:type="dxa"/>
          </w:tcPr>
          <w:p w14:paraId="6DE6C06A"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Own cost </w:t>
            </w:r>
          </w:p>
        </w:tc>
        <w:tc>
          <w:tcPr>
            <w:tcW w:w="1116" w:type="dxa"/>
          </w:tcPr>
          <w:p w14:paraId="4870A721"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Own cost </w:t>
            </w:r>
          </w:p>
        </w:tc>
        <w:tc>
          <w:tcPr>
            <w:tcW w:w="1115" w:type="dxa"/>
          </w:tcPr>
          <w:p w14:paraId="24C88A50"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Own cost </w:t>
            </w:r>
          </w:p>
        </w:tc>
        <w:tc>
          <w:tcPr>
            <w:tcW w:w="1115" w:type="dxa"/>
          </w:tcPr>
          <w:p w14:paraId="3C6ED310"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Own cost </w:t>
            </w:r>
          </w:p>
        </w:tc>
        <w:tc>
          <w:tcPr>
            <w:tcW w:w="1364" w:type="dxa"/>
          </w:tcPr>
          <w:p w14:paraId="02A3E8E7"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Own cost </w:t>
            </w:r>
          </w:p>
        </w:tc>
      </w:tr>
      <w:tr w:rsidR="00D85B12" w:rsidRPr="00832C7E" w14:paraId="784FE5A9" w14:textId="77777777" w:rsidTr="46BADD1E">
        <w:trPr>
          <w:trHeight w:val="588"/>
        </w:trPr>
        <w:tc>
          <w:tcPr>
            <w:tcW w:w="3257" w:type="dxa"/>
          </w:tcPr>
          <w:p w14:paraId="2FA759B8"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Meeting – venue, catering, logistics support* </w:t>
            </w:r>
          </w:p>
        </w:tc>
        <w:tc>
          <w:tcPr>
            <w:tcW w:w="1115" w:type="dxa"/>
          </w:tcPr>
          <w:p w14:paraId="4229B1F3"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20,000 </w:t>
            </w:r>
          </w:p>
        </w:tc>
        <w:tc>
          <w:tcPr>
            <w:tcW w:w="1116" w:type="dxa"/>
          </w:tcPr>
          <w:p w14:paraId="549C8367"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25,000 </w:t>
            </w:r>
          </w:p>
        </w:tc>
        <w:tc>
          <w:tcPr>
            <w:tcW w:w="1115" w:type="dxa"/>
          </w:tcPr>
          <w:p w14:paraId="1369F53D"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12,000 </w:t>
            </w:r>
          </w:p>
        </w:tc>
        <w:tc>
          <w:tcPr>
            <w:tcW w:w="1115" w:type="dxa"/>
          </w:tcPr>
          <w:p w14:paraId="62F1F16F"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12,000 </w:t>
            </w:r>
          </w:p>
        </w:tc>
        <w:tc>
          <w:tcPr>
            <w:tcW w:w="1364" w:type="dxa"/>
          </w:tcPr>
          <w:p w14:paraId="76C82C14"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12,000 </w:t>
            </w:r>
          </w:p>
        </w:tc>
      </w:tr>
      <w:tr w:rsidR="00D85B12" w:rsidRPr="00832C7E" w14:paraId="574728F0" w14:textId="77777777" w:rsidTr="46BADD1E">
        <w:trPr>
          <w:trHeight w:val="303"/>
        </w:trPr>
        <w:tc>
          <w:tcPr>
            <w:tcW w:w="3257" w:type="dxa"/>
          </w:tcPr>
          <w:p w14:paraId="2C2A81E7"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Travel assistance**</w:t>
            </w:r>
          </w:p>
        </w:tc>
        <w:tc>
          <w:tcPr>
            <w:tcW w:w="1115" w:type="dxa"/>
          </w:tcPr>
          <w:p w14:paraId="75C637FB"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5,000 </w:t>
            </w:r>
          </w:p>
        </w:tc>
        <w:tc>
          <w:tcPr>
            <w:tcW w:w="1116" w:type="dxa"/>
          </w:tcPr>
          <w:p w14:paraId="505E99CF"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5,000 </w:t>
            </w:r>
          </w:p>
        </w:tc>
        <w:tc>
          <w:tcPr>
            <w:tcW w:w="1115" w:type="dxa"/>
          </w:tcPr>
          <w:p w14:paraId="583F7D54"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5,000 </w:t>
            </w:r>
          </w:p>
        </w:tc>
        <w:tc>
          <w:tcPr>
            <w:tcW w:w="1115" w:type="dxa"/>
          </w:tcPr>
          <w:p w14:paraId="16B7E545"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5,000 </w:t>
            </w:r>
          </w:p>
        </w:tc>
        <w:tc>
          <w:tcPr>
            <w:tcW w:w="1364" w:type="dxa"/>
          </w:tcPr>
          <w:p w14:paraId="27E3552B"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5,000 </w:t>
            </w:r>
          </w:p>
        </w:tc>
      </w:tr>
      <w:tr w:rsidR="00D85B12" w:rsidRPr="00832C7E" w14:paraId="529E7DB3" w14:textId="77777777" w:rsidTr="46BADD1E">
        <w:trPr>
          <w:trHeight w:val="544"/>
        </w:trPr>
        <w:tc>
          <w:tcPr>
            <w:tcW w:w="3257" w:type="dxa"/>
          </w:tcPr>
          <w:p w14:paraId="5FFA629E"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Publications – design, editing and publishing resource materials </w:t>
            </w:r>
          </w:p>
        </w:tc>
        <w:tc>
          <w:tcPr>
            <w:tcW w:w="1115" w:type="dxa"/>
          </w:tcPr>
          <w:p w14:paraId="23A622AA"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25,000 </w:t>
            </w:r>
          </w:p>
        </w:tc>
        <w:tc>
          <w:tcPr>
            <w:tcW w:w="1116" w:type="dxa"/>
          </w:tcPr>
          <w:p w14:paraId="378C9060"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20,000 </w:t>
            </w:r>
          </w:p>
        </w:tc>
        <w:tc>
          <w:tcPr>
            <w:tcW w:w="1115" w:type="dxa"/>
          </w:tcPr>
          <w:p w14:paraId="268B8AB1"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3,000 </w:t>
            </w:r>
          </w:p>
        </w:tc>
        <w:tc>
          <w:tcPr>
            <w:tcW w:w="1115" w:type="dxa"/>
          </w:tcPr>
          <w:p w14:paraId="52547DA5"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3,000 </w:t>
            </w:r>
          </w:p>
        </w:tc>
        <w:tc>
          <w:tcPr>
            <w:tcW w:w="1364" w:type="dxa"/>
          </w:tcPr>
          <w:p w14:paraId="0E64F883"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3,000 </w:t>
            </w:r>
          </w:p>
        </w:tc>
      </w:tr>
      <w:tr w:rsidR="00D85B12" w:rsidRPr="00832C7E" w14:paraId="45C49D00" w14:textId="77777777" w:rsidTr="46BADD1E">
        <w:trPr>
          <w:trHeight w:val="967"/>
        </w:trPr>
        <w:tc>
          <w:tcPr>
            <w:tcW w:w="3257" w:type="dxa"/>
          </w:tcPr>
          <w:p w14:paraId="25491A24"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Secretariat resources: convene governance meetings; WCO etc. liaison; website; training and awareness </w:t>
            </w:r>
          </w:p>
        </w:tc>
        <w:tc>
          <w:tcPr>
            <w:tcW w:w="1115" w:type="dxa"/>
          </w:tcPr>
          <w:p w14:paraId="007C8FF4"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30,000 </w:t>
            </w:r>
          </w:p>
        </w:tc>
        <w:tc>
          <w:tcPr>
            <w:tcW w:w="1116" w:type="dxa"/>
          </w:tcPr>
          <w:p w14:paraId="45AB31F2"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30,000 </w:t>
            </w:r>
          </w:p>
        </w:tc>
        <w:tc>
          <w:tcPr>
            <w:tcW w:w="1115" w:type="dxa"/>
          </w:tcPr>
          <w:p w14:paraId="53A7F47E"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10,000 </w:t>
            </w:r>
          </w:p>
        </w:tc>
        <w:tc>
          <w:tcPr>
            <w:tcW w:w="1115" w:type="dxa"/>
          </w:tcPr>
          <w:p w14:paraId="6D5B7A6F"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10,000 </w:t>
            </w:r>
          </w:p>
        </w:tc>
        <w:tc>
          <w:tcPr>
            <w:tcW w:w="1364" w:type="dxa"/>
          </w:tcPr>
          <w:p w14:paraId="6974ED68"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20,000*** </w:t>
            </w:r>
          </w:p>
        </w:tc>
      </w:tr>
      <w:tr w:rsidR="00D85B12" w:rsidRPr="00832C7E" w14:paraId="4065EE59" w14:textId="77777777" w:rsidTr="46BADD1E">
        <w:trPr>
          <w:trHeight w:val="283"/>
        </w:trPr>
        <w:tc>
          <w:tcPr>
            <w:tcW w:w="3257" w:type="dxa"/>
          </w:tcPr>
          <w:p w14:paraId="22C7EA42"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Total </w:t>
            </w:r>
          </w:p>
        </w:tc>
        <w:tc>
          <w:tcPr>
            <w:tcW w:w="1115" w:type="dxa"/>
          </w:tcPr>
          <w:p w14:paraId="6A72B6F9"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150 K </w:t>
            </w:r>
          </w:p>
        </w:tc>
        <w:tc>
          <w:tcPr>
            <w:tcW w:w="1116" w:type="dxa"/>
          </w:tcPr>
          <w:p w14:paraId="4DE255DC"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150 K </w:t>
            </w:r>
          </w:p>
        </w:tc>
        <w:tc>
          <w:tcPr>
            <w:tcW w:w="1115" w:type="dxa"/>
          </w:tcPr>
          <w:p w14:paraId="7F04A5DF"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80 K </w:t>
            </w:r>
          </w:p>
        </w:tc>
        <w:tc>
          <w:tcPr>
            <w:tcW w:w="1115" w:type="dxa"/>
          </w:tcPr>
          <w:p w14:paraId="705C4AC1"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80 K </w:t>
            </w:r>
          </w:p>
        </w:tc>
        <w:tc>
          <w:tcPr>
            <w:tcW w:w="1364" w:type="dxa"/>
          </w:tcPr>
          <w:p w14:paraId="1FACB9F0"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70 K </w:t>
            </w:r>
          </w:p>
        </w:tc>
      </w:tr>
      <w:tr w:rsidR="00D85B12" w:rsidRPr="00832C7E" w14:paraId="19572106" w14:textId="77777777" w:rsidTr="46BADD1E">
        <w:trPr>
          <w:trHeight w:val="283"/>
        </w:trPr>
        <w:tc>
          <w:tcPr>
            <w:tcW w:w="3257" w:type="dxa"/>
          </w:tcPr>
          <w:p w14:paraId="2175B515"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Personnel (estimated FTE) </w:t>
            </w:r>
          </w:p>
        </w:tc>
        <w:tc>
          <w:tcPr>
            <w:tcW w:w="1115" w:type="dxa"/>
          </w:tcPr>
          <w:p w14:paraId="3BB0BDEC"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1.3</w:t>
            </w:r>
          </w:p>
        </w:tc>
        <w:tc>
          <w:tcPr>
            <w:tcW w:w="1116" w:type="dxa"/>
          </w:tcPr>
          <w:p w14:paraId="0672D1AB"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1.3 </w:t>
            </w:r>
          </w:p>
        </w:tc>
        <w:tc>
          <w:tcPr>
            <w:tcW w:w="1115" w:type="dxa"/>
          </w:tcPr>
          <w:p w14:paraId="7DE232CE"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0.7 </w:t>
            </w:r>
          </w:p>
        </w:tc>
        <w:tc>
          <w:tcPr>
            <w:tcW w:w="1115" w:type="dxa"/>
          </w:tcPr>
          <w:p w14:paraId="69C4170C"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0.7</w:t>
            </w:r>
          </w:p>
        </w:tc>
        <w:tc>
          <w:tcPr>
            <w:tcW w:w="1364" w:type="dxa"/>
          </w:tcPr>
          <w:p w14:paraId="22B51E46" w14:textId="77777777" w:rsidR="00D85B12"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0.5 </w:t>
            </w:r>
          </w:p>
        </w:tc>
      </w:tr>
      <w:tr w:rsidR="00CE0AFC" w:rsidRPr="00832C7E" w14:paraId="7F6AD70D" w14:textId="77777777" w:rsidTr="46BADD1E">
        <w:trPr>
          <w:trHeight w:val="283"/>
        </w:trPr>
        <w:tc>
          <w:tcPr>
            <w:tcW w:w="3257" w:type="dxa"/>
          </w:tcPr>
          <w:p w14:paraId="3E9AA27F" w14:textId="77777777" w:rsidR="00CE0AFC"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Cumulative total </w:t>
            </w:r>
          </w:p>
        </w:tc>
        <w:tc>
          <w:tcPr>
            <w:tcW w:w="1115" w:type="dxa"/>
          </w:tcPr>
          <w:p w14:paraId="4D58A845" w14:textId="77777777" w:rsidR="00CE0AFC"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150,000 </w:t>
            </w:r>
          </w:p>
        </w:tc>
        <w:tc>
          <w:tcPr>
            <w:tcW w:w="1116" w:type="dxa"/>
          </w:tcPr>
          <w:p w14:paraId="5D3C3981" w14:textId="77777777" w:rsidR="00CE0AFC"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300,000 </w:t>
            </w:r>
          </w:p>
        </w:tc>
        <w:tc>
          <w:tcPr>
            <w:tcW w:w="1115" w:type="dxa"/>
          </w:tcPr>
          <w:p w14:paraId="6A76ECEB" w14:textId="77777777" w:rsidR="00CE0AFC"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380,000 </w:t>
            </w:r>
          </w:p>
        </w:tc>
        <w:tc>
          <w:tcPr>
            <w:tcW w:w="1115" w:type="dxa"/>
          </w:tcPr>
          <w:p w14:paraId="6F6BD227" w14:textId="77777777" w:rsidR="00CE0AFC"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460,000 </w:t>
            </w:r>
          </w:p>
        </w:tc>
        <w:tc>
          <w:tcPr>
            <w:tcW w:w="1364" w:type="dxa"/>
          </w:tcPr>
          <w:p w14:paraId="166A19C2" w14:textId="77777777" w:rsidR="00CE0AFC" w:rsidRPr="00832C7E" w:rsidRDefault="46BADD1E" w:rsidP="002861B8">
            <w:pPr>
              <w:pStyle w:val="IPPParagraphnumbering"/>
              <w:rPr>
                <w:rFonts w:ascii="Arial" w:hAnsi="Arial" w:cs="Arial"/>
                <w:sz w:val="18"/>
                <w:szCs w:val="18"/>
              </w:rPr>
            </w:pPr>
            <w:r w:rsidRPr="00832C7E">
              <w:rPr>
                <w:rFonts w:ascii="Arial" w:hAnsi="Arial" w:cs="Arial"/>
                <w:sz w:val="18"/>
                <w:szCs w:val="18"/>
              </w:rPr>
              <w:t xml:space="preserve">530,000 </w:t>
            </w:r>
          </w:p>
        </w:tc>
      </w:tr>
    </w:tbl>
    <w:p w14:paraId="40C91B0A" w14:textId="77777777" w:rsidR="006D4CAF" w:rsidRPr="00670AE1" w:rsidRDefault="006D4CAF" w:rsidP="00670AE1">
      <w:pPr>
        <w:pStyle w:val="IPPParagraphnumbering"/>
        <w:numPr>
          <w:ilvl w:val="0"/>
          <w:numId w:val="0"/>
        </w:numPr>
        <w:spacing w:after="0" w:line="257" w:lineRule="auto"/>
        <w:rPr>
          <w:rFonts w:cs="Times New Roman"/>
          <w:sz w:val="20"/>
          <w:szCs w:val="20"/>
        </w:rPr>
      </w:pPr>
      <w:r w:rsidRPr="00670AE1">
        <w:rPr>
          <w:rFonts w:cs="Times New Roman"/>
          <w:sz w:val="20"/>
          <w:szCs w:val="20"/>
        </w:rPr>
        <w:t xml:space="preserve">* </w:t>
      </w:r>
      <w:r w:rsidRPr="00670AE1">
        <w:rPr>
          <w:rFonts w:cs="Times New Roman"/>
          <w:sz w:val="20"/>
          <w:szCs w:val="20"/>
        </w:rPr>
        <w:tab/>
        <w:t>Subject to IPPC Criteria and to be used only to support eligible Task Force members</w:t>
      </w:r>
    </w:p>
    <w:p w14:paraId="7E1F1849" w14:textId="77777777" w:rsidR="006D4CAF" w:rsidRPr="00670AE1" w:rsidRDefault="006D4CAF" w:rsidP="00670AE1">
      <w:pPr>
        <w:pStyle w:val="IPPParagraphnumbering"/>
        <w:numPr>
          <w:ilvl w:val="0"/>
          <w:numId w:val="0"/>
        </w:numPr>
        <w:spacing w:after="0" w:line="257" w:lineRule="auto"/>
        <w:rPr>
          <w:rFonts w:cs="Times New Roman"/>
          <w:sz w:val="20"/>
          <w:szCs w:val="20"/>
        </w:rPr>
      </w:pPr>
      <w:r w:rsidRPr="00670AE1">
        <w:rPr>
          <w:rFonts w:cs="Times New Roman"/>
          <w:sz w:val="20"/>
          <w:szCs w:val="20"/>
        </w:rPr>
        <w:t xml:space="preserve">** </w:t>
      </w:r>
      <w:r w:rsidRPr="00670AE1">
        <w:rPr>
          <w:rFonts w:cs="Times New Roman"/>
          <w:sz w:val="20"/>
          <w:szCs w:val="20"/>
        </w:rPr>
        <w:tab/>
        <w:t>Governance meetings may be convened virtually in lieu of face to face</w:t>
      </w:r>
    </w:p>
    <w:p w14:paraId="09F39791" w14:textId="77777777" w:rsidR="008C291B" w:rsidRPr="00670AE1" w:rsidRDefault="006D4CAF" w:rsidP="00670AE1">
      <w:pPr>
        <w:pStyle w:val="IPPParagraphnumbering"/>
        <w:numPr>
          <w:ilvl w:val="0"/>
          <w:numId w:val="0"/>
        </w:numPr>
        <w:spacing w:line="257" w:lineRule="auto"/>
        <w:rPr>
          <w:rFonts w:cs="Times New Roman"/>
          <w:sz w:val="20"/>
          <w:szCs w:val="20"/>
        </w:rPr>
      </w:pPr>
      <w:r w:rsidRPr="00670AE1">
        <w:rPr>
          <w:rFonts w:cs="Times New Roman"/>
          <w:sz w:val="20"/>
          <w:szCs w:val="20"/>
        </w:rPr>
        <w:t xml:space="preserve">*** </w:t>
      </w:r>
      <w:r w:rsidRPr="00670AE1">
        <w:rPr>
          <w:rFonts w:cs="Times New Roman"/>
          <w:sz w:val="20"/>
          <w:szCs w:val="20"/>
        </w:rPr>
        <w:tab/>
        <w:t>IPPC staff and costs to assess impact and identify post-implementation issues</w:t>
      </w:r>
    </w:p>
    <w:p w14:paraId="610A50A5" w14:textId="33A9AB7D" w:rsidR="00990A4D" w:rsidRPr="0022071D" w:rsidRDefault="46BADD1E" w:rsidP="0022071D">
      <w:pPr>
        <w:pStyle w:val="IPPParagraphnumbering"/>
        <w:numPr>
          <w:ilvl w:val="0"/>
          <w:numId w:val="28"/>
        </w:numPr>
        <w:rPr>
          <w:rFonts w:cs="Times New Roman"/>
        </w:rPr>
      </w:pPr>
      <w:r w:rsidRPr="0022071D">
        <w:rPr>
          <w:rFonts w:cs="Times New Roman"/>
        </w:rPr>
        <w:t>In 2019 Canada committed to an in-kind contribution of a staff member with a travel budget to work with the IPPC Secretariat for two years (2019-05 to 2021-04) as the e-Commerce Coordinator. In 2020</w:t>
      </w:r>
      <w:r w:rsidR="0022071D">
        <w:rPr>
          <w:rFonts w:cs="Times New Roman"/>
        </w:rPr>
        <w:t>,</w:t>
      </w:r>
      <w:r w:rsidRPr="0022071D">
        <w:rPr>
          <w:rFonts w:cs="Times New Roman"/>
        </w:rPr>
        <w:t xml:space="preserve"> Canada provided a further financial contribution of USD 60,789 to advance the e-Commerce programme. </w:t>
      </w:r>
    </w:p>
    <w:p w14:paraId="63C4A1E8" w14:textId="77777777" w:rsidR="0036292B" w:rsidRPr="00670AE1" w:rsidRDefault="46BADD1E" w:rsidP="002861B8">
      <w:pPr>
        <w:pStyle w:val="IPPParagraphnumbering"/>
        <w:rPr>
          <w:rFonts w:cs="Times New Roman"/>
        </w:rPr>
      </w:pPr>
      <w:r w:rsidRPr="00670AE1">
        <w:rPr>
          <w:rFonts w:cs="Times New Roman"/>
        </w:rPr>
        <w:t>The estimated budget does not consider that, as a result of current travel restrictions, some activities may be carried out virtually, rather than with face-to-face meetings. Particularly in Year 1 and 2, activities such as the development of the guide and other resources, governance meetings and liaison with WCO and other international organizations are expected to be virtual.</w:t>
      </w:r>
    </w:p>
    <w:p w14:paraId="2D7B75A4" w14:textId="77777777" w:rsidR="008C291B" w:rsidRPr="00832C7E" w:rsidRDefault="46BADD1E" w:rsidP="002861B8">
      <w:pPr>
        <w:pStyle w:val="IPPParagraphnumbering"/>
        <w:rPr>
          <w:rFonts w:cs="Times New Roman"/>
        </w:rPr>
      </w:pPr>
      <w:r w:rsidRPr="00832C7E">
        <w:rPr>
          <w:rFonts w:cs="Times New Roman"/>
        </w:rPr>
        <w:t>The SPG is invited to:</w:t>
      </w:r>
    </w:p>
    <w:p w14:paraId="00A84F35" w14:textId="77777777" w:rsidR="00832C7E" w:rsidRDefault="008D6AD3" w:rsidP="00832C7E">
      <w:pPr>
        <w:pStyle w:val="IPPNumberedList"/>
      </w:pPr>
      <w:r>
        <w:rPr>
          <w:i/>
          <w:iCs/>
        </w:rPr>
        <w:t>Note</w:t>
      </w:r>
      <w:r w:rsidRPr="00670AE1">
        <w:rPr>
          <w:i/>
          <w:iCs/>
        </w:rPr>
        <w:t xml:space="preserve"> </w:t>
      </w:r>
      <w:r w:rsidRPr="00670AE1">
        <w:t xml:space="preserve">the </w:t>
      </w:r>
      <w:r>
        <w:t xml:space="preserve">ongoing and </w:t>
      </w:r>
      <w:r w:rsidRPr="00670AE1">
        <w:t>proposed activities</w:t>
      </w:r>
      <w:r w:rsidRPr="00670AE1">
        <w:rPr>
          <w:i/>
          <w:iCs/>
        </w:rPr>
        <w:t xml:space="preserve"> </w:t>
      </w:r>
      <w:r w:rsidR="00A83595">
        <w:t>related to the e-Commerce programme</w:t>
      </w:r>
      <w:r w:rsidRPr="00670AE1">
        <w:t>.</w:t>
      </w:r>
    </w:p>
    <w:p w14:paraId="290E74C2" w14:textId="50A5B89D" w:rsidR="00BF674D" w:rsidRPr="00832C7E" w:rsidRDefault="008D6AD3" w:rsidP="00832C7E">
      <w:pPr>
        <w:pStyle w:val="IPPNumberedList"/>
      </w:pPr>
      <w:r w:rsidRPr="00832C7E">
        <w:rPr>
          <w:rFonts w:cs="Times New Roman"/>
          <w:i/>
          <w:iCs/>
        </w:rPr>
        <w:t>Request</w:t>
      </w:r>
      <w:r w:rsidR="46BADD1E" w:rsidRPr="00832C7E">
        <w:rPr>
          <w:rFonts w:cs="Times New Roman"/>
          <w:i/>
          <w:iCs/>
        </w:rPr>
        <w:t xml:space="preserve"> </w:t>
      </w:r>
      <w:r w:rsidR="46BADD1E" w:rsidRPr="00832C7E">
        <w:rPr>
          <w:rFonts w:cs="Times New Roman"/>
        </w:rPr>
        <w:t xml:space="preserve">the </w:t>
      </w:r>
      <w:r w:rsidRPr="00832C7E">
        <w:rPr>
          <w:rFonts w:cs="Times New Roman"/>
        </w:rPr>
        <w:t xml:space="preserve">IPPC Secretariat to review the </w:t>
      </w:r>
      <w:r w:rsidR="00A83595" w:rsidRPr="00832C7E">
        <w:rPr>
          <w:rFonts w:cs="Times New Roman"/>
        </w:rPr>
        <w:t xml:space="preserve">e-Commerce programme </w:t>
      </w:r>
      <w:r w:rsidRPr="00832C7E">
        <w:rPr>
          <w:rFonts w:cs="Times New Roman"/>
        </w:rPr>
        <w:t xml:space="preserve">budget in light of </w:t>
      </w:r>
      <w:r w:rsidR="00A83595" w:rsidRPr="00832C7E">
        <w:rPr>
          <w:rFonts w:cs="Times New Roman"/>
        </w:rPr>
        <w:t>COVID</w:t>
      </w:r>
      <w:r w:rsidRPr="00832C7E">
        <w:rPr>
          <w:rFonts w:cs="Times New Roman"/>
        </w:rPr>
        <w:t>-19</w:t>
      </w:r>
      <w:r w:rsidR="00A83595" w:rsidRPr="00832C7E">
        <w:rPr>
          <w:rFonts w:cs="Times New Roman"/>
        </w:rPr>
        <w:t xml:space="preserve"> and the </w:t>
      </w:r>
      <w:r w:rsidRPr="00832C7E">
        <w:rPr>
          <w:rFonts w:cs="Times New Roman"/>
        </w:rPr>
        <w:t>funding received</w:t>
      </w:r>
      <w:r w:rsidR="00A83595" w:rsidRPr="00832C7E">
        <w:rPr>
          <w:rFonts w:cs="Times New Roman"/>
        </w:rPr>
        <w:t>,</w:t>
      </w:r>
      <w:r w:rsidRPr="00832C7E">
        <w:rPr>
          <w:rFonts w:cs="Times New Roman"/>
        </w:rPr>
        <w:t xml:space="preserve"> and recommend whether additional co-funding arrangements are needed. </w:t>
      </w:r>
    </w:p>
    <w:sectPr w:rsidR="00BF674D" w:rsidRPr="00832C7E" w:rsidSect="00E74846">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1418" w:left="1418" w:header="709" w:footer="142"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982B31" w16cex:dateUtc="2020-09-23T08:21:20.485Z"/>
  <w16cex:commentExtensible w16cex:durableId="7D886167" w16cex:dateUtc="2020-09-23T08:21:20.485Z"/>
  <w16cex:commentExtensible w16cex:durableId="206A0D8A" w16cex:dateUtc="2020-09-23T08:55:08.498Z"/>
</w16cex:commentsExtensible>
</file>

<file path=word/commentsIds.xml><?xml version="1.0" encoding="utf-8"?>
<w16cid:commentsIds xmlns:mc="http://schemas.openxmlformats.org/markup-compatibility/2006" xmlns:w16cid="http://schemas.microsoft.com/office/word/2016/wordml/cid" mc:Ignorable="w16cid">
  <w16cid:commentId w16cid:paraId="165AB557" w16cid:durableId="5322A562"/>
  <w16cid:commentId w16cid:paraId="7218235E" w16cid:durableId="1D629AF6"/>
  <w16cid:commentId w16cid:paraId="30EB8C2B" w16cid:durableId="417660FE"/>
  <w16cid:commentId w16cid:paraId="576D24FD" w16cid:durableId="3AD11830"/>
  <w16cid:commentId w16cid:paraId="1130CFCF" w16cid:durableId="57C04EA1"/>
  <w16cid:commentId w16cid:paraId="12D04A2D" w16cid:durableId="7C60CAF0"/>
  <w16cid:commentId w16cid:paraId="18A10022" w16cid:durableId="5EBFF47C"/>
  <w16cid:commentId w16cid:paraId="3F747432" w16cid:durableId="3C095930"/>
  <w16cid:commentId w16cid:paraId="738EDA36" w16cid:durableId="7841E671"/>
  <w16cid:commentId w16cid:paraId="5730A84A" w16cid:durableId="3B7798B8"/>
  <w16cid:commentId w16cid:paraId="4A563CDB" w16cid:durableId="4A9E12B1"/>
  <w16cid:commentId w16cid:paraId="6D0EDFAF" w16cid:durableId="470E55A0"/>
  <w16cid:commentId w16cid:paraId="6969857B" w16cid:durableId="20859201"/>
  <w16cid:commentId w16cid:paraId="44F3F379" w16cid:durableId="2715C5B9"/>
  <w16cid:commentId w16cid:paraId="2814874A" w16cid:durableId="34B13DBE"/>
  <w16cid:commentId w16cid:paraId="68D56CDA" w16cid:durableId="06982B31"/>
  <w16cid:commentId w16cid:paraId="090D4F3E" w16cid:durableId="7D886167"/>
  <w16cid:commentId w16cid:paraId="3114EC0D" w16cid:durableId="206A0D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AB1D" w14:textId="77777777" w:rsidR="00E9704D" w:rsidRDefault="00E9704D" w:rsidP="008C291B">
      <w:r>
        <w:separator/>
      </w:r>
    </w:p>
  </w:endnote>
  <w:endnote w:type="continuationSeparator" w:id="0">
    <w:p w14:paraId="71914C7B" w14:textId="77777777" w:rsidR="00E9704D" w:rsidRDefault="00E9704D" w:rsidP="008C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14293" w14:textId="6BF88A73" w:rsidR="00E74846" w:rsidRPr="00E74846" w:rsidRDefault="00E74846" w:rsidP="00E74846">
    <w:pPr>
      <w:pStyle w:val="IPPFooter"/>
      <w:tabs>
        <w:tab w:val="clear" w:pos="9072"/>
        <w:tab w:val="right" w:pos="9360"/>
      </w:tabs>
      <w:jc w:val="left"/>
    </w:pPr>
    <w:r w:rsidRPr="002043CC">
      <w:rPr>
        <w:rStyle w:val="PageNumber"/>
        <w:b/>
      </w:rPr>
      <w:t xml:space="preserve">Page </w:t>
    </w:r>
    <w:r w:rsidRPr="002043CC">
      <w:rPr>
        <w:rStyle w:val="PageNumber"/>
        <w:b/>
      </w:rPr>
      <w:fldChar w:fldCharType="begin"/>
    </w:r>
    <w:r w:rsidRPr="002043CC">
      <w:rPr>
        <w:rStyle w:val="PageNumber"/>
        <w:b/>
      </w:rPr>
      <w:instrText xml:space="preserve"> PAGE </w:instrText>
    </w:r>
    <w:r w:rsidRPr="002043CC">
      <w:rPr>
        <w:rStyle w:val="PageNumber"/>
        <w:b/>
      </w:rPr>
      <w:fldChar w:fldCharType="separate"/>
    </w:r>
    <w:r w:rsidR="00832C7E">
      <w:rPr>
        <w:rStyle w:val="PageNumber"/>
        <w:b/>
        <w:noProof/>
      </w:rPr>
      <w:t>4</w:t>
    </w:r>
    <w:r w:rsidRPr="002043CC">
      <w:rPr>
        <w:rStyle w:val="PageNumber"/>
        <w:b/>
      </w:rPr>
      <w:fldChar w:fldCharType="end"/>
    </w:r>
    <w:r w:rsidRPr="002043CC">
      <w:rPr>
        <w:rStyle w:val="PageNumber"/>
        <w:b/>
      </w:rPr>
      <w:t xml:space="preserve"> of </w:t>
    </w:r>
    <w:r w:rsidRPr="002043CC">
      <w:rPr>
        <w:rStyle w:val="PageNumber"/>
        <w:b/>
      </w:rPr>
      <w:fldChar w:fldCharType="begin"/>
    </w:r>
    <w:r w:rsidRPr="002043CC">
      <w:rPr>
        <w:rStyle w:val="PageNumber"/>
        <w:b/>
      </w:rPr>
      <w:instrText xml:space="preserve"> NUMPAGES </w:instrText>
    </w:r>
    <w:r w:rsidRPr="002043CC">
      <w:rPr>
        <w:rStyle w:val="PageNumber"/>
        <w:b/>
      </w:rPr>
      <w:fldChar w:fldCharType="separate"/>
    </w:r>
    <w:r w:rsidR="00832C7E">
      <w:rPr>
        <w:rStyle w:val="PageNumber"/>
        <w:b/>
        <w:noProof/>
      </w:rPr>
      <w:t>5</w:t>
    </w:r>
    <w:r w:rsidRPr="002043CC">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9626"/>
      <w:docPartObj>
        <w:docPartGallery w:val="Page Numbers (Bottom of Page)"/>
        <w:docPartUnique/>
      </w:docPartObj>
    </w:sdtPr>
    <w:sdtEndPr/>
    <w:sdtContent>
      <w:sdt>
        <w:sdtPr>
          <w:id w:val="-1705238520"/>
          <w:docPartObj>
            <w:docPartGallery w:val="Page Numbers (Top of Page)"/>
            <w:docPartUnique/>
          </w:docPartObj>
        </w:sdtPr>
        <w:sdtEndPr/>
        <w:sdtContent>
          <w:p w14:paraId="6C1154AA" w14:textId="23DDE290" w:rsidR="00E74846" w:rsidRDefault="00E74846" w:rsidP="00E74846">
            <w:pPr>
              <w:pStyle w:val="IPPFooter"/>
              <w:tabs>
                <w:tab w:val="clear" w:pos="9072"/>
                <w:tab w:val="right" w:pos="9360"/>
              </w:tabs>
              <w:jc w:val="left"/>
            </w:pPr>
            <w:r w:rsidRPr="00A62A0E">
              <w:t>International Plant Protection Convention</w:t>
            </w:r>
            <w:r w:rsidRPr="002043CC">
              <w:rPr>
                <w:rStyle w:val="PageNumber"/>
                <w:b/>
              </w:rPr>
              <w:t xml:space="preserve"> </w:t>
            </w:r>
            <w:r>
              <w:rPr>
                <w:rStyle w:val="PageNumber"/>
                <w:b/>
              </w:rPr>
              <w:tab/>
            </w:r>
            <w:r w:rsidRPr="002043CC">
              <w:rPr>
                <w:rStyle w:val="PageNumber"/>
                <w:b/>
              </w:rPr>
              <w:t xml:space="preserve">Page </w:t>
            </w:r>
            <w:r w:rsidRPr="002043CC">
              <w:rPr>
                <w:rStyle w:val="PageNumber"/>
                <w:b/>
              </w:rPr>
              <w:fldChar w:fldCharType="begin"/>
            </w:r>
            <w:r w:rsidRPr="002043CC">
              <w:rPr>
                <w:rStyle w:val="PageNumber"/>
                <w:b/>
              </w:rPr>
              <w:instrText xml:space="preserve"> PAGE </w:instrText>
            </w:r>
            <w:r w:rsidRPr="002043CC">
              <w:rPr>
                <w:rStyle w:val="PageNumber"/>
                <w:b/>
              </w:rPr>
              <w:fldChar w:fldCharType="separate"/>
            </w:r>
            <w:r w:rsidR="00832C7E">
              <w:rPr>
                <w:rStyle w:val="PageNumber"/>
                <w:b/>
                <w:noProof/>
              </w:rPr>
              <w:t>3</w:t>
            </w:r>
            <w:r w:rsidRPr="002043CC">
              <w:rPr>
                <w:rStyle w:val="PageNumber"/>
                <w:b/>
              </w:rPr>
              <w:fldChar w:fldCharType="end"/>
            </w:r>
            <w:r w:rsidRPr="002043CC">
              <w:rPr>
                <w:rStyle w:val="PageNumber"/>
                <w:b/>
              </w:rPr>
              <w:t xml:space="preserve"> of </w:t>
            </w:r>
            <w:r w:rsidRPr="002043CC">
              <w:rPr>
                <w:rStyle w:val="PageNumber"/>
                <w:b/>
              </w:rPr>
              <w:fldChar w:fldCharType="begin"/>
            </w:r>
            <w:r w:rsidRPr="002043CC">
              <w:rPr>
                <w:rStyle w:val="PageNumber"/>
                <w:b/>
              </w:rPr>
              <w:instrText xml:space="preserve"> NUMPAGES </w:instrText>
            </w:r>
            <w:r w:rsidRPr="002043CC">
              <w:rPr>
                <w:rStyle w:val="PageNumber"/>
                <w:b/>
              </w:rPr>
              <w:fldChar w:fldCharType="separate"/>
            </w:r>
            <w:r w:rsidR="00832C7E">
              <w:rPr>
                <w:rStyle w:val="PageNumber"/>
                <w:b/>
                <w:noProof/>
              </w:rPr>
              <w:t>5</w:t>
            </w:r>
            <w:r w:rsidRPr="002043CC">
              <w:rPr>
                <w:rStyle w:val="PageNumber"/>
                <w:b/>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31D0" w14:textId="545981E9" w:rsidR="00E74846" w:rsidRPr="00E74846" w:rsidRDefault="00E74846" w:rsidP="00E74846">
    <w:pPr>
      <w:pStyle w:val="IPPFooter"/>
      <w:jc w:val="center"/>
    </w:pPr>
    <w:r w:rsidRPr="00E74846">
      <w:t>International Plant Protection Convention</w:t>
    </w:r>
    <w:r w:rsidRPr="00E74846">
      <w:tab/>
    </w:r>
    <w:r w:rsidRPr="00E74846">
      <w:rPr>
        <w:rStyle w:val="PageNumber"/>
        <w:b/>
      </w:rPr>
      <w:t xml:space="preserve">Page </w:t>
    </w:r>
    <w:r w:rsidRPr="00E74846">
      <w:rPr>
        <w:rStyle w:val="PageNumber"/>
        <w:b/>
      </w:rPr>
      <w:fldChar w:fldCharType="begin"/>
    </w:r>
    <w:r w:rsidRPr="00E74846">
      <w:rPr>
        <w:rStyle w:val="PageNumber"/>
        <w:b/>
      </w:rPr>
      <w:instrText xml:space="preserve"> PAGE </w:instrText>
    </w:r>
    <w:r w:rsidRPr="00E74846">
      <w:rPr>
        <w:rStyle w:val="PageNumber"/>
        <w:b/>
      </w:rPr>
      <w:fldChar w:fldCharType="separate"/>
    </w:r>
    <w:r w:rsidR="00E9704D">
      <w:rPr>
        <w:rStyle w:val="PageNumber"/>
        <w:b/>
        <w:noProof/>
      </w:rPr>
      <w:t>1</w:t>
    </w:r>
    <w:r w:rsidRPr="00E74846">
      <w:rPr>
        <w:rStyle w:val="PageNumber"/>
        <w:b/>
      </w:rPr>
      <w:fldChar w:fldCharType="end"/>
    </w:r>
    <w:r w:rsidRPr="00E74846">
      <w:rPr>
        <w:rStyle w:val="PageNumber"/>
        <w:b/>
      </w:rPr>
      <w:t xml:space="preserve"> of </w:t>
    </w:r>
    <w:r w:rsidRPr="00E74846">
      <w:rPr>
        <w:rStyle w:val="PageNumber"/>
        <w:b/>
      </w:rPr>
      <w:fldChar w:fldCharType="begin"/>
    </w:r>
    <w:r w:rsidRPr="00E74846">
      <w:rPr>
        <w:rStyle w:val="PageNumber"/>
        <w:b/>
      </w:rPr>
      <w:instrText xml:space="preserve"> NUMPAGES </w:instrText>
    </w:r>
    <w:r w:rsidRPr="00E74846">
      <w:rPr>
        <w:rStyle w:val="PageNumber"/>
        <w:b/>
      </w:rPr>
      <w:fldChar w:fldCharType="separate"/>
    </w:r>
    <w:r w:rsidR="00E9704D">
      <w:rPr>
        <w:rStyle w:val="PageNumber"/>
        <w:b/>
        <w:noProof/>
      </w:rPr>
      <w:t>1</w:t>
    </w:r>
    <w:r w:rsidRPr="00E74846">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EC67B" w14:textId="77777777" w:rsidR="00E9704D" w:rsidRDefault="00E9704D" w:rsidP="008C291B">
      <w:r>
        <w:separator/>
      </w:r>
    </w:p>
  </w:footnote>
  <w:footnote w:type="continuationSeparator" w:id="0">
    <w:p w14:paraId="12D7B816" w14:textId="77777777" w:rsidR="00E9704D" w:rsidRDefault="00E9704D" w:rsidP="008C291B">
      <w:r>
        <w:continuationSeparator/>
      </w:r>
    </w:p>
  </w:footnote>
  <w:footnote w:id="1">
    <w:p w14:paraId="73B33371" w14:textId="2E45F397" w:rsidR="008C291B" w:rsidRPr="001417B3" w:rsidRDefault="008C291B" w:rsidP="001417B3">
      <w:pPr>
        <w:pStyle w:val="FootnoteText"/>
        <w:spacing w:after="120"/>
        <w:rPr>
          <w:rFonts w:cstheme="minorHAnsi"/>
        </w:rPr>
      </w:pPr>
      <w:r w:rsidRPr="001417B3">
        <w:rPr>
          <w:rStyle w:val="FootnoteReference"/>
          <w:rFonts w:cstheme="minorHAnsi"/>
        </w:rPr>
        <w:footnoteRef/>
      </w:r>
      <w:r w:rsidRPr="001417B3">
        <w:rPr>
          <w:rFonts w:cstheme="minorHAnsi"/>
        </w:rPr>
        <w:t xml:space="preserve"> Link to the IPPC Strategic Framework 2020-2030, as </w:t>
      </w:r>
      <w:r w:rsidR="00C21344">
        <w:rPr>
          <w:rFonts w:cstheme="minorHAnsi"/>
        </w:rPr>
        <w:t xml:space="preserve">endorsed by CPM-14 (2019) and </w:t>
      </w:r>
      <w:r w:rsidRPr="001417B3">
        <w:rPr>
          <w:rFonts w:cstheme="minorHAnsi"/>
        </w:rPr>
        <w:t xml:space="preserve">presented </w:t>
      </w:r>
      <w:r w:rsidR="00C21344">
        <w:rPr>
          <w:rFonts w:cstheme="minorHAnsi"/>
        </w:rPr>
        <w:t xml:space="preserve">in </w:t>
      </w:r>
      <w:r w:rsidRPr="001417B3">
        <w:rPr>
          <w:rFonts w:cstheme="minorHAnsi"/>
        </w:rPr>
        <w:t xml:space="preserve"> CPM-15 </w:t>
      </w:r>
      <w:r w:rsidR="00C21344">
        <w:rPr>
          <w:rFonts w:cstheme="minorHAnsi"/>
        </w:rPr>
        <w:t xml:space="preserve">document: </w:t>
      </w:r>
      <w:r w:rsidRPr="001417B3">
        <w:rPr>
          <w:rFonts w:cstheme="minorHAnsi"/>
        </w:rPr>
        <w:t xml:space="preserve">CPM 2020/08: </w:t>
      </w:r>
      <w:hyperlink r:id="rId1" w:history="1">
        <w:r w:rsidRPr="001417B3">
          <w:rPr>
            <w:rStyle w:val="Hyperlink"/>
            <w:rFonts w:cstheme="minorHAnsi"/>
          </w:rPr>
          <w:t>https://www.ippc.int/en/publications/88125/</w:t>
        </w:r>
      </w:hyperlink>
      <w:r w:rsidRPr="001417B3">
        <w:rPr>
          <w:rFonts w:cstheme="minorHAnsi"/>
        </w:rPr>
        <w:t xml:space="preserve">  </w:t>
      </w:r>
    </w:p>
  </w:footnote>
  <w:footnote w:id="2">
    <w:p w14:paraId="3CC970DC" w14:textId="77777777" w:rsidR="002847D8" w:rsidRDefault="002847D8" w:rsidP="002847D8">
      <w:pPr>
        <w:spacing w:after="120"/>
      </w:pPr>
      <w:r w:rsidRPr="001417B3">
        <w:rPr>
          <w:rStyle w:val="FootnoteReference"/>
          <w:rFonts w:cstheme="minorHAnsi"/>
          <w:sz w:val="20"/>
          <w:szCs w:val="20"/>
        </w:rPr>
        <w:footnoteRef/>
      </w:r>
      <w:r w:rsidRPr="001417B3">
        <w:rPr>
          <w:rFonts w:cstheme="minorHAnsi"/>
          <w:sz w:val="20"/>
          <w:szCs w:val="20"/>
        </w:rPr>
        <w:t xml:space="preserve"> CPM R-05: </w:t>
      </w:r>
      <w:hyperlink r:id="rId2" w:history="1">
        <w:r w:rsidRPr="001417B3">
          <w:rPr>
            <w:rStyle w:val="Hyperlink"/>
            <w:rFonts w:cstheme="minorHAnsi"/>
            <w:sz w:val="20"/>
            <w:szCs w:val="20"/>
          </w:rPr>
          <w:t>https://www.ippc.int/en/publications/84232/</w:t>
        </w:r>
      </w:hyperlink>
      <w:r>
        <w:t xml:space="preserve">  </w:t>
      </w:r>
    </w:p>
  </w:footnote>
  <w:footnote w:id="3">
    <w:p w14:paraId="16FB76AD" w14:textId="77777777" w:rsidR="00DB7CED" w:rsidRDefault="00DB7CED" w:rsidP="00DB7CED">
      <w:pPr>
        <w:pStyle w:val="FootnoteText"/>
        <w:spacing w:after="120"/>
      </w:pPr>
      <w:r>
        <w:rPr>
          <w:rStyle w:val="FootnoteReference"/>
        </w:rPr>
        <w:footnoteRef/>
      </w:r>
      <w:r>
        <w:t xml:space="preserve"> 2017 CPM Special </w:t>
      </w:r>
      <w:r w:rsidR="005F660B">
        <w:t>T</w:t>
      </w:r>
      <w:r>
        <w:t xml:space="preserve">opic: </w:t>
      </w:r>
      <w:hyperlink r:id="rId3" w:history="1">
        <w:r w:rsidR="005F660B" w:rsidRPr="00CB1EB8">
          <w:rPr>
            <w:rStyle w:val="Hyperlink"/>
          </w:rPr>
          <w:t>https://www.ippc.int/en/core-activities/governance/cpm/scientific-sessions-during-commission-phytosanitary-measures/2017-e-commerce-internet-trade-of-plants/</w:t>
        </w:r>
      </w:hyperlink>
      <w:r w:rsidR="005F660B">
        <w:t xml:space="preserve"> </w:t>
      </w:r>
    </w:p>
  </w:footnote>
  <w:footnote w:id="4">
    <w:p w14:paraId="48047AA7" w14:textId="77777777" w:rsidR="002847D8" w:rsidRPr="001417B3" w:rsidRDefault="002847D8" w:rsidP="00DB7CED">
      <w:pPr>
        <w:spacing w:after="120"/>
        <w:rPr>
          <w:rFonts w:eastAsia="Times New Roman"/>
          <w:sz w:val="20"/>
          <w:szCs w:val="20"/>
        </w:rPr>
      </w:pPr>
      <w:r w:rsidRPr="001417B3">
        <w:rPr>
          <w:rStyle w:val="FootnoteReference"/>
          <w:sz w:val="20"/>
          <w:szCs w:val="20"/>
        </w:rPr>
        <w:footnoteRef/>
      </w:r>
      <w:r w:rsidRPr="001417B3">
        <w:rPr>
          <w:sz w:val="20"/>
          <w:szCs w:val="20"/>
        </w:rPr>
        <w:t xml:space="preserve"> Five year investment plan of the IPPC Secretariat – in relation to the IPPC Strategic Framework 2020-2030 (CPM 2019/30): </w:t>
      </w:r>
      <w:hyperlink r:id="rId4" w:history="1">
        <w:r w:rsidRPr="001417B3">
          <w:rPr>
            <w:rStyle w:val="Hyperlink"/>
            <w:sz w:val="20"/>
            <w:szCs w:val="20"/>
          </w:rPr>
          <w:t>https://www.ippc.int/en/publications/86993/</w:t>
        </w:r>
      </w:hyperlink>
      <w:r w:rsidRPr="001417B3">
        <w:rPr>
          <w:sz w:val="20"/>
          <w:szCs w:val="20"/>
        </w:rPr>
        <w:t xml:space="preserve"> </w:t>
      </w:r>
    </w:p>
  </w:footnote>
  <w:footnote w:id="5">
    <w:p w14:paraId="6EE22E29" w14:textId="4C9EB901" w:rsidR="002847D8" w:rsidRPr="00AF7558" w:rsidRDefault="002847D8" w:rsidP="00E701A1">
      <w:r w:rsidRPr="001417B3">
        <w:rPr>
          <w:rStyle w:val="FootnoteReference"/>
          <w:sz w:val="20"/>
          <w:szCs w:val="20"/>
        </w:rPr>
        <w:footnoteRef/>
      </w:r>
      <w:r w:rsidRPr="001417B3">
        <w:rPr>
          <w:sz w:val="20"/>
          <w:szCs w:val="20"/>
        </w:rPr>
        <w:t xml:space="preserve">IPPC e-Commerce proposed project work plan and budget (CPM 2019/16): </w:t>
      </w:r>
      <w:hyperlink r:id="rId5" w:history="1">
        <w:r w:rsidRPr="001417B3">
          <w:rPr>
            <w:rStyle w:val="Hyperlink"/>
            <w:sz w:val="20"/>
            <w:szCs w:val="20"/>
          </w:rPr>
          <w:t>https://www.ippc.int/en/publications/86924/</w:t>
        </w:r>
      </w:hyperlink>
    </w:p>
  </w:footnote>
  <w:footnote w:id="6">
    <w:p w14:paraId="50790E9A" w14:textId="5B2CF94A" w:rsidR="00E701A1" w:rsidRPr="00E701A1" w:rsidRDefault="00E701A1" w:rsidP="00E701A1">
      <w:pPr>
        <w:pStyle w:val="FootnoteText"/>
      </w:pPr>
      <w:r>
        <w:rPr>
          <w:rStyle w:val="FootnoteReference"/>
        </w:rPr>
        <w:footnoteRef/>
      </w:r>
      <w:r w:rsidRPr="00E701A1">
        <w:t xml:space="preserve"> List of Topics for Standards</w:t>
      </w:r>
      <w:r>
        <w:t xml:space="preserve">: </w:t>
      </w:r>
      <w:hyperlink r:id="rId6" w:history="1">
        <w:r w:rsidRPr="006B7187">
          <w:rPr>
            <w:rStyle w:val="Hyperlink"/>
          </w:rPr>
          <w:t>https://www.ippc.int/en/core-activities/standards-setting/list-topics-ippc-standards/list</w:t>
        </w:r>
      </w:hyperlink>
      <w:r>
        <w:t xml:space="preserve"> </w:t>
      </w:r>
    </w:p>
  </w:footnote>
  <w:footnote w:id="7">
    <w:p w14:paraId="187F05B6" w14:textId="71E1DCD6" w:rsidR="00301398" w:rsidRPr="002C7483" w:rsidRDefault="00301398">
      <w:pPr>
        <w:pStyle w:val="FootnoteText"/>
        <w:rPr>
          <w:lang w:val="fr-CA"/>
        </w:rPr>
      </w:pPr>
      <w:r>
        <w:rPr>
          <w:rStyle w:val="FootnoteReference"/>
        </w:rPr>
        <w:footnoteRef/>
      </w:r>
      <w:r w:rsidRPr="002C7483">
        <w:rPr>
          <w:lang w:val="fr-CA"/>
        </w:rPr>
        <w:t xml:space="preserve"> Report_2019_Nov_IC </w:t>
      </w:r>
      <w:r w:rsidRPr="00E701A1">
        <w:t>(Appendix</w:t>
      </w:r>
      <w:r w:rsidRPr="002C7483">
        <w:rPr>
          <w:lang w:val="fr-CA"/>
        </w:rPr>
        <w:t xml:space="preserve"> 6, page 49): </w:t>
      </w:r>
      <w:hyperlink r:id="rId7" w:history="1">
        <w:r w:rsidR="00A83595" w:rsidRPr="006B7187">
          <w:rPr>
            <w:rStyle w:val="Hyperlink"/>
            <w:lang w:val="fr-CA"/>
          </w:rPr>
          <w:t>https://www.ippc.int/en/publications/88046/</w:t>
        </w:r>
      </w:hyperlink>
      <w:r w:rsidR="00A83595">
        <w:rPr>
          <w:lang w:val="fr-CA"/>
        </w:rPr>
        <w:t xml:space="preserve"> </w:t>
      </w:r>
    </w:p>
  </w:footnote>
  <w:footnote w:id="8">
    <w:p w14:paraId="7611BE65" w14:textId="77777777" w:rsidR="00D92415" w:rsidRDefault="00D92415" w:rsidP="006170B9">
      <w:pPr>
        <w:pStyle w:val="FootnoteText"/>
        <w:spacing w:after="120"/>
      </w:pPr>
      <w:r>
        <w:rPr>
          <w:rStyle w:val="FootnoteReference"/>
        </w:rPr>
        <w:footnoteRef/>
      </w:r>
      <w:r>
        <w:t xml:space="preserve">Joint work plan between the WCO and IPPC Secretariats:  </w:t>
      </w:r>
      <w:hyperlink r:id="rId8" w:history="1">
        <w:r w:rsidRPr="00CB1EB8">
          <w:rPr>
            <w:rStyle w:val="Hyperlink"/>
          </w:rPr>
          <w:t>https://www.ippc.int/en/partners/wco/publications/2019/03/joint-work-plan-between-the-wco-and-the-ippc-secretarait/</w:t>
        </w:r>
      </w:hyperlink>
      <w:r>
        <w:t xml:space="preserve"> </w:t>
      </w:r>
    </w:p>
  </w:footnote>
  <w:footnote w:id="9">
    <w:p w14:paraId="21C2314A" w14:textId="77777777" w:rsidR="006170B9" w:rsidRDefault="006170B9" w:rsidP="006170B9">
      <w:pPr>
        <w:pStyle w:val="FootnoteText"/>
        <w:spacing w:after="120"/>
      </w:pPr>
      <w:r>
        <w:rPr>
          <w:rStyle w:val="FootnoteReference"/>
        </w:rPr>
        <w:footnoteRef/>
      </w:r>
      <w:r>
        <w:t xml:space="preserve"> World Customs Organization overview: </w:t>
      </w:r>
      <w:hyperlink r:id="rId9" w:history="1">
        <w:r w:rsidRPr="00CB1EB8">
          <w:rPr>
            <w:rStyle w:val="Hyperlink"/>
          </w:rPr>
          <w:t>https://www.ippc.int/en/publications/88126/</w:t>
        </w:r>
      </w:hyperlink>
      <w:r>
        <w:t xml:space="preserve"> </w:t>
      </w:r>
    </w:p>
  </w:footnote>
  <w:footnote w:id="10">
    <w:p w14:paraId="27EE5C47" w14:textId="7CBB2811" w:rsidR="003D4130" w:rsidRPr="00B26F99" w:rsidRDefault="003D4130" w:rsidP="003D4130">
      <w:pPr>
        <w:pStyle w:val="FootnoteText"/>
      </w:pPr>
      <w:r>
        <w:rPr>
          <w:rStyle w:val="FootnoteReference"/>
        </w:rPr>
        <w:footnoteRef/>
      </w:r>
      <w:r>
        <w:t xml:space="preserve"> IPP </w:t>
      </w:r>
      <w:r w:rsidRPr="00670AE1">
        <w:rPr>
          <w:rFonts w:cs="Times New Roman"/>
        </w:rPr>
        <w:t xml:space="preserve">webpage </w:t>
      </w:r>
      <w:r>
        <w:rPr>
          <w:rFonts w:cs="Times New Roman"/>
        </w:rPr>
        <w:t xml:space="preserve">on </w:t>
      </w:r>
      <w:r w:rsidRPr="00670AE1">
        <w:rPr>
          <w:rFonts w:eastAsia="Times New Roman" w:cs="Times New Roman"/>
          <w:lang w:eastAsia="en-CA"/>
        </w:rPr>
        <w:t>e-Commerce</w:t>
      </w:r>
      <w:r>
        <w:t xml:space="preserve">: </w:t>
      </w:r>
      <w:r w:rsidRPr="003D4130">
        <w:t>https://www.ippc.int/en/core-activities/capacity-development/e-commerce/</w:t>
      </w:r>
    </w:p>
  </w:footnote>
  <w:footnote w:id="11">
    <w:p w14:paraId="31E99C74" w14:textId="77777777" w:rsidR="00AE2FBA" w:rsidRPr="00AF7558" w:rsidRDefault="00AE2FBA" w:rsidP="00AE2FBA">
      <w:pPr>
        <w:spacing w:after="120"/>
      </w:pPr>
      <w:r w:rsidRPr="001417B3">
        <w:rPr>
          <w:rStyle w:val="FootnoteReference"/>
          <w:sz w:val="20"/>
          <w:szCs w:val="20"/>
        </w:rPr>
        <w:footnoteRef/>
      </w:r>
      <w:r w:rsidRPr="001417B3">
        <w:rPr>
          <w:sz w:val="20"/>
          <w:szCs w:val="20"/>
        </w:rPr>
        <w:t xml:space="preserve">IPPC e-Commerce proposed project work plan and budget (CPM 2019/16) : </w:t>
      </w:r>
      <w:hyperlink r:id="rId10" w:history="1">
        <w:r w:rsidRPr="001417B3">
          <w:rPr>
            <w:rStyle w:val="Hyperlink"/>
            <w:sz w:val="20"/>
            <w:szCs w:val="20"/>
          </w:rPr>
          <w:t>https://www.ippc.int/en/publications/86924/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009E" w14:textId="421A550B" w:rsidR="00E74846" w:rsidRDefault="00E74846" w:rsidP="00E74846">
    <w:pPr>
      <w:pStyle w:val="IPPHeader"/>
    </w:pPr>
    <w:r>
      <w:t>12_SPG_2020_Oct</w:t>
    </w:r>
    <w:r>
      <w:tab/>
    </w:r>
    <w:r w:rsidRPr="00E74846">
      <w:t xml:space="preserve"> </w:t>
    </w:r>
    <w:r>
      <w:t>Management of e-Commerce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770F" w14:textId="5871AC5D" w:rsidR="00E74846" w:rsidRDefault="00E74846" w:rsidP="00E74846">
    <w:pPr>
      <w:pStyle w:val="IPPHeader"/>
    </w:pPr>
    <w:r>
      <w:t>Management of e-Commerce</w:t>
    </w:r>
    <w:r>
      <w:tab/>
      <w:t>12_SPG_2020_Oct</w:t>
    </w:r>
    <w:r w:rsidRPr="00E7484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3CC4" w14:textId="44663B24" w:rsidR="00E74846" w:rsidRPr="00FE6905" w:rsidRDefault="00E74846" w:rsidP="00E74846">
    <w:pPr>
      <w:pStyle w:val="IPPHeader"/>
      <w:tabs>
        <w:tab w:val="clear" w:pos="9072"/>
        <w:tab w:val="right" w:pos="9360"/>
      </w:tabs>
      <w:spacing w:after="0"/>
    </w:pPr>
    <w:r>
      <w:rPr>
        <w:noProof/>
        <w:lang w:eastAsia="en-US"/>
      </w:rPr>
      <w:drawing>
        <wp:anchor distT="0" distB="0" distL="114300" distR="114300" simplePos="0" relativeHeight="251659264" behindDoc="0" locked="0" layoutInCell="1" allowOverlap="1" wp14:anchorId="23F95006" wp14:editId="35AB63A7">
          <wp:simplePos x="0" y="0"/>
          <wp:positionH relativeFrom="margin">
            <wp:align>left</wp:align>
          </wp:positionH>
          <wp:positionV relativeFrom="margin">
            <wp:posOffset>-478210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0" locked="0" layoutInCell="1" allowOverlap="1" wp14:anchorId="780025A0" wp14:editId="38B0554D">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12_SPG_2020_Oct</w:t>
    </w:r>
  </w:p>
  <w:p w14:paraId="5C4025DC" w14:textId="3126CA44" w:rsidR="00E74846" w:rsidRPr="00A61947" w:rsidRDefault="00E74846" w:rsidP="00E74846">
    <w:pPr>
      <w:pStyle w:val="IPPHeader"/>
      <w:tabs>
        <w:tab w:val="clear" w:pos="9072"/>
        <w:tab w:val="right" w:pos="9360"/>
      </w:tabs>
      <w:rPr>
        <w:i/>
      </w:rPr>
    </w:pPr>
    <w:r w:rsidRPr="00606019">
      <w:tab/>
    </w:r>
    <w:r>
      <w:rPr>
        <w:i/>
      </w:rPr>
      <w:t>Management of e-Commerce</w:t>
    </w:r>
    <w:r w:rsidRPr="00606019">
      <w:rPr>
        <w:i/>
      </w:rPr>
      <w:tab/>
    </w:r>
    <w:r>
      <w:rPr>
        <w:i/>
      </w:rPr>
      <w:t>Agenda item: 04.5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6DC"/>
    <w:multiLevelType w:val="multilevel"/>
    <w:tmpl w:val="98CC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D12D7A"/>
    <w:multiLevelType w:val="hybridMultilevel"/>
    <w:tmpl w:val="D4BE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21893"/>
    <w:multiLevelType w:val="hybridMultilevel"/>
    <w:tmpl w:val="EBBC4042"/>
    <w:lvl w:ilvl="0" w:tplc="4B6280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691220"/>
    <w:multiLevelType w:val="multilevel"/>
    <w:tmpl w:val="FD3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7670AA"/>
    <w:multiLevelType w:val="multilevel"/>
    <w:tmpl w:val="010A4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FB5D0F"/>
    <w:multiLevelType w:val="hybridMultilevel"/>
    <w:tmpl w:val="9F366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C23FA7"/>
    <w:multiLevelType w:val="multilevel"/>
    <w:tmpl w:val="36DE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F0E0C"/>
    <w:multiLevelType w:val="hybridMultilevel"/>
    <w:tmpl w:val="1528F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455C7A"/>
    <w:multiLevelType w:val="hybridMultilevel"/>
    <w:tmpl w:val="E87A1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F62DE9"/>
    <w:multiLevelType w:val="hybridMultilevel"/>
    <w:tmpl w:val="A5F2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033A0"/>
    <w:multiLevelType w:val="multilevel"/>
    <w:tmpl w:val="979A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6" w15:restartNumberingAfterBreak="0">
    <w:nsid w:val="34A83C9C"/>
    <w:multiLevelType w:val="multilevel"/>
    <w:tmpl w:val="DEB2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50F19C5"/>
    <w:multiLevelType w:val="multilevel"/>
    <w:tmpl w:val="BFE0A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9068E7"/>
    <w:multiLevelType w:val="multilevel"/>
    <w:tmpl w:val="87309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2E7B71"/>
    <w:multiLevelType w:val="hybridMultilevel"/>
    <w:tmpl w:val="F22644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B00BCA"/>
    <w:multiLevelType w:val="hybridMultilevel"/>
    <w:tmpl w:val="EA7068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BF338AD"/>
    <w:multiLevelType w:val="multilevel"/>
    <w:tmpl w:val="F338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BE6097"/>
    <w:multiLevelType w:val="multilevel"/>
    <w:tmpl w:val="9C9C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84ABB"/>
    <w:multiLevelType w:val="hybridMultilevel"/>
    <w:tmpl w:val="78A02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3826A6"/>
    <w:multiLevelType w:val="multilevel"/>
    <w:tmpl w:val="AEBCF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4010D"/>
    <w:multiLevelType w:val="multilevel"/>
    <w:tmpl w:val="F9CE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9645E"/>
    <w:multiLevelType w:val="hybridMultilevel"/>
    <w:tmpl w:val="4FFCD8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08B63FA"/>
    <w:multiLevelType w:val="hybridMultilevel"/>
    <w:tmpl w:val="4F54D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B57C3"/>
    <w:multiLevelType w:val="multilevel"/>
    <w:tmpl w:val="26F6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E1413F"/>
    <w:multiLevelType w:val="multilevel"/>
    <w:tmpl w:val="AB12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B200A5"/>
    <w:multiLevelType w:val="multilevel"/>
    <w:tmpl w:val="C52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lvlOverride w:ilvl="0">
      <w:startOverride w:val="1"/>
    </w:lvlOverride>
  </w:num>
  <w:num w:numId="2">
    <w:abstractNumId w:val="34"/>
  </w:num>
  <w:num w:numId="3">
    <w:abstractNumId w:val="25"/>
    <w:lvlOverride w:ilvl="0">
      <w:startOverride w:val="2"/>
    </w:lvlOverride>
  </w:num>
  <w:num w:numId="4">
    <w:abstractNumId w:val="35"/>
  </w:num>
  <w:num w:numId="5">
    <w:abstractNumId w:val="8"/>
    <w:lvlOverride w:ilvl="0">
      <w:startOverride w:val="3"/>
    </w:lvlOverride>
  </w:num>
  <w:num w:numId="6">
    <w:abstractNumId w:val="7"/>
  </w:num>
  <w:num w:numId="7">
    <w:abstractNumId w:val="31"/>
  </w:num>
  <w:num w:numId="8">
    <w:abstractNumId w:val="0"/>
    <w:lvlOverride w:ilvl="0">
      <w:startOverride w:val="1"/>
    </w:lvlOverride>
  </w:num>
  <w:num w:numId="9">
    <w:abstractNumId w:val="15"/>
  </w:num>
  <w:num w:numId="10">
    <w:abstractNumId w:val="2"/>
    <w:lvlOverride w:ilvl="0">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left="0" w:hanging="482"/>
        </w:pPr>
      </w:lvl>
    </w:lvlOverride>
    <w:lvlOverride w:ilvl="2">
      <w:lvl w:ilvl="2">
        <w:start w:val="1"/>
        <w:numFmt w:val="none"/>
        <w:lvlRestart w:val="0"/>
        <w:lvlText w:val=""/>
        <w:lvlJc w:val="left"/>
        <w:pPr>
          <w:tabs>
            <w:tab w:val="num" w:pos="0"/>
          </w:tabs>
          <w:ind w:left="0" w:hanging="482"/>
        </w:pPr>
      </w:lvl>
    </w:lvlOverride>
    <w:lvlOverride w:ilvl="3">
      <w:lvl w:ilvl="3">
        <w:start w:val="1"/>
        <w:numFmt w:val="none"/>
        <w:lvlRestart w:val="0"/>
        <w:lvlText w:val=""/>
        <w:lvlJc w:val="left"/>
        <w:pPr>
          <w:tabs>
            <w:tab w:val="num" w:pos="0"/>
          </w:tabs>
          <w:ind w:left="0" w:hanging="482"/>
        </w:pPr>
      </w:lvl>
    </w:lvlOverride>
    <w:lvlOverride w:ilvl="4">
      <w:lvl w:ilvl="4">
        <w:start w:val="1"/>
        <w:numFmt w:val="none"/>
        <w:lvlRestart w:val="0"/>
        <w:lvlText w:val=""/>
        <w:lvlJc w:val="left"/>
        <w:pPr>
          <w:tabs>
            <w:tab w:val="num" w:pos="0"/>
          </w:tabs>
          <w:ind w:left="0" w:hanging="482"/>
        </w:pPr>
      </w:lvl>
    </w:lvlOverride>
    <w:lvlOverride w:ilvl="5">
      <w:lvl w:ilvl="5">
        <w:start w:val="1"/>
        <w:numFmt w:val="none"/>
        <w:lvlRestart w:val="0"/>
        <w:lvlText w:val=""/>
        <w:lvlJc w:val="left"/>
        <w:pPr>
          <w:tabs>
            <w:tab w:val="num" w:pos="0"/>
          </w:tabs>
          <w:ind w:left="0" w:hanging="482"/>
        </w:pPr>
      </w:lvl>
    </w:lvlOverride>
    <w:lvlOverride w:ilvl="6">
      <w:lvl w:ilvl="6">
        <w:start w:val="1"/>
        <w:numFmt w:val="none"/>
        <w:lvlRestart w:val="0"/>
        <w:lvlText w:val=""/>
        <w:lvlJc w:val="left"/>
        <w:pPr>
          <w:tabs>
            <w:tab w:val="num" w:pos="0"/>
          </w:tabs>
          <w:ind w:left="0" w:hanging="482"/>
        </w:pPr>
      </w:lvl>
    </w:lvlOverride>
    <w:lvlOverride w:ilvl="7">
      <w:lvl w:ilvl="7">
        <w:start w:val="1"/>
        <w:numFmt w:val="none"/>
        <w:lvlRestart w:val="0"/>
        <w:lvlText w:val=""/>
        <w:lvlJc w:val="left"/>
        <w:pPr>
          <w:tabs>
            <w:tab w:val="num" w:pos="0"/>
          </w:tabs>
          <w:ind w:left="0" w:hanging="482"/>
        </w:pPr>
      </w:lvl>
    </w:lvlOverride>
    <w:lvlOverride w:ilvl="8">
      <w:lvl w:ilvl="8">
        <w:start w:val="1"/>
        <w:numFmt w:val="none"/>
        <w:lvlRestart w:val="0"/>
        <w:lvlText w:val=""/>
        <w:lvlJc w:val="left"/>
        <w:pPr>
          <w:tabs>
            <w:tab w:val="num" w:pos="0"/>
          </w:tabs>
          <w:ind w:left="0" w:hanging="482"/>
        </w:pPr>
      </w:lvl>
    </w:lvlOverride>
  </w:num>
  <w:num w:numId="11">
    <w:abstractNumId w:val="27"/>
  </w:num>
  <w:num w:numId="12">
    <w:abstractNumId w:val="21"/>
  </w:num>
  <w:num w:numId="13">
    <w:abstractNumId w:val="11"/>
  </w:num>
  <w:num w:numId="14">
    <w:abstractNumId w:val="9"/>
  </w:num>
  <w:num w:numId="15">
    <w:abstractNumId w:val="5"/>
  </w:num>
  <w:num w:numId="16">
    <w:abstractNumId w:val="18"/>
    <w:lvlOverride w:ilvl="0">
      <w:startOverride w:val="1"/>
    </w:lvlOverride>
  </w:num>
  <w:num w:numId="17">
    <w:abstractNumId w:val="24"/>
  </w:num>
  <w:num w:numId="18">
    <w:abstractNumId w:val="16"/>
    <w:lvlOverride w:ilvl="0">
      <w:startOverride w:val="2"/>
    </w:lvlOverride>
  </w:num>
  <w:num w:numId="19">
    <w:abstractNumId w:val="36"/>
  </w:num>
  <w:num w:numId="20">
    <w:abstractNumId w:val="10"/>
    <w:lvlOverride w:ilvl="0">
      <w:startOverride w:val="3"/>
    </w:lvlOverride>
  </w:num>
  <w:num w:numId="21">
    <w:abstractNumId w:val="30"/>
  </w:num>
  <w:num w:numId="22">
    <w:abstractNumId w:val="28"/>
    <w:lvlOverride w:ilvl="0">
      <w:startOverride w:val="4"/>
    </w:lvlOverride>
  </w:num>
  <w:num w:numId="23">
    <w:abstractNumId w:val="14"/>
  </w:num>
  <w:num w:numId="24">
    <w:abstractNumId w:val="22"/>
  </w:num>
  <w:num w:numId="25">
    <w:abstractNumId w:val="12"/>
  </w:num>
  <w:num w:numId="26">
    <w:abstractNumId w:val="4"/>
  </w:num>
  <w:num w:numId="27">
    <w:abstractNumId w:val="32"/>
  </w:num>
  <w:num w:numId="28">
    <w:abstractNumId w:val="2"/>
    <w:lvlOverride w:ilvl="0">
      <w:startOverride w:val="24"/>
      <w:lvl w:ilvl="0">
        <w:start w:val="24"/>
        <w:numFmt w:val="decimal"/>
        <w:pStyle w:val="IPPParagraphnumbering"/>
        <w:lvlText w:val="[%1]"/>
        <w:lvlJc w:val="left"/>
        <w:pPr>
          <w:tabs>
            <w:tab w:val="num" w:pos="0"/>
          </w:tabs>
          <w:ind w:left="0"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29">
    <w:abstractNumId w:val="26"/>
  </w:num>
  <w:num w:numId="30">
    <w:abstractNumId w:val="3"/>
  </w:num>
  <w:num w:numId="31">
    <w:abstractNumId w:val="2"/>
  </w:num>
  <w:num w:numId="32">
    <w:abstractNumId w:val="33"/>
  </w:num>
  <w:num w:numId="33">
    <w:abstractNumId w:val="23"/>
  </w:num>
  <w:num w:numId="34">
    <w:abstractNumId w:val="17"/>
  </w:num>
  <w:num w:numId="35">
    <w:abstractNumId w:val="37"/>
  </w:num>
  <w:num w:numId="36">
    <w:abstractNumId w:val="6"/>
  </w:num>
  <w:num w:numId="37">
    <w:abstractNumId w:val="1"/>
  </w:num>
  <w:num w:numId="38">
    <w:abstractNumId w:val="20"/>
  </w:num>
  <w:num w:numId="39">
    <w:abstractNumId w:val="29"/>
  </w:num>
  <w:num w:numId="40">
    <w:abstractNumId w:val="13"/>
  </w:num>
  <w:num w:numId="41">
    <w:abstractNumId w:val="2"/>
    <w:lvlOverride w:ilvl="0">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left="0" w:hanging="482"/>
        </w:pPr>
      </w:lvl>
    </w:lvlOverride>
    <w:lvlOverride w:ilvl="2">
      <w:lvl w:ilvl="2">
        <w:start w:val="1"/>
        <w:numFmt w:val="none"/>
        <w:lvlRestart w:val="0"/>
        <w:lvlText w:val=""/>
        <w:lvlJc w:val="left"/>
        <w:pPr>
          <w:tabs>
            <w:tab w:val="num" w:pos="0"/>
          </w:tabs>
          <w:ind w:left="0" w:hanging="482"/>
        </w:pPr>
      </w:lvl>
    </w:lvlOverride>
    <w:lvlOverride w:ilvl="3">
      <w:lvl w:ilvl="3">
        <w:start w:val="1"/>
        <w:numFmt w:val="none"/>
        <w:lvlRestart w:val="0"/>
        <w:lvlText w:val=""/>
        <w:lvlJc w:val="left"/>
        <w:pPr>
          <w:tabs>
            <w:tab w:val="num" w:pos="0"/>
          </w:tabs>
          <w:ind w:left="0" w:hanging="482"/>
        </w:pPr>
      </w:lvl>
    </w:lvlOverride>
    <w:lvlOverride w:ilvl="4">
      <w:lvl w:ilvl="4">
        <w:start w:val="1"/>
        <w:numFmt w:val="none"/>
        <w:lvlRestart w:val="0"/>
        <w:lvlText w:val=""/>
        <w:lvlJc w:val="left"/>
        <w:pPr>
          <w:tabs>
            <w:tab w:val="num" w:pos="0"/>
          </w:tabs>
          <w:ind w:left="0" w:hanging="482"/>
        </w:pPr>
      </w:lvl>
    </w:lvlOverride>
    <w:lvlOverride w:ilvl="5">
      <w:lvl w:ilvl="5">
        <w:start w:val="1"/>
        <w:numFmt w:val="none"/>
        <w:lvlRestart w:val="0"/>
        <w:lvlText w:val=""/>
        <w:lvlJc w:val="left"/>
        <w:pPr>
          <w:tabs>
            <w:tab w:val="num" w:pos="0"/>
          </w:tabs>
          <w:ind w:left="0" w:hanging="482"/>
        </w:pPr>
      </w:lvl>
    </w:lvlOverride>
    <w:lvlOverride w:ilvl="6">
      <w:lvl w:ilvl="6">
        <w:start w:val="1"/>
        <w:numFmt w:val="none"/>
        <w:lvlRestart w:val="0"/>
        <w:lvlText w:val=""/>
        <w:lvlJc w:val="left"/>
        <w:pPr>
          <w:tabs>
            <w:tab w:val="num" w:pos="0"/>
          </w:tabs>
          <w:ind w:left="0" w:hanging="482"/>
        </w:pPr>
      </w:lvl>
    </w:lvlOverride>
    <w:lvlOverride w:ilvl="7">
      <w:lvl w:ilvl="7">
        <w:start w:val="1"/>
        <w:numFmt w:val="none"/>
        <w:lvlRestart w:val="0"/>
        <w:lvlText w:val=""/>
        <w:lvlJc w:val="left"/>
        <w:pPr>
          <w:tabs>
            <w:tab w:val="num" w:pos="0"/>
          </w:tabs>
          <w:ind w:left="0" w:hanging="482"/>
        </w:pPr>
      </w:lvl>
    </w:lvlOverride>
    <w:lvlOverride w:ilvl="8">
      <w:lvl w:ilvl="8">
        <w:start w:val="1"/>
        <w:numFmt w:val="none"/>
        <w:lvlRestart w:val="0"/>
        <w:lvlText w:val=""/>
        <w:lvlJc w:val="left"/>
        <w:pPr>
          <w:tabs>
            <w:tab w:val="num" w:pos="0"/>
          </w:tabs>
          <w:ind w:left="0" w:hanging="482"/>
        </w:pPr>
      </w:lvl>
    </w:lvlOverride>
  </w:num>
  <w:num w:numId="42">
    <w:abstractNumId w:val="2"/>
    <w:lvlOverride w:ilvl="0">
      <w:lvl w:ilvl="0">
        <w:start w:val="1"/>
        <w:numFmt w:val="decimal"/>
        <w:pStyle w:val="IPPParagraphnumbering"/>
        <w:lvlText w:val="[%1]"/>
        <w:lvlJc w:val="left"/>
        <w:pPr>
          <w:tabs>
            <w:tab w:val="num" w:pos="0"/>
          </w:tabs>
          <w:ind w:left="0"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left="0" w:hanging="482"/>
        </w:pPr>
      </w:lvl>
    </w:lvlOverride>
    <w:lvlOverride w:ilvl="2">
      <w:lvl w:ilvl="2">
        <w:start w:val="1"/>
        <w:numFmt w:val="none"/>
        <w:lvlRestart w:val="0"/>
        <w:lvlText w:val=""/>
        <w:lvlJc w:val="left"/>
        <w:pPr>
          <w:tabs>
            <w:tab w:val="num" w:pos="0"/>
          </w:tabs>
          <w:ind w:left="0" w:hanging="482"/>
        </w:pPr>
      </w:lvl>
    </w:lvlOverride>
    <w:lvlOverride w:ilvl="3">
      <w:lvl w:ilvl="3">
        <w:start w:val="1"/>
        <w:numFmt w:val="none"/>
        <w:lvlRestart w:val="0"/>
        <w:lvlText w:val=""/>
        <w:lvlJc w:val="left"/>
        <w:pPr>
          <w:tabs>
            <w:tab w:val="num" w:pos="0"/>
          </w:tabs>
          <w:ind w:left="0" w:hanging="482"/>
        </w:pPr>
      </w:lvl>
    </w:lvlOverride>
    <w:lvlOverride w:ilvl="4">
      <w:lvl w:ilvl="4">
        <w:start w:val="1"/>
        <w:numFmt w:val="none"/>
        <w:lvlRestart w:val="0"/>
        <w:lvlText w:val=""/>
        <w:lvlJc w:val="left"/>
        <w:pPr>
          <w:tabs>
            <w:tab w:val="num" w:pos="0"/>
          </w:tabs>
          <w:ind w:left="0" w:hanging="482"/>
        </w:pPr>
      </w:lvl>
    </w:lvlOverride>
    <w:lvlOverride w:ilvl="5">
      <w:lvl w:ilvl="5">
        <w:start w:val="1"/>
        <w:numFmt w:val="none"/>
        <w:lvlRestart w:val="0"/>
        <w:lvlText w:val=""/>
        <w:lvlJc w:val="left"/>
        <w:pPr>
          <w:tabs>
            <w:tab w:val="num" w:pos="0"/>
          </w:tabs>
          <w:ind w:left="0" w:hanging="482"/>
        </w:pPr>
      </w:lvl>
    </w:lvlOverride>
    <w:lvlOverride w:ilvl="6">
      <w:lvl w:ilvl="6">
        <w:start w:val="1"/>
        <w:numFmt w:val="none"/>
        <w:lvlRestart w:val="0"/>
        <w:lvlText w:val=""/>
        <w:lvlJc w:val="left"/>
        <w:pPr>
          <w:tabs>
            <w:tab w:val="num" w:pos="0"/>
          </w:tabs>
          <w:ind w:left="0" w:hanging="482"/>
        </w:pPr>
      </w:lvl>
    </w:lvlOverride>
    <w:lvlOverride w:ilvl="7">
      <w:lvl w:ilvl="7">
        <w:start w:val="1"/>
        <w:numFmt w:val="none"/>
        <w:lvlRestart w:val="0"/>
        <w:lvlText w:val=""/>
        <w:lvlJc w:val="left"/>
        <w:pPr>
          <w:tabs>
            <w:tab w:val="num" w:pos="0"/>
          </w:tabs>
          <w:ind w:left="0" w:hanging="482"/>
        </w:pPr>
      </w:lvl>
    </w:lvlOverride>
    <w:lvlOverride w:ilvl="8">
      <w:lvl w:ilvl="8">
        <w:start w:val="1"/>
        <w:numFmt w:val="none"/>
        <w:lvlRestart w:val="0"/>
        <w:lvlText w:val=""/>
        <w:lvlJc w:val="left"/>
        <w:pPr>
          <w:tabs>
            <w:tab w:val="num" w:pos="0"/>
          </w:tabs>
          <w:ind w:left="0" w:hanging="48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attachedTemplate r:id="rId1"/>
  <w:linkStyles/>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F4"/>
    <w:rsid w:val="0002596E"/>
    <w:rsid w:val="000905CF"/>
    <w:rsid w:val="000F49D4"/>
    <w:rsid w:val="001417B3"/>
    <w:rsid w:val="00144D97"/>
    <w:rsid w:val="0022071D"/>
    <w:rsid w:val="00255399"/>
    <w:rsid w:val="002847D8"/>
    <w:rsid w:val="002861B8"/>
    <w:rsid w:val="002C6FB7"/>
    <w:rsid w:val="002C7483"/>
    <w:rsid w:val="002E5FB1"/>
    <w:rsid w:val="002E700A"/>
    <w:rsid w:val="002E7EE8"/>
    <w:rsid w:val="00301398"/>
    <w:rsid w:val="00317064"/>
    <w:rsid w:val="0036292B"/>
    <w:rsid w:val="00363B9B"/>
    <w:rsid w:val="003A7439"/>
    <w:rsid w:val="003B383C"/>
    <w:rsid w:val="003D4130"/>
    <w:rsid w:val="003E2542"/>
    <w:rsid w:val="003F7A98"/>
    <w:rsid w:val="004371F5"/>
    <w:rsid w:val="00451367"/>
    <w:rsid w:val="004578B9"/>
    <w:rsid w:val="004637DA"/>
    <w:rsid w:val="00470950"/>
    <w:rsid w:val="004B443A"/>
    <w:rsid w:val="00563F96"/>
    <w:rsid w:val="005A0D98"/>
    <w:rsid w:val="005B2100"/>
    <w:rsid w:val="005F660B"/>
    <w:rsid w:val="006170B9"/>
    <w:rsid w:val="00665160"/>
    <w:rsid w:val="00665702"/>
    <w:rsid w:val="00670AE1"/>
    <w:rsid w:val="00676798"/>
    <w:rsid w:val="006A1C47"/>
    <w:rsid w:val="006D4CAF"/>
    <w:rsid w:val="006F4C90"/>
    <w:rsid w:val="00727A96"/>
    <w:rsid w:val="00771BA1"/>
    <w:rsid w:val="007A7855"/>
    <w:rsid w:val="00801DBA"/>
    <w:rsid w:val="00830D3E"/>
    <w:rsid w:val="00832C7E"/>
    <w:rsid w:val="00837EC6"/>
    <w:rsid w:val="00862BA0"/>
    <w:rsid w:val="008706A9"/>
    <w:rsid w:val="00890633"/>
    <w:rsid w:val="008B1D98"/>
    <w:rsid w:val="008C291B"/>
    <w:rsid w:val="008D6AD3"/>
    <w:rsid w:val="008F1DE8"/>
    <w:rsid w:val="009105CA"/>
    <w:rsid w:val="00990A4D"/>
    <w:rsid w:val="0099488B"/>
    <w:rsid w:val="009A4F36"/>
    <w:rsid w:val="009A5568"/>
    <w:rsid w:val="009A5C0D"/>
    <w:rsid w:val="009B5136"/>
    <w:rsid w:val="00A07178"/>
    <w:rsid w:val="00A252F3"/>
    <w:rsid w:val="00A83595"/>
    <w:rsid w:val="00AC4DAA"/>
    <w:rsid w:val="00AD6D03"/>
    <w:rsid w:val="00AE2FBA"/>
    <w:rsid w:val="00B44237"/>
    <w:rsid w:val="00B80F7B"/>
    <w:rsid w:val="00BF3160"/>
    <w:rsid w:val="00BF674D"/>
    <w:rsid w:val="00C10E71"/>
    <w:rsid w:val="00C21344"/>
    <w:rsid w:val="00C6606A"/>
    <w:rsid w:val="00C74B78"/>
    <w:rsid w:val="00C8750B"/>
    <w:rsid w:val="00C87ACC"/>
    <w:rsid w:val="00CD3075"/>
    <w:rsid w:val="00CE0AFC"/>
    <w:rsid w:val="00CF5E08"/>
    <w:rsid w:val="00D25C9D"/>
    <w:rsid w:val="00D6619B"/>
    <w:rsid w:val="00D85B12"/>
    <w:rsid w:val="00D92415"/>
    <w:rsid w:val="00D94F62"/>
    <w:rsid w:val="00D97B61"/>
    <w:rsid w:val="00DB594E"/>
    <w:rsid w:val="00DB7CED"/>
    <w:rsid w:val="00E701A1"/>
    <w:rsid w:val="00E74846"/>
    <w:rsid w:val="00E9704D"/>
    <w:rsid w:val="00EC2B4C"/>
    <w:rsid w:val="00EF47F4"/>
    <w:rsid w:val="00F453AE"/>
    <w:rsid w:val="00F71A63"/>
    <w:rsid w:val="00F917B0"/>
    <w:rsid w:val="46BADD1E"/>
    <w:rsid w:val="6F04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4D42"/>
  <w15:chartTrackingRefBased/>
  <w15:docId w15:val="{AAC4583A-0B16-4FB9-8A59-4EE4388E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C7E"/>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832C7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832C7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832C7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832C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C7E"/>
  </w:style>
  <w:style w:type="paragraph" w:styleId="FootnoteText">
    <w:name w:val="footnote text"/>
    <w:basedOn w:val="Normal"/>
    <w:link w:val="FootnoteTextChar"/>
    <w:semiHidden/>
    <w:rsid w:val="00832C7E"/>
    <w:pPr>
      <w:spacing w:before="60"/>
    </w:pPr>
    <w:rPr>
      <w:sz w:val="20"/>
    </w:rPr>
  </w:style>
  <w:style w:type="character" w:customStyle="1" w:styleId="FootnoteTextChar">
    <w:name w:val="Footnote Text Char"/>
    <w:basedOn w:val="DefaultParagraphFont"/>
    <w:link w:val="FootnoteText"/>
    <w:semiHidden/>
    <w:rsid w:val="00832C7E"/>
    <w:rPr>
      <w:rFonts w:ascii="Times New Roman" w:eastAsia="MS Mincho" w:hAnsi="Times New Roman"/>
      <w:sz w:val="20"/>
      <w:szCs w:val="24"/>
      <w:lang w:val="en-GB" w:eastAsia="zh-CN"/>
    </w:rPr>
  </w:style>
  <w:style w:type="paragraph" w:styleId="Footer">
    <w:name w:val="footer"/>
    <w:basedOn w:val="Normal"/>
    <w:link w:val="FooterChar"/>
    <w:rsid w:val="00832C7E"/>
    <w:pPr>
      <w:tabs>
        <w:tab w:val="center" w:pos="4680"/>
        <w:tab w:val="right" w:pos="9360"/>
      </w:tabs>
    </w:pPr>
  </w:style>
  <w:style w:type="character" w:customStyle="1" w:styleId="FooterChar">
    <w:name w:val="Footer Char"/>
    <w:basedOn w:val="DefaultParagraphFont"/>
    <w:link w:val="Footer"/>
    <w:rsid w:val="00832C7E"/>
    <w:rPr>
      <w:rFonts w:ascii="Times New Roman" w:eastAsia="MS Mincho" w:hAnsi="Times New Roman"/>
      <w:szCs w:val="24"/>
      <w:lang w:val="en-GB" w:eastAsia="zh-CN"/>
    </w:rPr>
  </w:style>
  <w:style w:type="character" w:styleId="FootnoteReference">
    <w:name w:val="footnote reference"/>
    <w:aliases w:val="BVI fnr Carattere Char Char Char Carattere Char Char Char Char Char Char1 Char Char Char Carattere Char Char,16 Point,Superscript 6 Point,Ref,de nota al pie,Footnote Reference1,Ref1,de nota al pie1,註腳內容,11 pt,Footnote text"/>
    <w:basedOn w:val="DefaultParagraphFont"/>
    <w:link w:val="BVIfnrCarattereCharCharCharCarattereCharCharCharCharCharChar1CharCharCharCarattereChar"/>
    <w:rsid w:val="00832C7E"/>
    <w:rPr>
      <w:vertAlign w:val="superscript"/>
    </w:rPr>
  </w:style>
  <w:style w:type="character" w:styleId="Hyperlink">
    <w:name w:val="Hyperlink"/>
    <w:uiPriority w:val="99"/>
    <w:rsid w:val="008C291B"/>
    <w:rPr>
      <w:color w:val="0000FF"/>
      <w:u w:val="single"/>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rsid w:val="008C291B"/>
    <w:pPr>
      <w:spacing w:line="240" w:lineRule="exact"/>
    </w:pPr>
    <w:rPr>
      <w:rFonts w:asciiTheme="minorHAnsi" w:eastAsiaTheme="minorHAnsi" w:hAnsiTheme="minorHAnsi"/>
      <w:szCs w:val="22"/>
      <w:vertAlign w:val="superscript"/>
      <w:lang w:val="en-US" w:eastAsia="en-US"/>
    </w:rPr>
  </w:style>
  <w:style w:type="character" w:styleId="CommentReference">
    <w:name w:val="annotation reference"/>
    <w:rsid w:val="008C291B"/>
    <w:rPr>
      <w:sz w:val="16"/>
      <w:szCs w:val="16"/>
    </w:rPr>
  </w:style>
  <w:style w:type="paragraph" w:styleId="CommentText">
    <w:name w:val="annotation text"/>
    <w:basedOn w:val="Normal"/>
    <w:link w:val="CommentTextChar"/>
    <w:rsid w:val="008C291B"/>
    <w:rPr>
      <w:rFonts w:cs="Times New Roman"/>
      <w:sz w:val="20"/>
      <w:szCs w:val="20"/>
    </w:rPr>
  </w:style>
  <w:style w:type="character" w:customStyle="1" w:styleId="CommentTextChar">
    <w:name w:val="Comment Text Char"/>
    <w:basedOn w:val="DefaultParagraphFont"/>
    <w:link w:val="CommentText"/>
    <w:rsid w:val="008C291B"/>
    <w:rPr>
      <w:rFonts w:ascii="Times New Roman" w:eastAsia="MS Mincho" w:hAnsi="Times New Roman" w:cs="Times New Roman"/>
      <w:sz w:val="20"/>
      <w:szCs w:val="20"/>
      <w:lang w:val="en-GB"/>
    </w:rPr>
  </w:style>
  <w:style w:type="table" w:customStyle="1" w:styleId="TableGrid2">
    <w:name w:val="Table Grid2"/>
    <w:basedOn w:val="TableNormal"/>
    <w:next w:val="TableGrid"/>
    <w:rsid w:val="008C291B"/>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32C7E"/>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2C7E"/>
    <w:rPr>
      <w:rFonts w:ascii="Tahoma" w:hAnsi="Tahoma" w:cs="Tahoma"/>
      <w:sz w:val="16"/>
      <w:szCs w:val="16"/>
    </w:rPr>
  </w:style>
  <w:style w:type="character" w:customStyle="1" w:styleId="BalloonTextChar">
    <w:name w:val="Balloon Text Char"/>
    <w:basedOn w:val="DefaultParagraphFont"/>
    <w:link w:val="BalloonText"/>
    <w:rsid w:val="00832C7E"/>
    <w:rPr>
      <w:rFonts w:ascii="Tahoma" w:eastAsia="MS Mincho" w:hAnsi="Tahoma" w:cs="Tahoma"/>
      <w:sz w:val="16"/>
      <w:szCs w:val="16"/>
      <w:lang w:val="en-GB" w:eastAsia="zh-CN"/>
    </w:rPr>
  </w:style>
  <w:style w:type="paragraph" w:styleId="CommentSubject">
    <w:name w:val="annotation subject"/>
    <w:basedOn w:val="CommentText"/>
    <w:next w:val="CommentText"/>
    <w:link w:val="CommentSubjectChar"/>
    <w:uiPriority w:val="99"/>
    <w:semiHidden/>
    <w:unhideWhenUsed/>
    <w:rsid w:val="008C291B"/>
    <w:pPr>
      <w:spacing w:after="160"/>
      <w:jc w:val="left"/>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8C291B"/>
    <w:rPr>
      <w:rFonts w:ascii="Times New Roman" w:eastAsia="MS Mincho" w:hAnsi="Times New Roman" w:cs="Times New Roman"/>
      <w:b/>
      <w:bCs/>
      <w:sz w:val="20"/>
      <w:szCs w:val="20"/>
      <w:lang w:val="en-CA"/>
    </w:rPr>
  </w:style>
  <w:style w:type="character" w:styleId="FollowedHyperlink">
    <w:name w:val="FollowedHyperlink"/>
    <w:basedOn w:val="DefaultParagraphFont"/>
    <w:uiPriority w:val="99"/>
    <w:semiHidden/>
    <w:unhideWhenUsed/>
    <w:rsid w:val="008C291B"/>
    <w:rPr>
      <w:color w:val="954F72" w:themeColor="followedHyperlink"/>
      <w:u w:val="single"/>
    </w:rPr>
  </w:style>
  <w:style w:type="paragraph" w:customStyle="1" w:styleId="IPPParagraphnumbering">
    <w:name w:val="IPP Paragraph numbering"/>
    <w:basedOn w:val="IPPNormal"/>
    <w:qFormat/>
    <w:rsid w:val="00832C7E"/>
    <w:pPr>
      <w:numPr>
        <w:numId w:val="10"/>
      </w:numPr>
    </w:pPr>
    <w:rPr>
      <w:lang w:val="en-US"/>
    </w:rPr>
  </w:style>
  <w:style w:type="numbering" w:customStyle="1" w:styleId="IPPParagraphnumberedlist">
    <w:name w:val="IPP Paragraph numbered list"/>
    <w:rsid w:val="00832C7E"/>
    <w:pPr>
      <w:numPr>
        <w:numId w:val="9"/>
      </w:numPr>
    </w:pPr>
  </w:style>
  <w:style w:type="paragraph" w:styleId="ListParagraph">
    <w:name w:val="List Paragraph"/>
    <w:basedOn w:val="Normal"/>
    <w:uiPriority w:val="34"/>
    <w:qFormat/>
    <w:rsid w:val="00832C7E"/>
    <w:pPr>
      <w:spacing w:line="240" w:lineRule="atLeast"/>
      <w:ind w:leftChars="400" w:left="800"/>
    </w:pPr>
    <w:rPr>
      <w:rFonts w:ascii="Verdana" w:eastAsia="Times New Roman" w:hAnsi="Verdana"/>
      <w:sz w:val="20"/>
      <w:lang w:val="nl-NL" w:eastAsia="nl-NL"/>
    </w:rPr>
  </w:style>
  <w:style w:type="paragraph" w:customStyle="1" w:styleId="Default">
    <w:name w:val="Default"/>
    <w:rsid w:val="00D92415"/>
    <w:pPr>
      <w:autoSpaceDE w:val="0"/>
      <w:autoSpaceDN w:val="0"/>
      <w:adjustRightInd w:val="0"/>
      <w:spacing w:after="0" w:line="240" w:lineRule="auto"/>
    </w:pPr>
    <w:rPr>
      <w:rFonts w:ascii="Arial" w:hAnsi="Arial" w:cs="Arial"/>
      <w:color w:val="000000"/>
      <w:sz w:val="24"/>
      <w:szCs w:val="24"/>
      <w:lang w:val="en-CA"/>
    </w:rPr>
  </w:style>
  <w:style w:type="paragraph" w:styleId="Header">
    <w:name w:val="header"/>
    <w:basedOn w:val="Normal"/>
    <w:link w:val="HeaderChar"/>
    <w:rsid w:val="00832C7E"/>
    <w:pPr>
      <w:tabs>
        <w:tab w:val="center" w:pos="4680"/>
        <w:tab w:val="right" w:pos="9360"/>
      </w:tabs>
    </w:pPr>
  </w:style>
  <w:style w:type="character" w:customStyle="1" w:styleId="HeaderChar">
    <w:name w:val="Header Char"/>
    <w:basedOn w:val="DefaultParagraphFont"/>
    <w:link w:val="Header"/>
    <w:rsid w:val="00832C7E"/>
    <w:rPr>
      <w:rFonts w:ascii="Times New Roman" w:eastAsia="MS Mincho" w:hAnsi="Times New Roman"/>
      <w:szCs w:val="24"/>
      <w:lang w:val="en-GB" w:eastAsia="zh-CN"/>
    </w:rPr>
  </w:style>
  <w:style w:type="character" w:customStyle="1" w:styleId="Heading1Char">
    <w:name w:val="Heading 1 Char"/>
    <w:basedOn w:val="DefaultParagraphFont"/>
    <w:link w:val="Heading1"/>
    <w:rsid w:val="00832C7E"/>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832C7E"/>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832C7E"/>
    <w:rPr>
      <w:rFonts w:ascii="Calibri" w:eastAsia="MS Mincho" w:hAnsi="Calibri"/>
      <w:b/>
      <w:bCs/>
      <w:sz w:val="26"/>
      <w:szCs w:val="26"/>
      <w:lang w:val="en-GB" w:eastAsia="zh-CN"/>
    </w:rPr>
  </w:style>
  <w:style w:type="paragraph" w:customStyle="1" w:styleId="Style">
    <w:name w:val="Style"/>
    <w:basedOn w:val="Footer"/>
    <w:autoRedefine/>
    <w:qFormat/>
    <w:rsid w:val="00832C7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832C7E"/>
    <w:rPr>
      <w:rFonts w:ascii="Arial" w:hAnsi="Arial"/>
      <w:b/>
      <w:sz w:val="18"/>
    </w:rPr>
  </w:style>
  <w:style w:type="paragraph" w:customStyle="1" w:styleId="IPPArialFootnote">
    <w:name w:val="IPP Arial Footnote"/>
    <w:basedOn w:val="IPPArialTable"/>
    <w:qFormat/>
    <w:rsid w:val="00832C7E"/>
    <w:pPr>
      <w:tabs>
        <w:tab w:val="left" w:pos="28"/>
      </w:tabs>
      <w:ind w:left="284" w:hanging="284"/>
    </w:pPr>
    <w:rPr>
      <w:sz w:val="16"/>
    </w:rPr>
  </w:style>
  <w:style w:type="paragraph" w:customStyle="1" w:styleId="IPPContentsHead">
    <w:name w:val="IPP ContentsHead"/>
    <w:basedOn w:val="IPPSubhead"/>
    <w:next w:val="IPPNormal"/>
    <w:qFormat/>
    <w:rsid w:val="00832C7E"/>
    <w:pPr>
      <w:spacing w:after="240"/>
    </w:pPr>
    <w:rPr>
      <w:sz w:val="24"/>
    </w:rPr>
  </w:style>
  <w:style w:type="paragraph" w:customStyle="1" w:styleId="IPPBullet2">
    <w:name w:val="IPP Bullet2"/>
    <w:basedOn w:val="IPPNormal"/>
    <w:next w:val="IPPBullet1"/>
    <w:qFormat/>
    <w:rsid w:val="00832C7E"/>
    <w:pPr>
      <w:numPr>
        <w:numId w:val="32"/>
      </w:numPr>
      <w:tabs>
        <w:tab w:val="left" w:pos="1134"/>
      </w:tabs>
      <w:spacing w:after="60"/>
    </w:pPr>
  </w:style>
  <w:style w:type="paragraph" w:customStyle="1" w:styleId="IPPQuote">
    <w:name w:val="IPP Quote"/>
    <w:basedOn w:val="IPPNormal"/>
    <w:qFormat/>
    <w:rsid w:val="00832C7E"/>
    <w:pPr>
      <w:ind w:left="851" w:right="851"/>
    </w:pPr>
    <w:rPr>
      <w:sz w:val="18"/>
    </w:rPr>
  </w:style>
  <w:style w:type="paragraph" w:customStyle="1" w:styleId="IPPNormal">
    <w:name w:val="IPP Normal"/>
    <w:basedOn w:val="Normal"/>
    <w:link w:val="IPPNormalChar"/>
    <w:qFormat/>
    <w:rsid w:val="00832C7E"/>
    <w:pPr>
      <w:spacing w:after="180"/>
    </w:pPr>
    <w:rPr>
      <w:rFonts w:eastAsia="Times"/>
    </w:rPr>
  </w:style>
  <w:style w:type="paragraph" w:customStyle="1" w:styleId="IPPIndentClose">
    <w:name w:val="IPP Indent Close"/>
    <w:basedOn w:val="IPPNormal"/>
    <w:qFormat/>
    <w:rsid w:val="00832C7E"/>
    <w:pPr>
      <w:tabs>
        <w:tab w:val="left" w:pos="2835"/>
      </w:tabs>
      <w:spacing w:after="60"/>
      <w:ind w:left="567"/>
    </w:pPr>
  </w:style>
  <w:style w:type="paragraph" w:customStyle="1" w:styleId="IPPIndent">
    <w:name w:val="IPP Indent"/>
    <w:basedOn w:val="IPPIndentClose"/>
    <w:qFormat/>
    <w:rsid w:val="00832C7E"/>
    <w:pPr>
      <w:spacing w:after="180"/>
    </w:pPr>
  </w:style>
  <w:style w:type="paragraph" w:customStyle="1" w:styleId="IPPFootnote">
    <w:name w:val="IPP Footnote"/>
    <w:basedOn w:val="IPPArialFootnote"/>
    <w:qFormat/>
    <w:rsid w:val="00832C7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832C7E"/>
    <w:pPr>
      <w:keepNext/>
      <w:tabs>
        <w:tab w:val="left" w:pos="567"/>
      </w:tabs>
      <w:spacing w:before="120" w:after="120"/>
      <w:ind w:left="567" w:hanging="567"/>
    </w:pPr>
    <w:rPr>
      <w:b/>
      <w:i/>
    </w:rPr>
  </w:style>
  <w:style w:type="character" w:customStyle="1" w:styleId="IPPnormalitalics">
    <w:name w:val="IPP normal italics"/>
    <w:basedOn w:val="DefaultParagraphFont"/>
    <w:rsid w:val="00832C7E"/>
    <w:rPr>
      <w:rFonts w:ascii="Times New Roman" w:hAnsi="Times New Roman"/>
      <w:i/>
      <w:sz w:val="22"/>
      <w:lang w:val="en-US"/>
    </w:rPr>
  </w:style>
  <w:style w:type="character" w:customStyle="1" w:styleId="IPPNormalbold">
    <w:name w:val="IPP Normal bold"/>
    <w:basedOn w:val="PlainTextChar"/>
    <w:rsid w:val="00832C7E"/>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832C7E"/>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832C7E"/>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832C7E"/>
    <w:pPr>
      <w:keepNext/>
      <w:ind w:left="567" w:hanging="567"/>
      <w:jc w:val="left"/>
    </w:pPr>
    <w:rPr>
      <w:b/>
      <w:bCs/>
      <w:iCs/>
      <w:szCs w:val="22"/>
    </w:rPr>
  </w:style>
  <w:style w:type="character" w:customStyle="1" w:styleId="IPPNormalunderlined">
    <w:name w:val="IPP Normal underlined"/>
    <w:basedOn w:val="DefaultParagraphFont"/>
    <w:rsid w:val="00832C7E"/>
    <w:rPr>
      <w:rFonts w:ascii="Times New Roman" w:hAnsi="Times New Roman"/>
      <w:sz w:val="22"/>
      <w:u w:val="single"/>
      <w:lang w:val="en-US"/>
    </w:rPr>
  </w:style>
  <w:style w:type="paragraph" w:customStyle="1" w:styleId="IPPBullet1">
    <w:name w:val="IPP Bullet1"/>
    <w:basedOn w:val="IPPBullet1Last"/>
    <w:qFormat/>
    <w:rsid w:val="00832C7E"/>
    <w:pPr>
      <w:numPr>
        <w:numId w:val="39"/>
      </w:numPr>
      <w:spacing w:after="60"/>
    </w:pPr>
    <w:rPr>
      <w:lang w:val="en-US"/>
    </w:rPr>
  </w:style>
  <w:style w:type="paragraph" w:customStyle="1" w:styleId="IPPBullet1Last">
    <w:name w:val="IPP Bullet1Last"/>
    <w:basedOn w:val="IPPNormal"/>
    <w:next w:val="IPPNormal"/>
    <w:autoRedefine/>
    <w:qFormat/>
    <w:rsid w:val="00832C7E"/>
    <w:pPr>
      <w:numPr>
        <w:numId w:val="33"/>
      </w:numPr>
    </w:pPr>
  </w:style>
  <w:style w:type="character" w:customStyle="1" w:styleId="IPPNormalstrikethrough">
    <w:name w:val="IPP Normal strikethrough"/>
    <w:rsid w:val="00832C7E"/>
    <w:rPr>
      <w:rFonts w:ascii="Times New Roman" w:hAnsi="Times New Roman"/>
      <w:strike/>
      <w:dstrike w:val="0"/>
      <w:sz w:val="22"/>
    </w:rPr>
  </w:style>
  <w:style w:type="paragraph" w:customStyle="1" w:styleId="IPPTitle16pt">
    <w:name w:val="IPP Title16pt"/>
    <w:basedOn w:val="Normal"/>
    <w:qFormat/>
    <w:rsid w:val="00832C7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832C7E"/>
    <w:pPr>
      <w:spacing w:after="360"/>
      <w:jc w:val="center"/>
    </w:pPr>
    <w:rPr>
      <w:rFonts w:ascii="Arial" w:hAnsi="Arial" w:cs="Arial"/>
      <w:b/>
      <w:bCs/>
      <w:sz w:val="36"/>
      <w:szCs w:val="36"/>
    </w:rPr>
  </w:style>
  <w:style w:type="paragraph" w:customStyle="1" w:styleId="IPPHeader">
    <w:name w:val="IPP Header"/>
    <w:basedOn w:val="Normal"/>
    <w:qFormat/>
    <w:rsid w:val="00832C7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832C7E"/>
    <w:pPr>
      <w:keepNext/>
      <w:tabs>
        <w:tab w:val="left" w:pos="567"/>
      </w:tabs>
      <w:spacing w:before="120"/>
      <w:jc w:val="left"/>
      <w:outlineLvl w:val="1"/>
    </w:pPr>
    <w:rPr>
      <w:b/>
      <w:sz w:val="24"/>
    </w:rPr>
  </w:style>
  <w:style w:type="paragraph" w:customStyle="1" w:styleId="IPPNormalCloseSpace">
    <w:name w:val="IPP NormalCloseSpace"/>
    <w:basedOn w:val="Normal"/>
    <w:qFormat/>
    <w:rsid w:val="00832C7E"/>
    <w:pPr>
      <w:keepNext/>
      <w:spacing w:after="60"/>
    </w:pPr>
  </w:style>
  <w:style w:type="paragraph" w:customStyle="1" w:styleId="IPPHeading2">
    <w:name w:val="IPP Heading2"/>
    <w:basedOn w:val="IPPNormal"/>
    <w:next w:val="IPPNormal"/>
    <w:qFormat/>
    <w:rsid w:val="00832C7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832C7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832C7E"/>
    <w:pPr>
      <w:tabs>
        <w:tab w:val="right" w:leader="dot" w:pos="9072"/>
      </w:tabs>
      <w:spacing w:before="240"/>
      <w:ind w:left="567" w:hanging="567"/>
    </w:pPr>
  </w:style>
  <w:style w:type="paragraph" w:styleId="TOC2">
    <w:name w:val="toc 2"/>
    <w:basedOn w:val="TOC1"/>
    <w:next w:val="Normal"/>
    <w:autoRedefine/>
    <w:uiPriority w:val="39"/>
    <w:rsid w:val="00832C7E"/>
    <w:pPr>
      <w:keepNext w:val="0"/>
      <w:tabs>
        <w:tab w:val="left" w:pos="425"/>
      </w:tabs>
      <w:spacing w:before="120" w:after="0"/>
      <w:ind w:left="425" w:right="284" w:hanging="425"/>
    </w:pPr>
  </w:style>
  <w:style w:type="paragraph" w:styleId="TOC3">
    <w:name w:val="toc 3"/>
    <w:basedOn w:val="TOC2"/>
    <w:next w:val="Normal"/>
    <w:autoRedefine/>
    <w:uiPriority w:val="39"/>
    <w:rsid w:val="00832C7E"/>
    <w:pPr>
      <w:tabs>
        <w:tab w:val="left" w:pos="1276"/>
      </w:tabs>
      <w:spacing w:before="60"/>
      <w:ind w:left="1276" w:hanging="851"/>
    </w:pPr>
    <w:rPr>
      <w:rFonts w:eastAsia="Times"/>
    </w:rPr>
  </w:style>
  <w:style w:type="paragraph" w:styleId="TOC4">
    <w:name w:val="toc 4"/>
    <w:basedOn w:val="Normal"/>
    <w:next w:val="Normal"/>
    <w:autoRedefine/>
    <w:uiPriority w:val="39"/>
    <w:rsid w:val="00832C7E"/>
    <w:pPr>
      <w:spacing w:after="120"/>
      <w:ind w:left="660"/>
    </w:pPr>
    <w:rPr>
      <w:rFonts w:eastAsia="Times"/>
      <w:lang w:val="en-AU"/>
    </w:rPr>
  </w:style>
  <w:style w:type="paragraph" w:styleId="TOC5">
    <w:name w:val="toc 5"/>
    <w:basedOn w:val="Normal"/>
    <w:next w:val="Normal"/>
    <w:autoRedefine/>
    <w:uiPriority w:val="39"/>
    <w:rsid w:val="00832C7E"/>
    <w:pPr>
      <w:spacing w:after="120"/>
      <w:ind w:left="880"/>
    </w:pPr>
    <w:rPr>
      <w:rFonts w:eastAsia="Times"/>
      <w:lang w:val="en-AU"/>
    </w:rPr>
  </w:style>
  <w:style w:type="paragraph" w:styleId="TOC6">
    <w:name w:val="toc 6"/>
    <w:basedOn w:val="Normal"/>
    <w:next w:val="Normal"/>
    <w:autoRedefine/>
    <w:uiPriority w:val="39"/>
    <w:rsid w:val="00832C7E"/>
    <w:pPr>
      <w:spacing w:after="120"/>
      <w:ind w:left="1100"/>
    </w:pPr>
    <w:rPr>
      <w:rFonts w:eastAsia="Times"/>
      <w:lang w:val="en-AU"/>
    </w:rPr>
  </w:style>
  <w:style w:type="paragraph" w:styleId="TOC7">
    <w:name w:val="toc 7"/>
    <w:basedOn w:val="Normal"/>
    <w:next w:val="Normal"/>
    <w:autoRedefine/>
    <w:uiPriority w:val="39"/>
    <w:rsid w:val="00832C7E"/>
    <w:pPr>
      <w:spacing w:after="120"/>
      <w:ind w:left="1320"/>
    </w:pPr>
    <w:rPr>
      <w:rFonts w:eastAsia="Times"/>
      <w:lang w:val="en-AU"/>
    </w:rPr>
  </w:style>
  <w:style w:type="paragraph" w:styleId="TOC8">
    <w:name w:val="toc 8"/>
    <w:basedOn w:val="Normal"/>
    <w:next w:val="Normal"/>
    <w:autoRedefine/>
    <w:uiPriority w:val="39"/>
    <w:rsid w:val="00832C7E"/>
    <w:pPr>
      <w:spacing w:after="120"/>
      <w:ind w:left="1540"/>
    </w:pPr>
    <w:rPr>
      <w:rFonts w:eastAsia="Times"/>
      <w:lang w:val="en-AU"/>
    </w:rPr>
  </w:style>
  <w:style w:type="paragraph" w:styleId="TOC9">
    <w:name w:val="toc 9"/>
    <w:basedOn w:val="Normal"/>
    <w:next w:val="Normal"/>
    <w:autoRedefine/>
    <w:uiPriority w:val="39"/>
    <w:rsid w:val="00832C7E"/>
    <w:pPr>
      <w:spacing w:after="120"/>
      <w:ind w:left="1760"/>
    </w:pPr>
    <w:rPr>
      <w:rFonts w:eastAsia="Times"/>
      <w:lang w:val="en-AU"/>
    </w:rPr>
  </w:style>
  <w:style w:type="paragraph" w:customStyle="1" w:styleId="IPPReferences">
    <w:name w:val="IPP References"/>
    <w:basedOn w:val="IPPNormal"/>
    <w:qFormat/>
    <w:rsid w:val="00832C7E"/>
    <w:pPr>
      <w:spacing w:after="60"/>
      <w:ind w:left="567" w:hanging="567"/>
    </w:pPr>
  </w:style>
  <w:style w:type="paragraph" w:customStyle="1" w:styleId="IPPArial">
    <w:name w:val="IPP Arial"/>
    <w:basedOn w:val="IPPNormal"/>
    <w:qFormat/>
    <w:rsid w:val="00832C7E"/>
    <w:pPr>
      <w:spacing w:after="0"/>
    </w:pPr>
    <w:rPr>
      <w:rFonts w:ascii="Arial" w:hAnsi="Arial"/>
      <w:sz w:val="18"/>
    </w:rPr>
  </w:style>
  <w:style w:type="paragraph" w:customStyle="1" w:styleId="IPPArialTable">
    <w:name w:val="IPP Arial Table"/>
    <w:basedOn w:val="IPPArial"/>
    <w:qFormat/>
    <w:rsid w:val="00832C7E"/>
    <w:pPr>
      <w:spacing w:before="60" w:after="60"/>
      <w:jc w:val="left"/>
    </w:pPr>
  </w:style>
  <w:style w:type="paragraph" w:customStyle="1" w:styleId="IPPHeaderlandscape">
    <w:name w:val="IPP Header landscape"/>
    <w:basedOn w:val="IPPHeader"/>
    <w:qFormat/>
    <w:rsid w:val="00832C7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832C7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832C7E"/>
    <w:rPr>
      <w:rFonts w:ascii="Courier" w:eastAsia="Times" w:hAnsi="Courier"/>
      <w:sz w:val="21"/>
      <w:szCs w:val="21"/>
      <w:lang w:val="en-AU" w:eastAsia="zh-CN"/>
    </w:rPr>
  </w:style>
  <w:style w:type="paragraph" w:customStyle="1" w:styleId="IPPLetterList">
    <w:name w:val="IPP LetterList"/>
    <w:basedOn w:val="IPPBullet2"/>
    <w:qFormat/>
    <w:rsid w:val="00832C7E"/>
    <w:pPr>
      <w:numPr>
        <w:numId w:val="29"/>
      </w:numPr>
      <w:jc w:val="left"/>
    </w:pPr>
  </w:style>
  <w:style w:type="paragraph" w:customStyle="1" w:styleId="IPPLetterListIndent">
    <w:name w:val="IPP LetterList Indent"/>
    <w:basedOn w:val="IPPLetterList"/>
    <w:qFormat/>
    <w:rsid w:val="00832C7E"/>
    <w:pPr>
      <w:numPr>
        <w:numId w:val="30"/>
      </w:numPr>
    </w:pPr>
  </w:style>
  <w:style w:type="paragraph" w:customStyle="1" w:styleId="IPPFooterLandscape">
    <w:name w:val="IPP Footer Landscape"/>
    <w:basedOn w:val="IPPHeaderlandscape"/>
    <w:qFormat/>
    <w:rsid w:val="00832C7E"/>
    <w:pPr>
      <w:pBdr>
        <w:top w:val="single" w:sz="4" w:space="1" w:color="auto"/>
        <w:bottom w:val="none" w:sz="0" w:space="0" w:color="auto"/>
      </w:pBdr>
      <w:jc w:val="right"/>
    </w:pPr>
    <w:rPr>
      <w:b/>
    </w:rPr>
  </w:style>
  <w:style w:type="paragraph" w:customStyle="1" w:styleId="IPPSubheadSpace">
    <w:name w:val="IPP Subhead Space"/>
    <w:basedOn w:val="IPPSubhead"/>
    <w:qFormat/>
    <w:rsid w:val="00832C7E"/>
    <w:pPr>
      <w:tabs>
        <w:tab w:val="left" w:pos="567"/>
      </w:tabs>
      <w:spacing w:before="60" w:after="60"/>
    </w:pPr>
  </w:style>
  <w:style w:type="paragraph" w:customStyle="1" w:styleId="IPPSubheadSpaceAfter">
    <w:name w:val="IPP Subhead SpaceAfter"/>
    <w:basedOn w:val="IPPSubhead"/>
    <w:qFormat/>
    <w:rsid w:val="00832C7E"/>
    <w:pPr>
      <w:spacing w:after="60"/>
    </w:pPr>
  </w:style>
  <w:style w:type="paragraph" w:customStyle="1" w:styleId="IPPHdg1Num">
    <w:name w:val="IPP Hdg1Num"/>
    <w:basedOn w:val="IPPHeading1"/>
    <w:next w:val="IPPNormal"/>
    <w:qFormat/>
    <w:rsid w:val="00832C7E"/>
    <w:pPr>
      <w:numPr>
        <w:numId w:val="34"/>
      </w:numPr>
    </w:pPr>
  </w:style>
  <w:style w:type="paragraph" w:customStyle="1" w:styleId="IPPHdg2Num">
    <w:name w:val="IPP Hdg2Num"/>
    <w:basedOn w:val="IPPHeading2"/>
    <w:next w:val="IPPNormal"/>
    <w:qFormat/>
    <w:rsid w:val="00832C7E"/>
    <w:pPr>
      <w:numPr>
        <w:ilvl w:val="1"/>
        <w:numId w:val="35"/>
      </w:numPr>
    </w:pPr>
  </w:style>
  <w:style w:type="paragraph" w:customStyle="1" w:styleId="IPPNumberedList">
    <w:name w:val="IPP NumberedList"/>
    <w:basedOn w:val="IPPBullet1"/>
    <w:qFormat/>
    <w:rsid w:val="00832C7E"/>
    <w:pPr>
      <w:numPr>
        <w:numId w:val="37"/>
      </w:numPr>
    </w:pPr>
  </w:style>
  <w:style w:type="character" w:styleId="Strong">
    <w:name w:val="Strong"/>
    <w:basedOn w:val="DefaultParagraphFont"/>
    <w:qFormat/>
    <w:rsid w:val="00832C7E"/>
    <w:rPr>
      <w:b/>
      <w:bCs/>
    </w:rPr>
  </w:style>
  <w:style w:type="paragraph" w:customStyle="1" w:styleId="IPPParagraphnumberingclose">
    <w:name w:val="IPP Paragraph numbering close"/>
    <w:basedOn w:val="IPPParagraphnumbering"/>
    <w:qFormat/>
    <w:rsid w:val="00832C7E"/>
    <w:pPr>
      <w:keepNext/>
      <w:numPr>
        <w:numId w:val="0"/>
      </w:numPr>
      <w:spacing w:after="60"/>
    </w:pPr>
  </w:style>
  <w:style w:type="paragraph" w:customStyle="1" w:styleId="IPPNumberedListLast">
    <w:name w:val="IPP NumberedListLast"/>
    <w:basedOn w:val="IPPNumberedList"/>
    <w:qFormat/>
    <w:rsid w:val="00832C7E"/>
    <w:pPr>
      <w:numPr>
        <w:numId w:val="0"/>
      </w:numPr>
      <w:spacing w:after="180"/>
    </w:pPr>
  </w:style>
  <w:style w:type="paragraph" w:customStyle="1" w:styleId="IPPPargraphnumbering">
    <w:name w:val="IPP Pargraph numbering"/>
    <w:basedOn w:val="IPPNormal"/>
    <w:qFormat/>
    <w:rsid w:val="00832C7E"/>
    <w:pPr>
      <w:tabs>
        <w:tab w:val="num" w:pos="360"/>
      </w:tabs>
    </w:pPr>
    <w:rPr>
      <w:rFonts w:cs="Times New Roman"/>
      <w:lang w:val="en-US"/>
    </w:rPr>
  </w:style>
  <w:style w:type="character" w:customStyle="1" w:styleId="IPPNormalChar">
    <w:name w:val="IPP Normal Char"/>
    <w:link w:val="IPPNormal"/>
    <w:rsid w:val="00832C7E"/>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20180">
      <w:bodyDiv w:val="1"/>
      <w:marLeft w:val="0"/>
      <w:marRight w:val="0"/>
      <w:marTop w:val="0"/>
      <w:marBottom w:val="0"/>
      <w:divBdr>
        <w:top w:val="none" w:sz="0" w:space="0" w:color="auto"/>
        <w:left w:val="none" w:sz="0" w:space="0" w:color="auto"/>
        <w:bottom w:val="none" w:sz="0" w:space="0" w:color="auto"/>
        <w:right w:val="none" w:sz="0" w:space="0" w:color="auto"/>
      </w:divBdr>
    </w:div>
    <w:div w:id="1117139759">
      <w:bodyDiv w:val="1"/>
      <w:marLeft w:val="0"/>
      <w:marRight w:val="0"/>
      <w:marTop w:val="0"/>
      <w:marBottom w:val="0"/>
      <w:divBdr>
        <w:top w:val="none" w:sz="0" w:space="0" w:color="auto"/>
        <w:left w:val="none" w:sz="0" w:space="0" w:color="auto"/>
        <w:bottom w:val="none" w:sz="0" w:space="0" w:color="auto"/>
        <w:right w:val="none" w:sz="0" w:space="0" w:color="auto"/>
      </w:divBdr>
    </w:div>
    <w:div w:id="1476919590">
      <w:bodyDiv w:val="1"/>
      <w:marLeft w:val="0"/>
      <w:marRight w:val="0"/>
      <w:marTop w:val="0"/>
      <w:marBottom w:val="0"/>
      <w:divBdr>
        <w:top w:val="none" w:sz="0" w:space="0" w:color="auto"/>
        <w:left w:val="none" w:sz="0" w:space="0" w:color="auto"/>
        <w:bottom w:val="none" w:sz="0" w:space="0" w:color="auto"/>
        <w:right w:val="none" w:sz="0" w:space="0" w:color="auto"/>
      </w:divBdr>
    </w:div>
    <w:div w:id="1510950739">
      <w:bodyDiv w:val="1"/>
      <w:marLeft w:val="0"/>
      <w:marRight w:val="0"/>
      <w:marTop w:val="0"/>
      <w:marBottom w:val="0"/>
      <w:divBdr>
        <w:top w:val="none" w:sz="0" w:space="0" w:color="auto"/>
        <w:left w:val="none" w:sz="0" w:space="0" w:color="auto"/>
        <w:bottom w:val="none" w:sz="0" w:space="0" w:color="auto"/>
        <w:right w:val="none" w:sz="0" w:space="0" w:color="auto"/>
      </w:divBdr>
    </w:div>
    <w:div w:id="1835367563">
      <w:bodyDiv w:val="1"/>
      <w:marLeft w:val="0"/>
      <w:marRight w:val="0"/>
      <w:marTop w:val="0"/>
      <w:marBottom w:val="0"/>
      <w:divBdr>
        <w:top w:val="none" w:sz="0" w:space="0" w:color="auto"/>
        <w:left w:val="none" w:sz="0" w:space="0" w:color="auto"/>
        <w:bottom w:val="none" w:sz="0" w:space="0" w:color="auto"/>
        <w:right w:val="none" w:sz="0" w:space="0" w:color="auto"/>
      </w:divBdr>
    </w:div>
    <w:div w:id="18841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8b935242ec7143de"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382f71cd2dd14e28"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ppc.int/en/partners/wco/publications/2019/03/joint-work-plan-between-the-wco-and-the-ippc-secretarait/" TargetMode="External"/><Relationship Id="rId3" Type="http://schemas.openxmlformats.org/officeDocument/2006/relationships/hyperlink" Target="https://www.ippc.int/en/core-activities/governance/cpm/scientific-sessions-during-commission-phytosanitary-measures/2017-e-commerce-internet-trade-of-plants/" TargetMode="External"/><Relationship Id="rId7" Type="http://schemas.openxmlformats.org/officeDocument/2006/relationships/hyperlink" Target="https://www.ippc.int/en/publications/88046/" TargetMode="External"/><Relationship Id="rId2" Type="http://schemas.openxmlformats.org/officeDocument/2006/relationships/hyperlink" Target="https://www.ippc.int/en/publications/84232/" TargetMode="External"/><Relationship Id="rId1" Type="http://schemas.openxmlformats.org/officeDocument/2006/relationships/hyperlink" Target="https://www.ippc.int/en/publications/88125/" TargetMode="External"/><Relationship Id="rId6" Type="http://schemas.openxmlformats.org/officeDocument/2006/relationships/hyperlink" Target="https://www.ippc.int/en/core-activities/standards-setting/list-topics-ippc-standards/list" TargetMode="External"/><Relationship Id="rId5" Type="http://schemas.openxmlformats.org/officeDocument/2006/relationships/hyperlink" Target="https://www.ippc.int/en/publications/86924/" TargetMode="External"/><Relationship Id="rId10" Type="http://schemas.openxmlformats.org/officeDocument/2006/relationships/hyperlink" Target="https://www.ippc.int/en/publications/86924/" TargetMode="External"/><Relationship Id="rId4" Type="http://schemas.openxmlformats.org/officeDocument/2006/relationships/hyperlink" Target="https://www.ippc.int/en/publications/86993/" TargetMode="External"/><Relationship Id="rId9" Type="http://schemas.openxmlformats.org/officeDocument/2006/relationships/hyperlink" Target="https://www.ippc.int/en/publications/88126/"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110F-C977-450E-BBF3-46728389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9</TotalTime>
  <Pages>5</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dc:creator>
  <cp:keywords/>
  <dc:description/>
  <cp:lastModifiedBy>Lahti, Tanja (AGDD)</cp:lastModifiedBy>
  <cp:revision>6</cp:revision>
  <dcterms:created xsi:type="dcterms:W3CDTF">2020-09-26T13:50:00Z</dcterms:created>
  <dcterms:modified xsi:type="dcterms:W3CDTF">2020-09-26T20:37:00Z</dcterms:modified>
</cp:coreProperties>
</file>