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53B01" w14:textId="11A5718D" w:rsidR="002C2989" w:rsidRPr="00B4252E" w:rsidRDefault="00E6063A" w:rsidP="00B4252E">
      <w:pPr>
        <w:jc w:val="center"/>
        <w:rPr>
          <w:rFonts w:cs="Times New Roman"/>
          <w:b/>
          <w:sz w:val="24"/>
        </w:rPr>
      </w:pPr>
      <w:r w:rsidRPr="00E6063A">
        <w:rPr>
          <w:rFonts w:cs="Times New Roman"/>
          <w:b/>
          <w:sz w:val="24"/>
        </w:rPr>
        <w:t>IPPC STRATEGIC FRAMEWORK 2020-2030 DEVELOPMENT PROGRAMME</w:t>
      </w:r>
      <w:r>
        <w:rPr>
          <w:rFonts w:cs="Times New Roman"/>
          <w:b/>
          <w:sz w:val="24"/>
        </w:rPr>
        <w:t>:</w:t>
      </w:r>
      <w:r w:rsidRPr="00E6063A">
        <w:rPr>
          <w:rFonts w:cs="Times New Roman"/>
          <w:b/>
          <w:sz w:val="24"/>
        </w:rPr>
        <w:t xml:space="preserve"> </w:t>
      </w:r>
      <w:r>
        <w:rPr>
          <w:rFonts w:cs="Times New Roman"/>
          <w:b/>
          <w:sz w:val="24"/>
        </w:rPr>
        <w:t>ADVANCING WITH</w:t>
      </w:r>
      <w:r w:rsidRPr="00B4252E">
        <w:rPr>
          <w:rFonts w:cs="Times New Roman"/>
          <w:b/>
          <w:sz w:val="24"/>
        </w:rPr>
        <w:t xml:space="preserve"> </w:t>
      </w:r>
      <w:r>
        <w:rPr>
          <w:rFonts w:cs="Times New Roman"/>
          <w:b/>
          <w:sz w:val="24"/>
        </w:rPr>
        <w:t xml:space="preserve">IPPC </w:t>
      </w:r>
      <w:r w:rsidRPr="00B4252E">
        <w:rPr>
          <w:rFonts w:cs="Times New Roman"/>
          <w:b/>
          <w:sz w:val="24"/>
        </w:rPr>
        <w:t xml:space="preserve">COMMODITY </w:t>
      </w:r>
      <w:r>
        <w:rPr>
          <w:rFonts w:cs="Times New Roman"/>
          <w:b/>
          <w:sz w:val="24"/>
        </w:rPr>
        <w:t>S</w:t>
      </w:r>
      <w:r w:rsidRPr="00B4252E">
        <w:rPr>
          <w:rFonts w:cs="Times New Roman"/>
          <w:b/>
          <w:sz w:val="24"/>
        </w:rPr>
        <w:t>TANDARDS</w:t>
      </w:r>
    </w:p>
    <w:p w14:paraId="2C556C95" w14:textId="77777777" w:rsidR="00B4252E" w:rsidRPr="00CF79A8" w:rsidRDefault="00840EE6" w:rsidP="00B4252E">
      <w:pPr>
        <w:jc w:val="center"/>
        <w:rPr>
          <w:rFonts w:cs="Times New Roman"/>
          <w:i/>
        </w:rPr>
      </w:pPr>
      <w:r w:rsidRPr="00CF79A8">
        <w:rPr>
          <w:rFonts w:cs="Times New Roman"/>
          <w:i/>
        </w:rPr>
        <w:t>(Prepared by IPPC Secretariat</w:t>
      </w:r>
      <w:r w:rsidR="00B4252E" w:rsidRPr="00CF79A8">
        <w:rPr>
          <w:rFonts w:cs="Times New Roman"/>
          <w:i/>
        </w:rPr>
        <w:t>)</w:t>
      </w:r>
    </w:p>
    <w:p w14:paraId="64335416" w14:textId="77777777" w:rsidR="00B4252E" w:rsidRPr="00B4252E" w:rsidRDefault="00B4252E">
      <w:pPr>
        <w:rPr>
          <w:rFonts w:cs="Times New Roman"/>
        </w:rPr>
      </w:pPr>
    </w:p>
    <w:p w14:paraId="202DC688" w14:textId="08304F3B" w:rsidR="00F64299" w:rsidRPr="00F64299" w:rsidRDefault="002823E2" w:rsidP="002823E2">
      <w:pPr>
        <w:pStyle w:val="IPPHeading1"/>
      </w:pPr>
      <w:r w:rsidRPr="002823E2">
        <w:t>1.</w:t>
      </w:r>
      <w:r>
        <w:tab/>
      </w:r>
      <w:r w:rsidR="00CF79A8">
        <w:t>INTRODUCTION</w:t>
      </w:r>
    </w:p>
    <w:p w14:paraId="17261086" w14:textId="3629FB84" w:rsidR="00065BF5" w:rsidRDefault="00065BF5" w:rsidP="0022210E">
      <w:pPr>
        <w:pStyle w:val="IPPParagraphnumbering"/>
      </w:pPr>
      <w:r w:rsidRPr="00065BF5">
        <w:t xml:space="preserve">A key element of the </w:t>
      </w:r>
      <w:r w:rsidR="00602A3C">
        <w:t>International Plant Protection Convention (</w:t>
      </w:r>
      <w:r w:rsidRPr="00065BF5">
        <w:t>IPPC</w:t>
      </w:r>
      <w:r w:rsidR="00602A3C">
        <w:t>)</w:t>
      </w:r>
      <w:r w:rsidRPr="00065BF5">
        <w:t>’s work is to safeguard plant-based agriculture</w:t>
      </w:r>
      <w:r w:rsidR="00E0428E">
        <w:t>,</w:t>
      </w:r>
      <w:r w:rsidRPr="00065BF5">
        <w:t xml:space="preserve"> the environment, and to facilitate safe trade. As part of this effort, the new IPPC Strategic Framework 2002-2030 includes</w:t>
      </w:r>
      <w:r w:rsidR="003C15C3">
        <w:t xml:space="preserve"> the development of</w:t>
      </w:r>
      <w:r w:rsidRPr="00065BF5">
        <w:t xml:space="preserve"> commodity and pathway specific standards.</w:t>
      </w:r>
      <w:r>
        <w:t xml:space="preserve"> </w:t>
      </w:r>
      <w:r w:rsidR="00CF79A8">
        <w:t>An expected key result area is that by 2030 c</w:t>
      </w:r>
      <w:r w:rsidR="00CF79A8" w:rsidRPr="00F178A4">
        <w:t>ommodity</w:t>
      </w:r>
      <w:r w:rsidR="00CF79A8">
        <w:t>-</w:t>
      </w:r>
      <w:r w:rsidR="00CF79A8" w:rsidRPr="00F178A4">
        <w:t>specific standards</w:t>
      </w:r>
      <w:r w:rsidR="00CF79A8">
        <w:t>,</w:t>
      </w:r>
      <w:r w:rsidR="00CF79A8" w:rsidRPr="00F178A4">
        <w:t xml:space="preserve"> with harmoni</w:t>
      </w:r>
      <w:r w:rsidR="00CF79A8">
        <w:t>z</w:t>
      </w:r>
      <w:r w:rsidR="00CF79A8" w:rsidRPr="00F178A4">
        <w:t>ed phytosanitary measures</w:t>
      </w:r>
      <w:r w:rsidR="00CF79A8">
        <w:t>,</w:t>
      </w:r>
      <w:r w:rsidR="00CF79A8" w:rsidRPr="00F178A4">
        <w:t xml:space="preserve"> have facilitated and accelerated trade negotiations and simplified safe trade in plant products. </w:t>
      </w:r>
      <w:r>
        <w:t xml:space="preserve"> </w:t>
      </w:r>
    </w:p>
    <w:p w14:paraId="2A54923D" w14:textId="4F7F14FA" w:rsidR="00862862" w:rsidRDefault="00CF79A8" w:rsidP="0022210E">
      <w:pPr>
        <w:pStyle w:val="IPPParagraphnumbering"/>
      </w:pPr>
      <w:r>
        <w:t>It is known that i</w:t>
      </w:r>
      <w:r w:rsidR="00065BF5" w:rsidRPr="00065BF5">
        <w:t>nternational trade supports economic growth and development, helping to reduce poverty around the world. Significant advances in the facilitation of safe trade can be made through the development and adoption of commodity-based international standards for phyto</w:t>
      </w:r>
      <w:r w:rsidR="001D4E41">
        <w:t>sanitary measures (ISPMs)</w:t>
      </w:r>
      <w:r w:rsidR="00065BF5" w:rsidRPr="00065BF5">
        <w:t xml:space="preserve"> </w:t>
      </w:r>
      <w:r w:rsidR="00862862" w:rsidRPr="00F178A4">
        <w:t>that established harmonized pest risk management options for the major pests or major groups of pests associated with a commodity or a pathway.</w:t>
      </w:r>
      <w:r w:rsidR="00862862">
        <w:t xml:space="preserve"> </w:t>
      </w:r>
      <w:r w:rsidR="00602A3C">
        <w:t>It is expected that</w:t>
      </w:r>
      <w:r w:rsidR="00065BF5" w:rsidRPr="00065BF5">
        <w:t xml:space="preserve"> many new ISPMs</w:t>
      </w:r>
      <w:r w:rsidR="003C15C3">
        <w:t xml:space="preserve"> with</w:t>
      </w:r>
      <w:r w:rsidR="00065BF5" w:rsidRPr="00065BF5">
        <w:t xml:space="preserve"> accompanying diagnostic protocols and phytosanitary treatments to support implementation</w:t>
      </w:r>
      <w:r w:rsidR="00602A3C">
        <w:t>, will be adopted in the upcoming years.</w:t>
      </w:r>
      <w:r w:rsidRPr="00CF79A8">
        <w:t xml:space="preserve"> </w:t>
      </w:r>
    </w:p>
    <w:p w14:paraId="097AF26C" w14:textId="5400687F" w:rsidR="00065BF5" w:rsidRDefault="00862862" w:rsidP="0022210E">
      <w:pPr>
        <w:pStyle w:val="IPPParagraphnumbering"/>
      </w:pPr>
      <w:r>
        <w:t xml:space="preserve">The CPM-14 noted that the strategic value and purpose of commodity standards included facilitation of safe trade, harmonization of measures, optimization of efficiency of resource usage, support and assistance to developing countries, and maintaining the relevance and influence of the IPPC. </w:t>
      </w:r>
      <w:r w:rsidR="00CF79A8">
        <w:t>It is certain that c</w:t>
      </w:r>
      <w:r w:rsidR="00CF79A8" w:rsidRPr="001D1025">
        <w:t xml:space="preserve">ommodity </w:t>
      </w:r>
      <w:r w:rsidR="00CF79A8">
        <w:t>s</w:t>
      </w:r>
      <w:r w:rsidR="00CF79A8" w:rsidRPr="001D1025">
        <w:t xml:space="preserve">tandards present a new direction </w:t>
      </w:r>
      <w:r w:rsidR="00CF79A8">
        <w:t xml:space="preserve">for </w:t>
      </w:r>
      <w:r w:rsidR="00E0428E">
        <w:t xml:space="preserve">the </w:t>
      </w:r>
      <w:r w:rsidR="00CF79A8">
        <w:t xml:space="preserve">IPPC. While this new direction is being set, it also represents a </w:t>
      </w:r>
      <w:r w:rsidR="00CF79A8" w:rsidRPr="001D1025">
        <w:t xml:space="preserve">challenge for the </w:t>
      </w:r>
      <w:r w:rsidR="00CF79A8">
        <w:t xml:space="preserve">international phytosanitary community. </w:t>
      </w:r>
      <w:r w:rsidR="00065BF5">
        <w:t>A</w:t>
      </w:r>
      <w:r w:rsidR="00065BF5" w:rsidRPr="00B4252E">
        <w:t xml:space="preserve">lthough in this challenging year due to the COVID-19 pandemic, </w:t>
      </w:r>
      <w:r w:rsidR="00602A3C">
        <w:t xml:space="preserve">and the greater need to ensure food security, </w:t>
      </w:r>
      <w:r w:rsidR="00065BF5" w:rsidRPr="00B4252E">
        <w:t>progress on the topic for commodity standards was made.</w:t>
      </w:r>
      <w:r w:rsidR="004B77F1">
        <w:t xml:space="preserve"> The </w:t>
      </w:r>
      <w:hyperlink r:id="rId8" w:history="1">
        <w:r w:rsidR="004B77F1" w:rsidRPr="004330DD">
          <w:rPr>
            <w:rStyle w:val="Hyperlink"/>
          </w:rPr>
          <w:t>IPPC Standard Setting Unit (SSU)</w:t>
        </w:r>
      </w:hyperlink>
      <w:r w:rsidR="004B77F1" w:rsidRPr="00D05D6D">
        <w:t xml:space="preserve"> </w:t>
      </w:r>
      <w:r w:rsidR="004B77F1">
        <w:t xml:space="preserve">was assigned to </w:t>
      </w:r>
      <w:r w:rsidR="004B77F1" w:rsidRPr="00D05D6D">
        <w:t>coordinat</w:t>
      </w:r>
      <w:r w:rsidR="004B77F1">
        <w:t>e</w:t>
      </w:r>
      <w:r w:rsidR="004B77F1" w:rsidRPr="00D05D6D">
        <w:t xml:space="preserve"> the activities</w:t>
      </w:r>
      <w:r w:rsidR="004B77F1">
        <w:t xml:space="preserve"> to achieve this development agenda and in this document it is outlined the activities carried out in 2020 and some possible future activities.</w:t>
      </w:r>
    </w:p>
    <w:p w14:paraId="4CB2DEEB" w14:textId="46D69784" w:rsidR="00CF79A8" w:rsidRPr="00CF79A8" w:rsidRDefault="002823E2" w:rsidP="002823E2">
      <w:pPr>
        <w:pStyle w:val="IPPHeading1"/>
      </w:pPr>
      <w:r>
        <w:t>2.</w:t>
      </w:r>
      <w:r>
        <w:tab/>
      </w:r>
      <w:r w:rsidR="00CF79A8" w:rsidRPr="00CF79A8">
        <w:t>WHAT HAPPENED SO FAR IN 2020?</w:t>
      </w:r>
    </w:p>
    <w:p w14:paraId="051EB45E" w14:textId="3FA51DFF" w:rsidR="00CF79A8" w:rsidRDefault="00F64299" w:rsidP="00B4252E">
      <w:pPr>
        <w:pStyle w:val="IPPParagraphnumbering"/>
      </w:pPr>
      <w:r>
        <w:t>The outcomes of the second focus group meeting on “commodity standards” were to be presented to the CPM-15</w:t>
      </w:r>
      <w:r>
        <w:rPr>
          <w:rStyle w:val="FootnoteReference"/>
        </w:rPr>
        <w:footnoteReference w:id="1"/>
      </w:r>
      <w:r>
        <w:t xml:space="preserve"> (</w:t>
      </w:r>
      <w:hyperlink r:id="rId9" w:history="1">
        <w:r w:rsidRPr="00F64299">
          <w:rPr>
            <w:rStyle w:val="Hyperlink"/>
          </w:rPr>
          <w:t>document CPM-15_2020/18</w:t>
        </w:r>
      </w:hyperlink>
      <w:r>
        <w:t xml:space="preserve">), including the “overarching standard” and the draft specification for the technical panel for approval for consultation. </w:t>
      </w:r>
      <w:r w:rsidR="00CF79A8">
        <w:t xml:space="preserve">It is important to highlight that commodity standards </w:t>
      </w:r>
      <w:r w:rsidR="003C15C3">
        <w:t>are</w:t>
      </w:r>
      <w:r w:rsidR="00CF79A8">
        <w:t xml:space="preserve"> designed to facilitate market-access negotiations and that they </w:t>
      </w:r>
      <w:r w:rsidR="003C15C3">
        <w:t xml:space="preserve">are intended to </w:t>
      </w:r>
      <w:r w:rsidR="00CF79A8">
        <w:t>neither impose any new obligations on importing countries nor undermine the need for pest risk analysis (PRA).</w:t>
      </w:r>
    </w:p>
    <w:p w14:paraId="05FA2935" w14:textId="4E0B8C09" w:rsidR="00B4252E" w:rsidRPr="00B4252E" w:rsidRDefault="00B4252E" w:rsidP="00B4252E">
      <w:pPr>
        <w:pStyle w:val="IPPParagraphnumbering"/>
      </w:pPr>
      <w:r w:rsidRPr="00B4252E">
        <w:t>As CPM-15 was cancelled, the CPM Bureau is taking some decisions on behalf on the CPM. And in its June 2020 extraordinary meeting</w:t>
      </w:r>
      <w:r w:rsidR="00F64299">
        <w:rPr>
          <w:rStyle w:val="FootnoteReference"/>
        </w:rPr>
        <w:footnoteReference w:id="2"/>
      </w:r>
      <w:r w:rsidRPr="00B4252E">
        <w:t xml:space="preserve">, the CPM Bureau agreed to </w:t>
      </w:r>
      <w:r w:rsidR="00F64299">
        <w:t>include</w:t>
      </w:r>
      <w:r w:rsidRPr="00B4252E">
        <w:t xml:space="preserve"> the “overarching standard” and the technical panel to the </w:t>
      </w:r>
      <w:hyperlink r:id="rId10" w:history="1">
        <w:r w:rsidRPr="004D0C21">
          <w:rPr>
            <w:rStyle w:val="Hyperlink"/>
            <w:i/>
          </w:rPr>
          <w:t>List of topics for IPPC standards</w:t>
        </w:r>
      </w:hyperlink>
      <w:r w:rsidRPr="00B4252E">
        <w:t xml:space="preserve">, as follows: </w:t>
      </w:r>
    </w:p>
    <w:p w14:paraId="690B8C6D" w14:textId="77777777" w:rsidR="00B4252E" w:rsidRPr="00B4252E" w:rsidRDefault="00B4252E" w:rsidP="00B4252E">
      <w:pPr>
        <w:pStyle w:val="IPPParagraphnumbering"/>
        <w:numPr>
          <w:ilvl w:val="0"/>
          <w:numId w:val="3"/>
        </w:numPr>
      </w:pPr>
      <w:r w:rsidRPr="00B4252E">
        <w:t xml:space="preserve">Commodity-based standards for phytosanitary measures (2019-008), with priority 1, and </w:t>
      </w:r>
    </w:p>
    <w:p w14:paraId="7B1717F2" w14:textId="77777777" w:rsidR="00B4252E" w:rsidRPr="00B4252E" w:rsidRDefault="00B4252E" w:rsidP="00B4252E">
      <w:pPr>
        <w:pStyle w:val="IPPParagraphnumbering"/>
        <w:numPr>
          <w:ilvl w:val="0"/>
          <w:numId w:val="3"/>
        </w:numPr>
      </w:pPr>
      <w:r w:rsidRPr="00B4252E">
        <w:t>Technical Panel on Commodity Standards (TPCS) (2019-009)</w:t>
      </w:r>
      <w:r w:rsidR="00DC42FA">
        <w:t xml:space="preserve">, </w:t>
      </w:r>
      <w:r w:rsidR="00DC42FA" w:rsidRPr="00B4252E">
        <w:t>with priority 1</w:t>
      </w:r>
      <w:r w:rsidRPr="00B4252E">
        <w:t>.</w:t>
      </w:r>
    </w:p>
    <w:p w14:paraId="3FFEA3C3" w14:textId="2C081B53" w:rsidR="00B4252E" w:rsidRPr="00B4252E" w:rsidRDefault="00B4252E" w:rsidP="00B4252E">
      <w:pPr>
        <w:pStyle w:val="IPPParagraphnumbering"/>
      </w:pPr>
      <w:r w:rsidRPr="00B4252E">
        <w:t xml:space="preserve">The CPM Bureau also approved the draft ISPM </w:t>
      </w:r>
      <w:r w:rsidR="00602A3C">
        <w:t xml:space="preserve">for consultation </w:t>
      </w:r>
      <w:r w:rsidR="00DA61C9">
        <w:t xml:space="preserve">period </w:t>
      </w:r>
      <w:r w:rsidRPr="00B4252E">
        <w:t xml:space="preserve">as well as the draft </w:t>
      </w:r>
      <w:r w:rsidRPr="00B4252E">
        <w:rPr>
          <w:iCs/>
        </w:rPr>
        <w:t>specification for the TPCS</w:t>
      </w:r>
      <w:r w:rsidRPr="00B4252E">
        <w:t xml:space="preserve">. Moreover, the CPM Bureau also agreed that the development of the draft ISPM and the draft </w:t>
      </w:r>
      <w:r w:rsidRPr="00B4252E">
        <w:lastRenderedPageBreak/>
        <w:t xml:space="preserve">specification for the Technical Panel be transferred from the Bureau to the SC and </w:t>
      </w:r>
      <w:r w:rsidR="00602A3C">
        <w:t>to</w:t>
      </w:r>
      <w:r w:rsidRPr="00B4252E">
        <w:t xml:space="preserve"> follow the normal Standard Setting procedure.</w:t>
      </w:r>
    </w:p>
    <w:p w14:paraId="26DD4BA1" w14:textId="77777777" w:rsidR="00B4252E" w:rsidRPr="00F64299" w:rsidRDefault="00F64299" w:rsidP="00F64299">
      <w:pPr>
        <w:pStyle w:val="IPPParagraphnumbering"/>
        <w:numPr>
          <w:ilvl w:val="0"/>
          <w:numId w:val="0"/>
        </w:numPr>
        <w:rPr>
          <w:b/>
        </w:rPr>
      </w:pPr>
      <w:r w:rsidRPr="00F64299">
        <w:rPr>
          <w:b/>
        </w:rPr>
        <w:t>Consultation period</w:t>
      </w:r>
    </w:p>
    <w:p w14:paraId="12AB2686" w14:textId="77777777" w:rsidR="00F64299" w:rsidRDefault="00DC42FA" w:rsidP="00DC42FA">
      <w:pPr>
        <w:pStyle w:val="IPPParagraphnumbering"/>
      </w:pPr>
      <w:r>
        <w:t xml:space="preserve">The consultation period for the </w:t>
      </w:r>
      <w:r w:rsidR="00F64299">
        <w:t xml:space="preserve">draft </w:t>
      </w:r>
      <w:r w:rsidR="00F64299" w:rsidRPr="00DC42FA">
        <w:rPr>
          <w:iCs/>
        </w:rPr>
        <w:t xml:space="preserve">specification for the Technical Panel on Commodity Standards (TPCS) </w:t>
      </w:r>
      <w:r w:rsidRPr="00DC42FA">
        <w:rPr>
          <w:iCs/>
        </w:rPr>
        <w:t>closed on 30 August</w:t>
      </w:r>
      <w:r>
        <w:rPr>
          <w:iCs/>
        </w:rPr>
        <w:t xml:space="preserve"> 2020</w:t>
      </w:r>
      <w:r w:rsidRPr="00DC42FA">
        <w:rPr>
          <w:iCs/>
        </w:rPr>
        <w:t xml:space="preserve"> and </w:t>
      </w:r>
      <w:r w:rsidR="00F64299" w:rsidRPr="00DC42FA">
        <w:rPr>
          <w:iCs/>
        </w:rPr>
        <w:t xml:space="preserve">received a total of </w:t>
      </w:r>
      <w:r w:rsidRPr="00DC42FA">
        <w:rPr>
          <w:iCs/>
        </w:rPr>
        <w:t xml:space="preserve">92 comments. More information is available at </w:t>
      </w:r>
      <w:hyperlink r:id="rId11" w:history="1">
        <w:r w:rsidRPr="00C75768">
          <w:rPr>
            <w:rStyle w:val="Hyperlink"/>
            <w:iCs/>
          </w:rPr>
          <w:t>https://www.ippc.int/en/core-activities/standards-setting/member-consultation-draft-specifications-ispms/</w:t>
        </w:r>
      </w:hyperlink>
      <w:r>
        <w:rPr>
          <w:iCs/>
        </w:rPr>
        <w:t xml:space="preserve">. </w:t>
      </w:r>
    </w:p>
    <w:p w14:paraId="4AF19DA6" w14:textId="77777777" w:rsidR="00DC42FA" w:rsidRDefault="00DC42FA" w:rsidP="00DC42FA">
      <w:pPr>
        <w:pStyle w:val="IPPParagraphnumbering"/>
      </w:pPr>
      <w:r>
        <w:t xml:space="preserve">The consultation period for the draft ISPM </w:t>
      </w:r>
      <w:r w:rsidRPr="00B4252E">
        <w:t>Commodity-based standards for phytosanitary measures</w:t>
      </w:r>
      <w:r>
        <w:t xml:space="preserve"> will close on 30 September 2020. More information is available at </w:t>
      </w:r>
      <w:hyperlink r:id="rId12" w:history="1">
        <w:r w:rsidRPr="00C75768">
          <w:rPr>
            <w:rStyle w:val="Hyperlink"/>
          </w:rPr>
          <w:t>https://www.ippc.int/en/core-activities/standards-setting/member-consultation-draft-ispms/</w:t>
        </w:r>
      </w:hyperlink>
      <w:r>
        <w:t xml:space="preserve">. </w:t>
      </w:r>
    </w:p>
    <w:p w14:paraId="3239C146" w14:textId="77777777" w:rsidR="00DC42FA" w:rsidRDefault="00DC42FA" w:rsidP="00B4252E">
      <w:pPr>
        <w:pStyle w:val="IPPParagraphnumbering"/>
      </w:pPr>
      <w:r>
        <w:t xml:space="preserve">The draft ISPM was discussed in all seven IPPC 2020 Regional Workshops, and a </w:t>
      </w:r>
      <w:hyperlink r:id="rId13" w:history="1">
        <w:r w:rsidRPr="00DC42FA">
          <w:rPr>
            <w:rStyle w:val="Hyperlink"/>
          </w:rPr>
          <w:t>presentation</w:t>
        </w:r>
      </w:hyperlink>
      <w:r>
        <w:t xml:space="preserve"> was prepared by the IPPC Secretariat in order to facilitate the discussions, outlining the main points in the draft. For further information about the discussions at the regional workshops, please refer to the reports available </w:t>
      </w:r>
      <w:hyperlink r:id="rId14" w:history="1">
        <w:r w:rsidRPr="00DC42FA">
          <w:rPr>
            <w:rStyle w:val="Hyperlink"/>
          </w:rPr>
          <w:t>here</w:t>
        </w:r>
      </w:hyperlink>
      <w:r>
        <w:rPr>
          <w:rStyle w:val="FootnoteReference"/>
        </w:rPr>
        <w:footnoteReference w:id="3"/>
      </w:r>
      <w:r>
        <w:t xml:space="preserve">. </w:t>
      </w:r>
    </w:p>
    <w:p w14:paraId="6CB85758" w14:textId="77777777" w:rsidR="00DC42FA" w:rsidRPr="00400930" w:rsidRDefault="00DC42FA" w:rsidP="00400930">
      <w:pPr>
        <w:pStyle w:val="IPPParagraphnumbering"/>
        <w:numPr>
          <w:ilvl w:val="0"/>
          <w:numId w:val="0"/>
        </w:numPr>
        <w:rPr>
          <w:b/>
        </w:rPr>
      </w:pPr>
      <w:r w:rsidRPr="00400930">
        <w:rPr>
          <w:b/>
        </w:rPr>
        <w:t>Standards Committee (SC) July and August meeting</w:t>
      </w:r>
      <w:r w:rsidR="00400930">
        <w:rPr>
          <w:b/>
        </w:rPr>
        <w:t>s</w:t>
      </w:r>
      <w:r w:rsidR="00400930" w:rsidRPr="00400930">
        <w:rPr>
          <w:b/>
        </w:rPr>
        <w:t xml:space="preserve"> 2020</w:t>
      </w:r>
      <w:r w:rsidR="00400930">
        <w:rPr>
          <w:rStyle w:val="FootnoteReference"/>
          <w:b/>
        </w:rPr>
        <w:footnoteReference w:id="4"/>
      </w:r>
    </w:p>
    <w:p w14:paraId="76FBBEA8" w14:textId="4E0D01C3" w:rsidR="00DC42FA" w:rsidRDefault="00DC42FA" w:rsidP="00B4252E">
      <w:pPr>
        <w:pStyle w:val="IPPParagraphnumbering"/>
      </w:pPr>
      <w:r>
        <w:t>The Standards Committee (SC)</w:t>
      </w:r>
      <w:r w:rsidR="00400930">
        <w:t xml:space="preserve"> had an informal </w:t>
      </w:r>
      <w:r w:rsidR="00655C7A">
        <w:t xml:space="preserve">virtual </w:t>
      </w:r>
      <w:r w:rsidR="00400930">
        <w:t>session, o</w:t>
      </w:r>
      <w:r>
        <w:t>n 14 July 2020</w:t>
      </w:r>
      <w:r w:rsidR="00400930">
        <w:t xml:space="preserve"> (meeting report available </w:t>
      </w:r>
      <w:hyperlink r:id="rId15" w:history="1">
        <w:r w:rsidR="00400930" w:rsidRPr="00400930">
          <w:rPr>
            <w:rStyle w:val="Hyperlink"/>
          </w:rPr>
          <w:t>here</w:t>
        </w:r>
      </w:hyperlink>
      <w:r w:rsidR="00400930">
        <w:t xml:space="preserve">). The SC briefly discussed its work programme, which includes the topics on commodities, the draft “overarching standard” and the </w:t>
      </w:r>
      <w:r w:rsidR="000A1E21">
        <w:t>t</w:t>
      </w:r>
      <w:r w:rsidR="00400930">
        <w:t xml:space="preserve">echnical </w:t>
      </w:r>
      <w:r w:rsidR="000A1E21">
        <w:t>p</w:t>
      </w:r>
      <w:r w:rsidR="00400930">
        <w:t>anel</w:t>
      </w:r>
      <w:r w:rsidR="003C15C3">
        <w:t>, as</w:t>
      </w:r>
      <w:r w:rsidR="00400930">
        <w:t xml:space="preserve"> the CPM Bureau had transferred to the SC and thus, it should follow the standard setting process. </w:t>
      </w:r>
    </w:p>
    <w:p w14:paraId="32CE1E41" w14:textId="77777777" w:rsidR="00400930" w:rsidRDefault="00400930" w:rsidP="00B4252E">
      <w:pPr>
        <w:pStyle w:val="IPPParagraphnumbering"/>
      </w:pPr>
      <w:r>
        <w:t>Regarding stewardship, the SC considered whether it was better to have one steward who covered both the concept standard and the TPCS specification, or one steward for the standard and one for the TPCS specification. One SC member suggested that the latter might be better as there are likely to be many comments on the draft standard, but that it might be a good idea for each of the two stewards to also act as the assistant steward for the other topic. This was supported by several other SC members, one also highlighting that this would mean that the work could be done in a harmonized way.</w:t>
      </w:r>
    </w:p>
    <w:p w14:paraId="286B7AC2" w14:textId="77777777" w:rsidR="00400930" w:rsidRDefault="00400930" w:rsidP="00B4252E">
      <w:pPr>
        <w:pStyle w:val="IPPParagraphnumbering"/>
      </w:pPr>
      <w:r>
        <w:t xml:space="preserve">The SC made recommendations for the stewardship and asked the Secretariat to open e-forums to formalize the SC’s decisions on the selection of stewards. Based </w:t>
      </w:r>
      <w:r w:rsidR="001D4E41">
        <w:t>o</w:t>
      </w:r>
      <w:r>
        <w:t xml:space="preserve">n e-forum discussions, the SC agreed to the following: </w:t>
      </w:r>
    </w:p>
    <w:p w14:paraId="3E512178" w14:textId="77777777" w:rsidR="00400930" w:rsidRDefault="00400930" w:rsidP="00400930">
      <w:pPr>
        <w:pStyle w:val="IPPParagraphnumbering"/>
        <w:numPr>
          <w:ilvl w:val="0"/>
          <w:numId w:val="4"/>
        </w:numPr>
      </w:pPr>
      <w:r w:rsidRPr="00400930">
        <w:rPr>
          <w:u w:val="single"/>
        </w:rPr>
        <w:t>Draft ISPM on Commodity-based standards for phytosanitary measures (2019-008):</w:t>
      </w:r>
      <w:r>
        <w:t xml:space="preserve"> Mr Samuel BISHOP (United Kingdom) as Steward, and Ms Joanne WILSON (New Zealand) and Mr Ezequiel FERRO (Argentina) as Assistant Stewards </w:t>
      </w:r>
    </w:p>
    <w:p w14:paraId="497DCCE3" w14:textId="77777777" w:rsidR="00400930" w:rsidRDefault="00400930" w:rsidP="00400930">
      <w:pPr>
        <w:pStyle w:val="IPPParagraphnumbering"/>
        <w:numPr>
          <w:ilvl w:val="0"/>
          <w:numId w:val="4"/>
        </w:numPr>
      </w:pPr>
      <w:r w:rsidRPr="00400930">
        <w:rPr>
          <w:u w:val="single"/>
        </w:rPr>
        <w:t>Technical Panel on Commodity Standards (2019-009):</w:t>
      </w:r>
      <w:r>
        <w:t xml:space="preserve"> Mr Ezequiel FERRO (Argentina) as Steward, and Ms Joanne WILSON (New Zealand) and Mr Samuel BISHOP (United Kingdom) as Assistant Stewards</w:t>
      </w:r>
    </w:p>
    <w:p w14:paraId="7A2A0790" w14:textId="72979292" w:rsidR="002E7466" w:rsidRPr="002E7466" w:rsidRDefault="002823E2" w:rsidP="002823E2">
      <w:pPr>
        <w:pStyle w:val="IPPHeading1"/>
      </w:pPr>
      <w:r>
        <w:t>3.</w:t>
      </w:r>
      <w:r>
        <w:tab/>
      </w:r>
      <w:r w:rsidR="00862862" w:rsidRPr="002E7466">
        <w:t>EXPECTED UPCOMING WORK</w:t>
      </w:r>
    </w:p>
    <w:p w14:paraId="39711D1E" w14:textId="0C3B7505" w:rsidR="00400930" w:rsidRDefault="000A1E21" w:rsidP="00B4252E">
      <w:pPr>
        <w:pStyle w:val="IPPParagraphnumbering"/>
      </w:pPr>
      <w:r>
        <w:t>Since</w:t>
      </w:r>
      <w:r w:rsidR="002E7466">
        <w:t xml:space="preserve"> this year all meeting</w:t>
      </w:r>
      <w:r>
        <w:t>s</w:t>
      </w:r>
      <w:r w:rsidR="002E7466">
        <w:t xml:space="preserve"> will take place in virtual mode, d</w:t>
      </w:r>
      <w:r w:rsidR="00400930">
        <w:t>uring the 35</w:t>
      </w:r>
      <w:r w:rsidR="00400930" w:rsidRPr="00400930">
        <w:rPr>
          <w:vertAlign w:val="superscript"/>
        </w:rPr>
        <w:t>th</w:t>
      </w:r>
      <w:r w:rsidR="00400930">
        <w:t xml:space="preserve"> meeting of the SC on 23 September 2020 (meeting report not yet available), the SC agreed that the draft specification for the TPCS will be initially revi</w:t>
      </w:r>
      <w:r w:rsidR="002E7466">
        <w:t>sed</w:t>
      </w:r>
      <w:r w:rsidR="00400930">
        <w:t xml:space="preserve"> by the SC electronically, either via OCS or via e-forum, prior to be discussed at the SC November 2020 meeting. </w:t>
      </w:r>
      <w:r w:rsidR="002E7466">
        <w:t xml:space="preserve">The SC November meeting will </w:t>
      </w:r>
      <w:r w:rsidR="003C15C3">
        <w:t>be held</w:t>
      </w:r>
      <w:r w:rsidR="002E7466">
        <w:t xml:space="preserve"> </w:t>
      </w:r>
      <w:r w:rsidR="002B1D09">
        <w:t>on the week from 16 to 20 November 2020</w:t>
      </w:r>
      <w:r w:rsidR="002E7466">
        <w:t xml:space="preserve"> over 4 days</w:t>
      </w:r>
      <w:r w:rsidR="002B1D09">
        <w:t>,</w:t>
      </w:r>
      <w:r w:rsidR="002E7466">
        <w:t xml:space="preserve"> with two hours session</w:t>
      </w:r>
      <w:r>
        <w:t xml:space="preserve"> per day</w:t>
      </w:r>
      <w:r w:rsidR="002E7466">
        <w:t xml:space="preserve">. It is expected that the draft specification </w:t>
      </w:r>
      <w:r w:rsidR="003C15C3">
        <w:t xml:space="preserve">for the TPCS </w:t>
      </w:r>
      <w:r w:rsidR="002E7466">
        <w:t>be approved in November 2020 and that the IPPC Secretariat issu</w:t>
      </w:r>
      <w:r>
        <w:t>es a call for experts at first quarter of 2021. H</w:t>
      </w:r>
      <w:r w:rsidR="002E7466">
        <w:t>owever</w:t>
      </w:r>
      <w:r>
        <w:t xml:space="preserve">, </w:t>
      </w:r>
      <w:r w:rsidR="002B1D09">
        <w:t>the opening</w:t>
      </w:r>
      <w:r>
        <w:t xml:space="preserve"> of the call </w:t>
      </w:r>
      <w:r w:rsidR="002E7466">
        <w:t>depends on the progress with the draft ISPM</w:t>
      </w:r>
      <w:r>
        <w:t xml:space="preserve">, </w:t>
      </w:r>
      <w:r w:rsidR="002B1D09">
        <w:t xml:space="preserve">the </w:t>
      </w:r>
      <w:r w:rsidR="002E7466">
        <w:t>call for topics, and directions from the SC</w:t>
      </w:r>
      <w:r>
        <w:t xml:space="preserve"> and </w:t>
      </w:r>
      <w:r w:rsidR="003C15C3">
        <w:t xml:space="preserve">other </w:t>
      </w:r>
      <w:r>
        <w:t>strategic groups</w:t>
      </w:r>
      <w:r w:rsidR="002E7466">
        <w:t>.</w:t>
      </w:r>
      <w:r>
        <w:t xml:space="preserve"> </w:t>
      </w:r>
    </w:p>
    <w:p w14:paraId="4376E0D7" w14:textId="1531AC16" w:rsidR="002E7466" w:rsidRDefault="002E7466" w:rsidP="002E7466">
      <w:pPr>
        <w:pStyle w:val="IPPParagraphnumbering"/>
      </w:pPr>
      <w:r>
        <w:t>Regarding the draft ISPM on</w:t>
      </w:r>
      <w:r w:rsidRPr="002E7466">
        <w:t xml:space="preserve"> Commodity-based standards for phytosanitary measures</w:t>
      </w:r>
      <w:r>
        <w:t xml:space="preserve">, the SC will be revising it also via electronic means, prior to the SC-7 meeting. It is expected that the draft will be submitted for another round of consultation in July 2021. </w:t>
      </w:r>
    </w:p>
    <w:p w14:paraId="429C62E2" w14:textId="44331B33" w:rsidR="00B4252E" w:rsidRPr="00862862" w:rsidRDefault="002823E2" w:rsidP="002823E2">
      <w:pPr>
        <w:pStyle w:val="IPPHeading1"/>
      </w:pPr>
      <w:r>
        <w:t>4.</w:t>
      </w:r>
      <w:r>
        <w:tab/>
      </w:r>
      <w:r w:rsidR="00862862" w:rsidRPr="00862862">
        <w:t>WHAT</w:t>
      </w:r>
      <w:r w:rsidR="00DA61C9">
        <w:t>’S</w:t>
      </w:r>
      <w:r w:rsidR="00862862" w:rsidRPr="00862862">
        <w:t xml:space="preserve"> NEXT?</w:t>
      </w:r>
    </w:p>
    <w:p w14:paraId="048A5C96" w14:textId="5FD11B77" w:rsidR="000A1E21" w:rsidRDefault="00862862" w:rsidP="0022210E">
      <w:pPr>
        <w:pStyle w:val="IPPParagraphnumbering"/>
      </w:pPr>
      <w:r>
        <w:t>According to the IPPC Strategic Framework 2020-2030 the f</w:t>
      </w:r>
      <w:r w:rsidRPr="00F178A4">
        <w:t xml:space="preserve">uture standard setting </w:t>
      </w:r>
      <w:r>
        <w:t xml:space="preserve">work </w:t>
      </w:r>
      <w:r w:rsidRPr="00F178A4">
        <w:t>will focus more and more on commodity- or pathway-specific topics rather than on broad conceptual and foundational issue</w:t>
      </w:r>
      <w:r w:rsidR="000A1E21">
        <w:t>s</w:t>
      </w:r>
      <w:r>
        <w:t>.</w:t>
      </w:r>
      <w:r w:rsidR="000A1E21">
        <w:t xml:space="preserve"> </w:t>
      </w:r>
    </w:p>
    <w:p w14:paraId="4B0E89DC" w14:textId="5BCE7832" w:rsidR="00862862" w:rsidRDefault="00862862" w:rsidP="0022210E">
      <w:pPr>
        <w:pStyle w:val="IPPParagraphnumbering"/>
      </w:pPr>
      <w:r>
        <w:t>T</w:t>
      </w:r>
      <w:r w:rsidRPr="00F178A4">
        <w:t>he development of commodity</w:t>
      </w:r>
      <w:r>
        <w:t>-</w:t>
      </w:r>
      <w:r w:rsidRPr="00F178A4">
        <w:t xml:space="preserve"> and pathway</w:t>
      </w:r>
      <w:r>
        <w:t>-</w:t>
      </w:r>
      <w:r w:rsidRPr="00F178A4">
        <w:t xml:space="preserve">specific standards may also </w:t>
      </w:r>
      <w:r w:rsidR="003C15C3">
        <w:t>require</w:t>
      </w:r>
      <w:r w:rsidRPr="00F178A4">
        <w:t xml:space="preserve"> additional activities with regard </w:t>
      </w:r>
      <w:r w:rsidR="003C15C3">
        <w:t>to new phytosanitary treatments</w:t>
      </w:r>
      <w:r w:rsidRPr="00F178A4">
        <w:t xml:space="preserve">, which could be readily applied by NPPOs and have a very low environmental impact while still being efficacious against target pests. </w:t>
      </w:r>
      <w:r w:rsidR="004D0C21" w:rsidRPr="00F178A4">
        <w:t xml:space="preserve">For this reason, it could be necessary </w:t>
      </w:r>
      <w:r w:rsidR="004D0C21">
        <w:t>for</w:t>
      </w:r>
      <w:r w:rsidR="004D0C21" w:rsidRPr="00F178A4">
        <w:t xml:space="preserve"> the Commission </w:t>
      </w:r>
      <w:r w:rsidR="004D0C21">
        <w:t xml:space="preserve">to </w:t>
      </w:r>
      <w:r w:rsidR="004D0C21" w:rsidRPr="00F178A4">
        <w:t>intensif</w:t>
      </w:r>
      <w:r w:rsidR="004D0C21">
        <w:t>y</w:t>
      </w:r>
      <w:r w:rsidR="004D0C21" w:rsidRPr="00F178A4">
        <w:t xml:space="preserve"> its activities </w:t>
      </w:r>
      <w:r w:rsidR="004D0C21">
        <w:t>relating to</w:t>
      </w:r>
      <w:r w:rsidR="004D0C21" w:rsidRPr="00F178A4">
        <w:t xml:space="preserve"> the adoption of new phytosanitary treatments.</w:t>
      </w:r>
      <w:r w:rsidR="004D0C21">
        <w:t xml:space="preserve"> It is also envisaged an increment in the need for diagnostic protocols, as </w:t>
      </w:r>
      <w:r w:rsidR="004D0C21" w:rsidRPr="00F178A4">
        <w:t>commodity</w:t>
      </w:r>
      <w:r w:rsidR="004D0C21">
        <w:t>-</w:t>
      </w:r>
      <w:r w:rsidR="004D0C21" w:rsidRPr="00F178A4">
        <w:t xml:space="preserve"> and pathway</w:t>
      </w:r>
      <w:r w:rsidR="004D0C21">
        <w:t>-</w:t>
      </w:r>
      <w:r w:rsidR="004D0C21" w:rsidRPr="00F178A4">
        <w:t>specific standards</w:t>
      </w:r>
      <w:r w:rsidR="004D0C21">
        <w:t xml:space="preserve"> will increase the need for proper faster, accurate and reliable pest diagnosis.</w:t>
      </w:r>
    </w:p>
    <w:p w14:paraId="513DA3AB" w14:textId="77777777" w:rsidR="005F172F" w:rsidRPr="005F172F" w:rsidRDefault="004D0C21" w:rsidP="00B75BDC">
      <w:pPr>
        <w:pStyle w:val="IPPParagraphnumbering"/>
      </w:pPr>
      <w:r w:rsidRPr="00B75BDC">
        <w:rPr>
          <w:b/>
        </w:rPr>
        <w:t xml:space="preserve">Phytosanitary treatments, diagnostic protocols and a streamlined </w:t>
      </w:r>
      <w:r w:rsidR="0067418F" w:rsidRPr="00B75BDC">
        <w:rPr>
          <w:b/>
        </w:rPr>
        <w:t xml:space="preserve">standard setting </w:t>
      </w:r>
      <w:r w:rsidRPr="00B75BDC">
        <w:rPr>
          <w:b/>
        </w:rPr>
        <w:t xml:space="preserve">process. </w:t>
      </w:r>
    </w:p>
    <w:p w14:paraId="2B40A424" w14:textId="1AE609B5" w:rsidR="00B75BDC" w:rsidRDefault="005F172F" w:rsidP="00C42E5E">
      <w:pPr>
        <w:pStyle w:val="IPPParagraphnumbering"/>
      </w:pPr>
      <w:r>
        <w:t>A</w:t>
      </w:r>
      <w:r w:rsidR="0067418F">
        <w:t xml:space="preserve"> phytosanitary treatments search tool has been developed and it is now being expanded to include treatments used in international trade but not necessarily adopted by the CPM. </w:t>
      </w:r>
      <w:r w:rsidR="00B75BDC">
        <w:t xml:space="preserve">This is </w:t>
      </w:r>
      <w:r w:rsidR="0006079A">
        <w:t xml:space="preserve">an opportunity for </w:t>
      </w:r>
      <w:r w:rsidR="00B75BDC">
        <w:t xml:space="preserve">a positive interaction between the SC, the </w:t>
      </w:r>
      <w:hyperlink r:id="rId16" w:history="1">
        <w:r w:rsidRPr="002B1D09">
          <w:rPr>
            <w:rStyle w:val="Hyperlink"/>
          </w:rPr>
          <w:t>IPPC Technical Panel on Phytosanitary Treatments</w:t>
        </w:r>
      </w:hyperlink>
      <w:r>
        <w:rPr>
          <w:rStyle w:val="Hyperlink"/>
        </w:rPr>
        <w:t xml:space="preserve"> (TPPT)</w:t>
      </w:r>
      <w:r w:rsidR="00B75BDC">
        <w:t xml:space="preserve"> and the Implementation Committee (IC). The current version of the search tool is an online tool that lists currently available phytosanitary treatments that are annexes to ISPM 28. The tool allows to screen for a particular treatment type or a target pest. Treatment types are aligned with the ePhyto treatment types</w:t>
      </w:r>
      <w:r w:rsidR="00B75BDC">
        <w:rPr>
          <w:rStyle w:val="FootnoteReference"/>
        </w:rPr>
        <w:footnoteReference w:id="5"/>
      </w:r>
      <w:r w:rsidR="00B75BDC">
        <w:t xml:space="preserve"> and the target pests are linked with the </w:t>
      </w:r>
      <w:r w:rsidR="00B75BDC" w:rsidRPr="00BE69E9">
        <w:t>EPPO Global Data base for Pest Scientific Information</w:t>
      </w:r>
      <w:r w:rsidR="00B75BDC">
        <w:rPr>
          <w:rStyle w:val="FootnoteReference"/>
        </w:rPr>
        <w:footnoteReference w:id="6"/>
      </w:r>
      <w:r w:rsidR="00B75BDC">
        <w:t>.</w:t>
      </w:r>
    </w:p>
    <w:p w14:paraId="2BDFEC56" w14:textId="2EED0EB3" w:rsidR="00B75BDC" w:rsidRDefault="00B75BDC" w:rsidP="0022210E">
      <w:pPr>
        <w:pStyle w:val="IPPParagraphnumbering"/>
      </w:pPr>
      <w:r>
        <w:t xml:space="preserve">While the importance of the development of a comprehensive database for phytosanitary treatments is acknowledged, the commitment of the necessary resources to this activity had to be balanced against other priorities, thus the current version of the tool does not provide a wide enough selection. The tool is available at the following link: </w:t>
      </w:r>
      <w:hyperlink r:id="rId17" w:history="1">
        <w:r w:rsidRPr="00DA265F">
          <w:rPr>
            <w:rStyle w:val="Hyperlink"/>
          </w:rPr>
          <w:t>https://www.ippc.int/en/core-activities/standards-setting/technical-panels/technical-panel-phytosanitary-treatments/phytosanitary-treatments-tool/</w:t>
        </w:r>
      </w:hyperlink>
      <w:r>
        <w:t xml:space="preserve">.  </w:t>
      </w:r>
    </w:p>
    <w:p w14:paraId="5759AE69" w14:textId="0CA59B29" w:rsidR="005F172F" w:rsidRDefault="005F172F" w:rsidP="005F172F">
      <w:pPr>
        <w:pStyle w:val="IPPParagraphnumbering"/>
      </w:pPr>
      <w:r>
        <w:t xml:space="preserve">A </w:t>
      </w:r>
      <w:r w:rsidR="00655C7A">
        <w:t xml:space="preserve">possibility is to </w:t>
      </w:r>
      <w:r>
        <w:t xml:space="preserve">work </w:t>
      </w:r>
      <w:r w:rsidR="00655C7A">
        <w:t>on</w:t>
      </w:r>
      <w:r>
        <w:t xml:space="preserve"> develop</w:t>
      </w:r>
      <w:r w:rsidR="00655C7A">
        <w:t>ing</w:t>
      </w:r>
      <w:r>
        <w:t xml:space="preserve"> a similar tool or database for diagnostic protocols, with the main objectives</w:t>
      </w:r>
      <w:r w:rsidR="00655C7A">
        <w:t xml:space="preserve"> being</w:t>
      </w:r>
      <w:r>
        <w:t xml:space="preserve"> that would be to allow the screen for a diagnostic protocol for a pest, its host range and commodity and pathways association. This is depending on human resources of the Secretariat and the </w:t>
      </w:r>
      <w:hyperlink r:id="rId18" w:history="1">
        <w:r w:rsidRPr="002B1D09">
          <w:rPr>
            <w:rStyle w:val="Hyperlink"/>
          </w:rPr>
          <w:t>IPPC Technical Panel on Diagnostic Protocols</w:t>
        </w:r>
      </w:hyperlink>
      <w:r>
        <w:rPr>
          <w:rStyle w:val="Hyperlink"/>
        </w:rPr>
        <w:t xml:space="preserve"> (TPDP)</w:t>
      </w:r>
      <w:r w:rsidRPr="005F172F">
        <w:rPr>
          <w:rStyle w:val="Hyperlink"/>
          <w:color w:val="auto"/>
          <w:u w:val="none"/>
        </w:rPr>
        <w:t xml:space="preserve">, in which </w:t>
      </w:r>
      <w:r w:rsidR="00C91B15">
        <w:rPr>
          <w:rStyle w:val="Hyperlink"/>
          <w:color w:val="auto"/>
          <w:u w:val="none"/>
        </w:rPr>
        <w:t xml:space="preserve">it </w:t>
      </w:r>
      <w:r w:rsidRPr="005F172F">
        <w:rPr>
          <w:rStyle w:val="Hyperlink"/>
          <w:color w:val="auto"/>
          <w:u w:val="none"/>
        </w:rPr>
        <w:t>would need to revert to the SC</w:t>
      </w:r>
      <w:r>
        <w:rPr>
          <w:rStyle w:val="Hyperlink"/>
          <w:color w:val="auto"/>
          <w:u w:val="none"/>
        </w:rPr>
        <w:t>.</w:t>
      </w:r>
    </w:p>
    <w:p w14:paraId="686EE856" w14:textId="769CD563" w:rsidR="004D0C21" w:rsidRDefault="005F172F" w:rsidP="0022210E">
      <w:pPr>
        <w:pStyle w:val="IPPParagraphnumbering"/>
      </w:pPr>
      <w:r w:rsidRPr="004D0C21">
        <w:t>The</w:t>
      </w:r>
      <w:r>
        <w:t xml:space="preserve"> IPPC Secretariat has an ongoing </w:t>
      </w:r>
      <w:hyperlink r:id="rId19" w:history="1">
        <w:r w:rsidRPr="004D0C21">
          <w:rPr>
            <w:rStyle w:val="Hyperlink"/>
          </w:rPr>
          <w:t>call for phytosanitary treatments</w:t>
        </w:r>
      </w:hyperlink>
      <w:r>
        <w:rPr>
          <w:rStyle w:val="FootnoteReference"/>
        </w:rPr>
        <w:footnoteReference w:id="7"/>
      </w:r>
      <w:r>
        <w:t xml:space="preserve">, and diagnostic protocols are called upon together with the </w:t>
      </w:r>
      <w:hyperlink r:id="rId20" w:history="1">
        <w:r w:rsidRPr="004D0C21">
          <w:rPr>
            <w:rStyle w:val="Hyperlink"/>
          </w:rPr>
          <w:t>call for standards and implementation material</w:t>
        </w:r>
      </w:hyperlink>
      <w:r>
        <w:t xml:space="preserve">. </w:t>
      </w:r>
      <w:r w:rsidR="005E300D">
        <w:t xml:space="preserve">However, not only new topics are needed, but a streamlined standard setting procedure to enable that treatments and protocols are made available to the contracting parties to support the implementation of the </w:t>
      </w:r>
      <w:r w:rsidR="005E300D" w:rsidRPr="00F178A4">
        <w:t>commodity</w:t>
      </w:r>
      <w:r w:rsidR="005E300D">
        <w:t>-</w:t>
      </w:r>
      <w:r w:rsidR="005E300D" w:rsidRPr="00F178A4">
        <w:t xml:space="preserve"> and pathway</w:t>
      </w:r>
      <w:r w:rsidR="005E300D">
        <w:t>-</w:t>
      </w:r>
      <w:r w:rsidR="005E300D" w:rsidRPr="00F178A4">
        <w:t>specific standards</w:t>
      </w:r>
      <w:r w:rsidR="005E300D">
        <w:t xml:space="preserve">. </w:t>
      </w:r>
    </w:p>
    <w:p w14:paraId="11F5A236" w14:textId="6FA13083" w:rsidR="005A5E29" w:rsidRDefault="005E300D" w:rsidP="005A5E29">
      <w:pPr>
        <w:pStyle w:val="IPPParagraphnumbering"/>
      </w:pPr>
      <w:r>
        <w:t xml:space="preserve">The </w:t>
      </w:r>
      <w:r w:rsidR="005F172F" w:rsidRPr="005F172F">
        <w:t>TPPT</w:t>
      </w:r>
      <w:r>
        <w:t xml:space="preserve"> and the </w:t>
      </w:r>
      <w:r w:rsidR="005F172F">
        <w:t>TPDP</w:t>
      </w:r>
      <w:r>
        <w:t xml:space="preserve"> provided some suggestions and recommendations to the SC on possible ways to streamline the standard setting process</w:t>
      </w:r>
      <w:r w:rsidR="002B1D09">
        <w:t>. F</w:t>
      </w:r>
      <w:r>
        <w:t>or example</w:t>
      </w:r>
      <w:r w:rsidR="002B1D09">
        <w:t>,</w:t>
      </w:r>
      <w:r>
        <w:t xml:space="preserve"> having two consultation periods per year</w:t>
      </w:r>
      <w:r w:rsidR="00655C7A">
        <w:t>,</w:t>
      </w:r>
      <w:r w:rsidR="004D0C21">
        <w:t xml:space="preserve"> as secretariat resources permit</w:t>
      </w:r>
      <w:r>
        <w:t xml:space="preserve"> (noting that this has been done in the past for diagnostic protocols) and phytosanitary treatments undergoing </w:t>
      </w:r>
      <w:r w:rsidR="00655C7A">
        <w:t>only</w:t>
      </w:r>
      <w:r>
        <w:t xml:space="preserve"> one round of consultation in </w:t>
      </w:r>
      <w:r w:rsidR="0006079A">
        <w:t>if</w:t>
      </w:r>
      <w:r>
        <w:t xml:space="preserve"> there is no substantive comments provided by contracting parties. </w:t>
      </w:r>
      <w:r w:rsidR="004D0C21">
        <w:t>Moreover, it was suggested that an ongoing call for diagnostic protocols be made, similar to the one for treatments, to allow contracting parties to submit diagnostic proposals any time and to streamline the assessment process, in which would be direct</w:t>
      </w:r>
      <w:r w:rsidR="00655C7A">
        <w:t>ly</w:t>
      </w:r>
      <w:r w:rsidR="004D0C21">
        <w:t xml:space="preserve"> reverted to the TPDP instead of the Task Force for Topics (TFT), noting that the TFT also made this proposal. </w:t>
      </w:r>
    </w:p>
    <w:p w14:paraId="05A17C67" w14:textId="6C660F35" w:rsidR="005A5E29" w:rsidRDefault="005A5E29" w:rsidP="005A5E29">
      <w:pPr>
        <w:pStyle w:val="IPPParagraphnumbering"/>
      </w:pPr>
      <w:r>
        <w:t xml:space="preserve">The SC has already </w:t>
      </w:r>
      <w:r w:rsidR="00C91B15">
        <w:t xml:space="preserve">expressed </w:t>
      </w:r>
      <w:r>
        <w:t>the need to streamline the standard setting process for the</w:t>
      </w:r>
      <w:r w:rsidR="00DC4D60">
        <w:t xml:space="preserve"> specific</w:t>
      </w:r>
      <w:r>
        <w:t xml:space="preserve"> commodity-based standards</w:t>
      </w:r>
      <w:r w:rsidR="00C91B15">
        <w:t>. This is</w:t>
      </w:r>
      <w:r>
        <w:t xml:space="preserve"> to ensure </w:t>
      </w:r>
      <w:r w:rsidR="00DC4D60">
        <w:t xml:space="preserve">that sufficient standards are developed in </w:t>
      </w:r>
      <w:r w:rsidR="00C91B15">
        <w:t xml:space="preserve">a </w:t>
      </w:r>
      <w:r w:rsidR="00DC4D60">
        <w:t>robust and time</w:t>
      </w:r>
      <w:r w:rsidR="00C91B15">
        <w:t>ly</w:t>
      </w:r>
      <w:r w:rsidR="00DC4D60">
        <w:t xml:space="preserve"> fashion to keep up </w:t>
      </w:r>
      <w:r w:rsidR="00C91B15">
        <w:t xml:space="preserve">with </w:t>
      </w:r>
      <w:r w:rsidR="00DC4D60">
        <w:t>the international needs on trade</w:t>
      </w:r>
      <w:r w:rsidR="00C91B15">
        <w:t xml:space="preserve"> and</w:t>
      </w:r>
      <w:r w:rsidR="00DC4D60">
        <w:t xml:space="preserve">to ensure that revisions to the standards, when needed, are made without delay to ensure that the list of pests and phytosanitary measures are kept relevant. The initial plan was to start the discussions at the SC working group (SC-7) in 2020, but the cancellation of the meeting due to the COVID-19 pandemic </w:t>
      </w:r>
      <w:r w:rsidR="00C91B15">
        <w:t xml:space="preserve">means </w:t>
      </w:r>
      <w:r w:rsidR="00DC4D60">
        <w:t>the</w:t>
      </w:r>
      <w:r w:rsidR="00C91B15">
        <w:t>se discussions have also</w:t>
      </w:r>
      <w:r w:rsidR="00DC4D60">
        <w:t xml:space="preserve">been postponed. </w:t>
      </w:r>
    </w:p>
    <w:p w14:paraId="6A95F286" w14:textId="5BC3BCA2" w:rsidR="005A5E29" w:rsidRPr="00CF7934" w:rsidRDefault="005A5E29" w:rsidP="005A5E29">
      <w:pPr>
        <w:pStyle w:val="IPPParagraphnumbering"/>
      </w:pPr>
      <w:r w:rsidRPr="005A5E29">
        <w:rPr>
          <w:b/>
        </w:rPr>
        <w:t>Calls</w:t>
      </w:r>
      <w:r w:rsidR="004B77F1">
        <w:rPr>
          <w:b/>
        </w:rPr>
        <w:t xml:space="preserve"> for topics, materials and guidance to commence the work with specific commodity standards</w:t>
      </w:r>
      <w:r w:rsidRPr="005A5E29">
        <w:rPr>
          <w:b/>
        </w:rPr>
        <w:t>.</w:t>
      </w:r>
      <w:r>
        <w:t xml:space="preserve"> </w:t>
      </w:r>
      <w:r w:rsidR="00592825">
        <w:t xml:space="preserve">It </w:t>
      </w:r>
      <w:r w:rsidR="004B77F1">
        <w:t xml:space="preserve">is </w:t>
      </w:r>
      <w:r w:rsidR="00592825">
        <w:t>important to mention that a call for topics and implementation is planned for 2021</w:t>
      </w:r>
      <w:r w:rsidR="0067418F">
        <w:rPr>
          <w:rStyle w:val="FootnoteReference"/>
        </w:rPr>
        <w:footnoteReference w:id="8"/>
      </w:r>
      <w:r w:rsidR="00592825">
        <w:t xml:space="preserve">, and that the focus group on commodities had made some recommendations in order to ensure submissions for topics on specific commodities and pathways standards. </w:t>
      </w:r>
      <w:r w:rsidR="00DC4D60">
        <w:t xml:space="preserve">The </w:t>
      </w:r>
      <w:r w:rsidR="00592825">
        <w:t xml:space="preserve">focus </w:t>
      </w:r>
      <w:r w:rsidR="00DC4D60">
        <w:t>group had recommended the following to the Task Force for Topics (TFT) for their consideration</w:t>
      </w:r>
      <w:r w:rsidRPr="00CF7934">
        <w:t xml:space="preserve"> when prioritizing topics to be submitted to CPM:</w:t>
      </w:r>
    </w:p>
    <w:p w14:paraId="1585EFE6" w14:textId="77777777" w:rsidR="005A5E29" w:rsidRPr="00CF7934" w:rsidRDefault="005A5E29" w:rsidP="00DC4D60">
      <w:pPr>
        <w:pStyle w:val="BulletList"/>
        <w:numPr>
          <w:ilvl w:val="0"/>
          <w:numId w:val="10"/>
        </w:numPr>
        <w:ind w:left="1240"/>
      </w:pPr>
      <w:r w:rsidRPr="00CF7934">
        <w:t>multiple countries and regions recognize the necessity and usefulness of the topic</w:t>
      </w:r>
    </w:p>
    <w:p w14:paraId="4E510FA3" w14:textId="77777777" w:rsidR="005A5E29" w:rsidRPr="00CF7934" w:rsidRDefault="005A5E29" w:rsidP="00DC4D60">
      <w:pPr>
        <w:pStyle w:val="BulletList"/>
        <w:numPr>
          <w:ilvl w:val="0"/>
          <w:numId w:val="10"/>
        </w:numPr>
        <w:ind w:left="1240"/>
      </w:pPr>
      <w:r w:rsidRPr="00CF7934">
        <w:t>the topic should benefit developing countries, as one of the main purposes of commodity standards is to provide support and assistance to developing countries</w:t>
      </w:r>
    </w:p>
    <w:p w14:paraId="16D1CC30" w14:textId="77777777" w:rsidR="005A5E29" w:rsidRPr="00CF7934" w:rsidRDefault="005A5E29" w:rsidP="00DC4D60">
      <w:pPr>
        <w:pStyle w:val="BulletList"/>
        <w:numPr>
          <w:ilvl w:val="0"/>
          <w:numId w:val="10"/>
        </w:numPr>
        <w:ind w:left="1240"/>
      </w:pPr>
      <w:r w:rsidRPr="00CF7934">
        <w:t>the topic should contribute to food security</w:t>
      </w:r>
    </w:p>
    <w:p w14:paraId="09931D77" w14:textId="77777777" w:rsidR="005A5E29" w:rsidRPr="00CF7934" w:rsidRDefault="005A5E29" w:rsidP="00DC4D60">
      <w:pPr>
        <w:pStyle w:val="BulletList"/>
        <w:numPr>
          <w:ilvl w:val="0"/>
          <w:numId w:val="10"/>
        </w:numPr>
        <w:ind w:left="1240"/>
      </w:pPr>
      <w:r w:rsidRPr="00CF7934">
        <w:t>the topic should contribute to plant health</w:t>
      </w:r>
    </w:p>
    <w:p w14:paraId="6BDE1167" w14:textId="77777777" w:rsidR="005A5E29" w:rsidRPr="00CF7934" w:rsidRDefault="005A5E29" w:rsidP="00DC4D60">
      <w:pPr>
        <w:pStyle w:val="BulletList"/>
        <w:numPr>
          <w:ilvl w:val="0"/>
          <w:numId w:val="10"/>
        </w:numPr>
        <w:ind w:left="1240"/>
      </w:pPr>
      <w:r w:rsidRPr="00CF7934">
        <w:t>the topic should contribute to trade facilitation.</w:t>
      </w:r>
    </w:p>
    <w:p w14:paraId="6B572A4B" w14:textId="65AD6EA1" w:rsidR="005A5E29" w:rsidRDefault="00DC4D60" w:rsidP="005A5E29">
      <w:pPr>
        <w:pStyle w:val="IPPParagraphnumbering"/>
      </w:pPr>
      <w:r>
        <w:t>Moreover, t</w:t>
      </w:r>
      <w:r w:rsidR="005A5E29" w:rsidRPr="00CF7934">
        <w:t>he focus group recommended that there should be a general ongoing request for information on aspects relating to commodity standards and, in addition to this, a specific Call for information on pests and measures whenever a topic is prioritized. This would help in identifying or obtaining PRAs on pests linked with commodities, for consideration when considering which pests and measure to list in commodity standards</w:t>
      </w:r>
      <w:r w:rsidR="0067418F">
        <w:t xml:space="preserve"> (see document </w:t>
      </w:r>
      <w:bookmarkStart w:id="0" w:name="OddIdentificationBookmark"/>
      <w:r w:rsidR="0067418F">
        <w:fldChar w:fldCharType="begin"/>
      </w:r>
      <w:r w:rsidR="0067418F">
        <w:instrText xml:space="preserve"> HYPERLINK "https://www.ippc.int/static/media/files/publication/en/2020/02/18_CPM_2020_CommodityStandards_body_compiled-2020-02-12_ZCGxdUG.pdf" </w:instrText>
      </w:r>
      <w:r w:rsidR="0067418F">
        <w:fldChar w:fldCharType="separate"/>
      </w:r>
      <w:r w:rsidR="0067418F" w:rsidRPr="0067418F">
        <w:rPr>
          <w:rStyle w:val="Hyperlink"/>
        </w:rPr>
        <w:t>CPM 2020/18</w:t>
      </w:r>
      <w:bookmarkEnd w:id="0"/>
      <w:r w:rsidR="0067418F">
        <w:fldChar w:fldCharType="end"/>
      </w:r>
      <w:r w:rsidR="0067418F">
        <w:t>)</w:t>
      </w:r>
      <w:r w:rsidR="00592825">
        <w:t>.</w:t>
      </w:r>
      <w:r w:rsidR="0067418F">
        <w:t xml:space="preserve"> Additionally, t</w:t>
      </w:r>
      <w:r w:rsidR="0067418F" w:rsidRPr="00CF7934">
        <w:t xml:space="preserve">he focus group recommended that the membership of the </w:t>
      </w:r>
      <w:r w:rsidR="0067418F">
        <w:t>TFT</w:t>
      </w:r>
      <w:r w:rsidR="0067418F" w:rsidRPr="00CF7934">
        <w:t xml:space="preserve"> be expanded to include the Steward of the Technical Panel on Commodity Standards</w:t>
      </w:r>
      <w:r w:rsidR="00592825">
        <w:t xml:space="preserve"> </w:t>
      </w:r>
      <w:r w:rsidR="0067418F">
        <w:t xml:space="preserve">(TPCS). </w:t>
      </w:r>
    </w:p>
    <w:p w14:paraId="497A103F" w14:textId="7146E425" w:rsidR="00D16476" w:rsidRDefault="00C91B15" w:rsidP="005A5E29">
      <w:pPr>
        <w:pStyle w:val="IPPParagraphnumbering"/>
      </w:pPr>
      <w:r>
        <w:t>I</w:t>
      </w:r>
      <w:r w:rsidR="00D16476">
        <w:t>f any submissions on commodity specific topic will come, the CPM still need</w:t>
      </w:r>
      <w:r>
        <w:t>s</w:t>
      </w:r>
      <w:r w:rsidR="00D16476">
        <w:t xml:space="preserve"> to add </w:t>
      </w:r>
      <w:r>
        <w:t xml:space="preserve">them </w:t>
      </w:r>
      <w:r w:rsidR="00D16476">
        <w:t xml:space="preserve">to the SC work programme. </w:t>
      </w:r>
      <w:r w:rsidR="00DA61C9">
        <w:t xml:space="preserve">Guidance </w:t>
      </w:r>
      <w:r w:rsidR="00D16476">
        <w:t>on which commodity specific topic</w:t>
      </w:r>
      <w:r>
        <w:t>s</w:t>
      </w:r>
      <w:r w:rsidR="00D16476">
        <w:t xml:space="preserve"> to start the development of a draft standard needs to be taken, and therefore some discussions around this</w:t>
      </w:r>
      <w:r>
        <w:t xml:space="preserve"> still needs to take place</w:t>
      </w:r>
      <w:r w:rsidR="00D16476">
        <w:t>.</w:t>
      </w:r>
    </w:p>
    <w:p w14:paraId="14F5F71C" w14:textId="6BCDB70C" w:rsidR="00D16476" w:rsidRPr="00D16476" w:rsidRDefault="00E85C28" w:rsidP="00D16476">
      <w:pPr>
        <w:pStyle w:val="IPPParagraphnumbering"/>
      </w:pPr>
      <w:r w:rsidRPr="00D16476">
        <w:rPr>
          <w:b/>
        </w:rPr>
        <w:t>Communication and Advocacy.</w:t>
      </w:r>
      <w:r w:rsidRPr="00D16476">
        <w:t xml:space="preserve"> Development of information material</w:t>
      </w:r>
      <w:r w:rsidR="00D16476">
        <w:t xml:space="preserve"> with the aim to communicate and advocate on this new direction of the IPPC work is necessary </w:t>
      </w:r>
      <w:r w:rsidR="00D16476" w:rsidRPr="00D16476">
        <w:rPr>
          <w:bCs/>
          <w:szCs w:val="22"/>
        </w:rPr>
        <w:t>to increase visibility, to raise awareness of the process and to inform the IPPC activities</w:t>
      </w:r>
      <w:r w:rsidR="00D16476">
        <w:rPr>
          <w:bCs/>
          <w:szCs w:val="22"/>
        </w:rPr>
        <w:t xml:space="preserve"> to</w:t>
      </w:r>
      <w:r w:rsidR="00D16476" w:rsidRPr="00D16476">
        <w:rPr>
          <w:bCs/>
          <w:szCs w:val="22"/>
        </w:rPr>
        <w:t xml:space="preserve"> contracting parties </w:t>
      </w:r>
      <w:r w:rsidR="00D16476">
        <w:rPr>
          <w:bCs/>
          <w:szCs w:val="22"/>
        </w:rPr>
        <w:t>and stakeholders</w:t>
      </w:r>
      <w:r w:rsidR="00D16476" w:rsidRPr="00D16476">
        <w:rPr>
          <w:bCs/>
          <w:szCs w:val="22"/>
        </w:rPr>
        <w:t>.</w:t>
      </w:r>
      <w:r w:rsidR="00D16476" w:rsidRPr="00D16476">
        <w:t xml:space="preserve"> </w:t>
      </w:r>
      <w:r w:rsidR="00D16476">
        <w:t xml:space="preserve">Examples are </w:t>
      </w:r>
      <w:r w:rsidR="00D16476" w:rsidRPr="00D16476">
        <w:rPr>
          <w:bCs/>
          <w:szCs w:val="22"/>
        </w:rPr>
        <w:t>brochures</w:t>
      </w:r>
      <w:r w:rsidR="00D16476">
        <w:rPr>
          <w:bCs/>
          <w:szCs w:val="22"/>
        </w:rPr>
        <w:t>,</w:t>
      </w:r>
      <w:r w:rsidR="00D16476" w:rsidRPr="00D16476">
        <w:rPr>
          <w:bCs/>
          <w:szCs w:val="22"/>
        </w:rPr>
        <w:t xml:space="preserve"> factsheets</w:t>
      </w:r>
      <w:r w:rsidR="000763B3">
        <w:rPr>
          <w:bCs/>
          <w:szCs w:val="22"/>
        </w:rPr>
        <w:t xml:space="preserve"> and</w:t>
      </w:r>
      <w:r w:rsidR="00D16476" w:rsidRPr="00D16476">
        <w:rPr>
          <w:bCs/>
          <w:szCs w:val="22"/>
        </w:rPr>
        <w:t xml:space="preserve"> </w:t>
      </w:r>
      <w:r w:rsidR="000763B3">
        <w:rPr>
          <w:bCs/>
          <w:szCs w:val="22"/>
        </w:rPr>
        <w:t>news items.</w:t>
      </w:r>
    </w:p>
    <w:p w14:paraId="71338256" w14:textId="19EDCFB7" w:rsidR="004B77F1" w:rsidRDefault="00E85C28" w:rsidP="00C31277">
      <w:pPr>
        <w:pStyle w:val="IPPParagraphnumbering"/>
      </w:pPr>
      <w:r w:rsidRPr="004B77F1">
        <w:rPr>
          <w:b/>
          <w:bCs/>
          <w:szCs w:val="22"/>
        </w:rPr>
        <w:t>Partnerships</w:t>
      </w:r>
      <w:r w:rsidR="004B77F1">
        <w:rPr>
          <w:b/>
          <w:bCs/>
          <w:szCs w:val="22"/>
        </w:rPr>
        <w:t xml:space="preserve"> and networks – how to engage stakeholders</w:t>
      </w:r>
      <w:r w:rsidRPr="004B77F1">
        <w:rPr>
          <w:bCs/>
          <w:szCs w:val="22"/>
        </w:rPr>
        <w:t xml:space="preserve">. </w:t>
      </w:r>
      <w:r w:rsidR="000763B3" w:rsidRPr="004B77F1">
        <w:rPr>
          <w:bCs/>
          <w:szCs w:val="22"/>
        </w:rPr>
        <w:t>It is important to recall that the implementation of standards needs the commitment of all stakeholders. With the precedent of the ePhyto Industry Advisory Group (IAG)</w:t>
      </w:r>
      <w:r w:rsidR="000763B3">
        <w:rPr>
          <w:rStyle w:val="FootnoteReference"/>
          <w:bCs/>
          <w:szCs w:val="22"/>
        </w:rPr>
        <w:footnoteReference w:id="9"/>
      </w:r>
      <w:r w:rsidR="000763B3" w:rsidRPr="004B77F1">
        <w:rPr>
          <w:bCs/>
          <w:szCs w:val="22"/>
        </w:rPr>
        <w:t xml:space="preserve"> with the objective to provide practical guidance and advice to the IPPC Secretariat on the design, development and deployment of an ePhyto solution, a similar approach could be taken with the commodity-based standards, to ensure that the standards are considering all aspects </w:t>
      </w:r>
      <w:r w:rsidR="004F1827" w:rsidRPr="004B77F1">
        <w:rPr>
          <w:bCs/>
          <w:szCs w:val="22"/>
        </w:rPr>
        <w:t>of the international trade and for</w:t>
      </w:r>
      <w:r w:rsidR="000763B3" w:rsidRPr="004B77F1">
        <w:rPr>
          <w:bCs/>
          <w:szCs w:val="22"/>
        </w:rPr>
        <w:t xml:space="preserve"> </w:t>
      </w:r>
      <w:r w:rsidR="004F1827" w:rsidRPr="004B77F1">
        <w:rPr>
          <w:bCs/>
          <w:szCs w:val="22"/>
        </w:rPr>
        <w:t xml:space="preserve">their </w:t>
      </w:r>
      <w:r w:rsidR="000763B3" w:rsidRPr="004B77F1">
        <w:rPr>
          <w:bCs/>
          <w:szCs w:val="22"/>
        </w:rPr>
        <w:t>implementation.</w:t>
      </w:r>
      <w:r w:rsidR="00DA61C9" w:rsidRPr="004B77F1">
        <w:rPr>
          <w:bCs/>
          <w:szCs w:val="22"/>
        </w:rPr>
        <w:t xml:space="preserve"> Another possibil</w:t>
      </w:r>
      <w:r w:rsidR="004B77F1" w:rsidRPr="004B77F1">
        <w:rPr>
          <w:bCs/>
          <w:szCs w:val="22"/>
        </w:rPr>
        <w:t>ity is also to form an informal network, as the example for the work being carried out for e-commerce</w:t>
      </w:r>
      <w:r w:rsidR="004B77F1">
        <w:rPr>
          <w:bCs/>
          <w:szCs w:val="22"/>
        </w:rPr>
        <w:t>, in which has the</w:t>
      </w:r>
      <w:r w:rsidR="004B77F1" w:rsidRPr="004B77F1">
        <w:rPr>
          <w:bCs/>
          <w:szCs w:val="22"/>
        </w:rPr>
        <w:t xml:space="preserve"> purpose to support the Secretariat’s work on phytosanitary related cross-border e-commerce and to enhance information exchange and improve collaboration among the IPPC Secretariat, NPPOs, RPPOs, different international organizations and e-commerce stakeholders.</w:t>
      </w:r>
      <w:r w:rsidR="000763B3">
        <w:t xml:space="preserve"> </w:t>
      </w:r>
    </w:p>
    <w:p w14:paraId="311DE9D5" w14:textId="47AB4139" w:rsidR="00E85C28" w:rsidRPr="008346B0" w:rsidRDefault="000763B3" w:rsidP="00C31277">
      <w:pPr>
        <w:pStyle w:val="IPPParagraphnumbering"/>
      </w:pPr>
      <w:r>
        <w:t xml:space="preserve">Discussions on </w:t>
      </w:r>
      <w:r w:rsidR="004B77F1">
        <w:t xml:space="preserve">these </w:t>
      </w:r>
      <w:r>
        <w:t>possibility are welcome to take place</w:t>
      </w:r>
      <w:r w:rsidR="004F1827">
        <w:t>.</w:t>
      </w:r>
      <w:r>
        <w:t xml:space="preserve"> </w:t>
      </w:r>
      <w:r w:rsidR="00E85C28" w:rsidRPr="004F1827">
        <w:t xml:space="preserve">An initial plan could be made to explore this possibility, formed by the Secretariat, representatives of IPPC bodies such as the Bureau, SC and IC. </w:t>
      </w:r>
    </w:p>
    <w:p w14:paraId="6744ACF3" w14:textId="39D8EC8E" w:rsidR="008346B0" w:rsidRDefault="008346B0" w:rsidP="0022210E">
      <w:pPr>
        <w:pStyle w:val="IPPParagraphnumbering"/>
      </w:pPr>
      <w:r>
        <w:rPr>
          <w:b/>
          <w:bCs/>
          <w:szCs w:val="22"/>
        </w:rPr>
        <w:t>Implementation plan</w:t>
      </w:r>
      <w:r w:rsidRPr="008346B0">
        <w:t>.</w:t>
      </w:r>
      <w:r>
        <w:t xml:space="preserve"> A solid and robust implementation plan</w:t>
      </w:r>
      <w:r w:rsidR="004F1827">
        <w:t xml:space="preserve"> needs to be ensured</w:t>
      </w:r>
      <w:r>
        <w:t xml:space="preserve">, with </w:t>
      </w:r>
      <w:r w:rsidR="004F1827">
        <w:t xml:space="preserve">adequate allocation of </w:t>
      </w:r>
      <w:r w:rsidR="004F1827" w:rsidRPr="00073887">
        <w:t xml:space="preserve">resources </w:t>
      </w:r>
      <w:r w:rsidR="004F1827" w:rsidRPr="002823E2">
        <w:t xml:space="preserve">and with baseline </w:t>
      </w:r>
      <w:r w:rsidR="000F74BC" w:rsidRPr="002823E2">
        <w:t xml:space="preserve">information </w:t>
      </w:r>
      <w:r w:rsidR="004F1827" w:rsidRPr="002823E2">
        <w:t>on NPPOs capacity development.</w:t>
      </w:r>
      <w:r w:rsidR="004F1827">
        <w:t xml:space="preserve"> The production of </w:t>
      </w:r>
      <w:r>
        <w:t xml:space="preserve">guides, manuals, training and learning materials </w:t>
      </w:r>
      <w:r w:rsidR="004F1827">
        <w:t xml:space="preserve">should be worked upon, </w:t>
      </w:r>
      <w:r>
        <w:t xml:space="preserve">not only </w:t>
      </w:r>
      <w:r w:rsidR="000F74BC">
        <w:t xml:space="preserve">for </w:t>
      </w:r>
      <w:r>
        <w:t>the specific commodity standards, but to all activities that underpins a national system to ensure safe trade.</w:t>
      </w:r>
      <w:r w:rsidR="004F1827">
        <w:t xml:space="preserve"> An integrated and efficient work mechanism between the SC and IC needs to be put in place</w:t>
      </w:r>
      <w:r>
        <w:t xml:space="preserve"> </w:t>
      </w:r>
      <w:r w:rsidR="004F1827">
        <w:t xml:space="preserve">to guarantee the success of the implementation plan.  </w:t>
      </w:r>
    </w:p>
    <w:p w14:paraId="67B4A3F8" w14:textId="169FB3AF" w:rsidR="004F1827" w:rsidRPr="004F1827" w:rsidRDefault="004F1827" w:rsidP="004F1827">
      <w:pPr>
        <w:pStyle w:val="IPPParagraphnumbering"/>
      </w:pPr>
      <w:r>
        <w:t>As indicated in the strategic framework, a</w:t>
      </w:r>
      <w:r w:rsidRPr="004F1827">
        <w:t xml:space="preserve">s part of performance monitoring after implementation, </w:t>
      </w:r>
      <w:r w:rsidR="00C4090D">
        <w:t xml:space="preserve">it is needed to </w:t>
      </w:r>
      <w:r w:rsidRPr="004F1827">
        <w:t>evaluate the economic, trade, food security and environmental benefits delivered by a selection of commodity- or pathway-specific standards.</w:t>
      </w:r>
      <w:r w:rsidR="00C4090D">
        <w:t xml:space="preserve"> The success needs to be measured by monitoring its progress of the implementation.  </w:t>
      </w:r>
    </w:p>
    <w:p w14:paraId="4B6639C1" w14:textId="10CB0258" w:rsidR="00AA38C3" w:rsidRPr="00DA61C9" w:rsidRDefault="003E6360" w:rsidP="00DA61C9">
      <w:pPr>
        <w:pStyle w:val="IPPParagraphnumbering"/>
        <w:rPr>
          <w:b/>
        </w:rPr>
      </w:pPr>
      <w:r w:rsidRPr="00DA61C9">
        <w:rPr>
          <w:b/>
        </w:rPr>
        <w:t>Finances</w:t>
      </w:r>
      <w:r w:rsidR="00AA38C3" w:rsidRPr="00DA61C9">
        <w:rPr>
          <w:b/>
        </w:rPr>
        <w:t xml:space="preserve">. </w:t>
      </w:r>
      <w:r w:rsidR="00AA38C3">
        <w:t xml:space="preserve">The work on the commodity and pathways standards received from the European Commission (EC) </w:t>
      </w:r>
      <w:r w:rsidR="00AA38C3" w:rsidRPr="00891CF5">
        <w:t xml:space="preserve">EUR </w:t>
      </w:r>
      <w:r w:rsidR="00AA38C3">
        <w:t xml:space="preserve">300,000 of </w:t>
      </w:r>
      <w:r w:rsidR="00AA38C3" w:rsidRPr="00891CF5">
        <w:t>contribution</w:t>
      </w:r>
      <w:r w:rsidR="00AA38C3">
        <w:t xml:space="preserve">, in a co-funding agreement, </w:t>
      </w:r>
      <w:r w:rsidR="00AA38C3" w:rsidRPr="00891CF5">
        <w:t>to the IPPC Multi-donor trust fund</w:t>
      </w:r>
      <w:r w:rsidR="00AA38C3">
        <w:t xml:space="preserve"> dedicated to the work on commodity and pathway standards </w:t>
      </w:r>
      <w:r w:rsidR="00DA61C9">
        <w:t>over a three year period</w:t>
      </w:r>
      <w:r w:rsidR="00AA38C3">
        <w:t xml:space="preserve">. </w:t>
      </w:r>
      <w:r w:rsidR="00DA61C9">
        <w:t xml:space="preserve">Additional contributions were provided by </w:t>
      </w:r>
      <w:r w:rsidR="00AA38C3">
        <w:t xml:space="preserve">France </w:t>
      </w:r>
      <w:r w:rsidR="00DA61C9">
        <w:t>(</w:t>
      </w:r>
      <w:r w:rsidR="00DA61C9" w:rsidRPr="00DA61C9">
        <w:t>71</w:t>
      </w:r>
      <w:r w:rsidR="00DA61C9">
        <w:t>,</w:t>
      </w:r>
      <w:r w:rsidR="00DA61C9" w:rsidRPr="00DA61C9">
        <w:t>023 USD</w:t>
      </w:r>
      <w:r w:rsidR="00DA61C9">
        <w:t xml:space="preserve">), by </w:t>
      </w:r>
      <w:r w:rsidR="00DA61C9" w:rsidRPr="00DA61C9">
        <w:t>New Zealand (50,000 USD) and Canada (73,683 USD</w:t>
      </w:r>
      <w:r w:rsidR="00DA61C9">
        <w:t>)</w:t>
      </w:r>
      <w:r w:rsidR="00AA38C3">
        <w:t xml:space="preserve">. </w:t>
      </w:r>
    </w:p>
    <w:p w14:paraId="6E162A27" w14:textId="1C34D7C5" w:rsidR="00AA38C3" w:rsidRDefault="00AA38C3" w:rsidP="0022210E">
      <w:pPr>
        <w:pStyle w:val="IPPParagraphnumbering"/>
      </w:pPr>
      <w:r w:rsidRPr="00BE2A2F">
        <w:t>The following budget is proposed based on the IPPC Investment plan</w:t>
      </w:r>
      <w:r w:rsidR="00EF6E1A">
        <w:t xml:space="preserve"> 2020-2024 and to be re-visited</w:t>
      </w:r>
      <w:r w:rsidR="00A87D70">
        <w:t xml:space="preserve"> according to the actual expenditures, the decisions made and also </w:t>
      </w:r>
      <w:r w:rsidR="00EF6E1A">
        <w:t xml:space="preserve">once the Secretariat presents the figures of the costs to keep the work programme on commodity-based standards. </w:t>
      </w:r>
    </w:p>
    <w:tbl>
      <w:tblPr>
        <w:tblStyle w:val="TableGrid2"/>
        <w:tblW w:w="0" w:type="auto"/>
        <w:tblLook w:val="04A0" w:firstRow="1" w:lastRow="0" w:firstColumn="1" w:lastColumn="0" w:noHBand="0" w:noVBand="1"/>
      </w:tblPr>
      <w:tblGrid>
        <w:gridCol w:w="2972"/>
        <w:gridCol w:w="1134"/>
        <w:gridCol w:w="992"/>
        <w:gridCol w:w="993"/>
        <w:gridCol w:w="992"/>
        <w:gridCol w:w="992"/>
        <w:gridCol w:w="941"/>
      </w:tblGrid>
      <w:tr w:rsidR="0022210E" w:rsidRPr="00A87D70" w14:paraId="63E786F6" w14:textId="77777777" w:rsidTr="00A87D70">
        <w:trPr>
          <w:trHeight w:val="278"/>
          <w:tblHeader/>
        </w:trPr>
        <w:tc>
          <w:tcPr>
            <w:tcW w:w="2972" w:type="dxa"/>
            <w:vMerge w:val="restart"/>
            <w:shd w:val="clear" w:color="auto" w:fill="D9D9D9"/>
          </w:tcPr>
          <w:p w14:paraId="616C4217" w14:textId="77777777" w:rsidR="0022210E" w:rsidRPr="00A87D70" w:rsidRDefault="0022210E" w:rsidP="00A87D70">
            <w:pPr>
              <w:rPr>
                <w:rFonts w:ascii="Arial" w:eastAsia="Calibri" w:hAnsi="Arial" w:cs="Arial"/>
                <w:b/>
                <w:sz w:val="18"/>
                <w:szCs w:val="18"/>
              </w:rPr>
            </w:pPr>
            <w:r w:rsidRPr="00A87D70">
              <w:rPr>
                <w:rFonts w:ascii="Arial" w:eastAsia="Calibri" w:hAnsi="Arial" w:cs="Arial"/>
                <w:b/>
                <w:sz w:val="18"/>
                <w:szCs w:val="18"/>
              </w:rPr>
              <w:t>Action</w:t>
            </w:r>
          </w:p>
        </w:tc>
        <w:tc>
          <w:tcPr>
            <w:tcW w:w="1134" w:type="dxa"/>
            <w:vMerge w:val="restart"/>
            <w:shd w:val="clear" w:color="auto" w:fill="D9D9D9"/>
          </w:tcPr>
          <w:p w14:paraId="113050B0" w14:textId="77777777" w:rsidR="0022210E" w:rsidRPr="00A87D70" w:rsidRDefault="0022210E" w:rsidP="00A87D70">
            <w:pPr>
              <w:rPr>
                <w:rFonts w:ascii="Arial" w:eastAsia="Calibri" w:hAnsi="Arial" w:cs="Arial"/>
                <w:b/>
                <w:sz w:val="18"/>
                <w:szCs w:val="18"/>
              </w:rPr>
            </w:pPr>
            <w:r w:rsidRPr="00A87D70">
              <w:rPr>
                <w:rFonts w:ascii="Arial" w:eastAsia="Calibri" w:hAnsi="Arial" w:cs="Arial"/>
                <w:b/>
                <w:sz w:val="18"/>
                <w:szCs w:val="18"/>
              </w:rPr>
              <w:t>Funding</w:t>
            </w:r>
          </w:p>
          <w:p w14:paraId="05942BBC" w14:textId="77777777" w:rsidR="0022210E" w:rsidRPr="00A87D70" w:rsidRDefault="0022210E" w:rsidP="00A87D70">
            <w:pPr>
              <w:rPr>
                <w:rFonts w:ascii="Arial" w:eastAsia="Calibri" w:hAnsi="Arial" w:cs="Arial"/>
                <w:b/>
                <w:sz w:val="18"/>
                <w:szCs w:val="18"/>
              </w:rPr>
            </w:pPr>
            <w:r w:rsidRPr="00A87D70">
              <w:rPr>
                <w:rFonts w:ascii="Arial" w:eastAsia="Calibri" w:hAnsi="Arial" w:cs="Arial"/>
                <w:b/>
                <w:sz w:val="18"/>
                <w:szCs w:val="18"/>
              </w:rPr>
              <w:t>Source</w:t>
            </w:r>
          </w:p>
        </w:tc>
        <w:tc>
          <w:tcPr>
            <w:tcW w:w="4910" w:type="dxa"/>
            <w:gridSpan w:val="5"/>
            <w:shd w:val="clear" w:color="auto" w:fill="D9D9D9"/>
          </w:tcPr>
          <w:p w14:paraId="205E7CD4" w14:textId="77777777" w:rsidR="0022210E" w:rsidRPr="00A87D70" w:rsidRDefault="0022210E" w:rsidP="00A87D70">
            <w:pPr>
              <w:jc w:val="center"/>
              <w:rPr>
                <w:rFonts w:ascii="Arial" w:eastAsia="Calibri" w:hAnsi="Arial" w:cs="Arial"/>
                <w:b/>
                <w:sz w:val="18"/>
                <w:szCs w:val="18"/>
              </w:rPr>
            </w:pPr>
            <w:r w:rsidRPr="00A87D70">
              <w:rPr>
                <w:rFonts w:ascii="Arial" w:eastAsia="Calibri" w:hAnsi="Arial" w:cs="Arial"/>
                <w:b/>
                <w:sz w:val="18"/>
                <w:szCs w:val="18"/>
              </w:rPr>
              <w:t>Estimated budget (USD)</w:t>
            </w:r>
          </w:p>
        </w:tc>
      </w:tr>
      <w:tr w:rsidR="0022210E" w:rsidRPr="00A87D70" w14:paraId="10370700" w14:textId="77777777" w:rsidTr="00A87D70">
        <w:trPr>
          <w:trHeight w:val="278"/>
          <w:tblHeader/>
        </w:trPr>
        <w:tc>
          <w:tcPr>
            <w:tcW w:w="2972" w:type="dxa"/>
            <w:vMerge/>
          </w:tcPr>
          <w:p w14:paraId="4431832D" w14:textId="77777777" w:rsidR="0022210E" w:rsidRPr="00A87D70" w:rsidRDefault="0022210E" w:rsidP="00A87D70">
            <w:pPr>
              <w:rPr>
                <w:rFonts w:ascii="Arial" w:eastAsia="Calibri" w:hAnsi="Arial" w:cs="Arial"/>
                <w:sz w:val="18"/>
                <w:szCs w:val="18"/>
              </w:rPr>
            </w:pPr>
          </w:p>
        </w:tc>
        <w:tc>
          <w:tcPr>
            <w:tcW w:w="1134" w:type="dxa"/>
            <w:vMerge/>
          </w:tcPr>
          <w:p w14:paraId="3A824032" w14:textId="77777777" w:rsidR="0022210E" w:rsidRPr="00A87D70" w:rsidRDefault="0022210E" w:rsidP="00A87D70">
            <w:pPr>
              <w:rPr>
                <w:rFonts w:ascii="Arial" w:eastAsia="Calibri" w:hAnsi="Arial" w:cs="Arial"/>
                <w:sz w:val="18"/>
                <w:szCs w:val="18"/>
              </w:rPr>
            </w:pPr>
          </w:p>
        </w:tc>
        <w:tc>
          <w:tcPr>
            <w:tcW w:w="992" w:type="dxa"/>
            <w:shd w:val="clear" w:color="auto" w:fill="F2F2F2"/>
          </w:tcPr>
          <w:p w14:paraId="31E598C1" w14:textId="77777777" w:rsidR="0022210E" w:rsidRPr="00A87D70" w:rsidRDefault="0022210E" w:rsidP="00A87D70">
            <w:pPr>
              <w:rPr>
                <w:rFonts w:ascii="Arial" w:eastAsia="Calibri" w:hAnsi="Arial" w:cs="Arial"/>
                <w:b/>
                <w:sz w:val="18"/>
                <w:szCs w:val="18"/>
              </w:rPr>
            </w:pPr>
            <w:r w:rsidRPr="00A87D70">
              <w:rPr>
                <w:rFonts w:ascii="Arial" w:eastAsia="Calibri" w:hAnsi="Arial" w:cs="Arial"/>
                <w:b/>
                <w:sz w:val="18"/>
                <w:szCs w:val="18"/>
              </w:rPr>
              <w:t>2020</w:t>
            </w:r>
          </w:p>
        </w:tc>
        <w:tc>
          <w:tcPr>
            <w:tcW w:w="993" w:type="dxa"/>
            <w:shd w:val="clear" w:color="auto" w:fill="F2F2F2"/>
          </w:tcPr>
          <w:p w14:paraId="5021EEBE" w14:textId="77777777" w:rsidR="0022210E" w:rsidRPr="00A87D70" w:rsidRDefault="0022210E" w:rsidP="00A87D70">
            <w:pPr>
              <w:rPr>
                <w:rFonts w:ascii="Arial" w:eastAsia="Calibri" w:hAnsi="Arial" w:cs="Arial"/>
                <w:b/>
                <w:sz w:val="18"/>
                <w:szCs w:val="18"/>
              </w:rPr>
            </w:pPr>
            <w:r w:rsidRPr="00A87D70">
              <w:rPr>
                <w:rFonts w:ascii="Arial" w:eastAsia="Calibri" w:hAnsi="Arial" w:cs="Arial"/>
                <w:b/>
                <w:sz w:val="18"/>
                <w:szCs w:val="18"/>
              </w:rPr>
              <w:t>2021</w:t>
            </w:r>
          </w:p>
        </w:tc>
        <w:tc>
          <w:tcPr>
            <w:tcW w:w="992" w:type="dxa"/>
            <w:shd w:val="clear" w:color="auto" w:fill="F2F2F2"/>
          </w:tcPr>
          <w:p w14:paraId="40D0C591" w14:textId="77777777" w:rsidR="0022210E" w:rsidRPr="00A87D70" w:rsidRDefault="0022210E" w:rsidP="00A87D70">
            <w:pPr>
              <w:rPr>
                <w:rFonts w:ascii="Arial" w:eastAsia="Calibri" w:hAnsi="Arial" w:cs="Arial"/>
                <w:b/>
                <w:sz w:val="18"/>
                <w:szCs w:val="18"/>
              </w:rPr>
            </w:pPr>
            <w:r w:rsidRPr="00A87D70">
              <w:rPr>
                <w:rFonts w:ascii="Arial" w:eastAsia="Calibri" w:hAnsi="Arial" w:cs="Arial"/>
                <w:b/>
                <w:sz w:val="18"/>
                <w:szCs w:val="18"/>
              </w:rPr>
              <w:t>2022</w:t>
            </w:r>
          </w:p>
        </w:tc>
        <w:tc>
          <w:tcPr>
            <w:tcW w:w="992" w:type="dxa"/>
            <w:shd w:val="clear" w:color="auto" w:fill="F2F2F2"/>
          </w:tcPr>
          <w:p w14:paraId="24381DA6" w14:textId="77777777" w:rsidR="0022210E" w:rsidRPr="00A87D70" w:rsidRDefault="0022210E" w:rsidP="00A87D70">
            <w:pPr>
              <w:rPr>
                <w:rFonts w:ascii="Arial" w:eastAsia="Calibri" w:hAnsi="Arial" w:cs="Arial"/>
                <w:b/>
                <w:sz w:val="18"/>
                <w:szCs w:val="18"/>
              </w:rPr>
            </w:pPr>
            <w:r w:rsidRPr="00A87D70">
              <w:rPr>
                <w:rFonts w:ascii="Arial" w:eastAsia="Calibri" w:hAnsi="Arial" w:cs="Arial"/>
                <w:b/>
                <w:sz w:val="18"/>
                <w:szCs w:val="18"/>
              </w:rPr>
              <w:t>2023</w:t>
            </w:r>
          </w:p>
        </w:tc>
        <w:tc>
          <w:tcPr>
            <w:tcW w:w="941" w:type="dxa"/>
            <w:shd w:val="clear" w:color="auto" w:fill="F2F2F2"/>
          </w:tcPr>
          <w:p w14:paraId="17D63835" w14:textId="77777777" w:rsidR="0022210E" w:rsidRPr="00A87D70" w:rsidRDefault="0022210E" w:rsidP="00A87D70">
            <w:pPr>
              <w:rPr>
                <w:rFonts w:ascii="Arial" w:eastAsia="Calibri" w:hAnsi="Arial" w:cs="Arial"/>
                <w:b/>
                <w:sz w:val="18"/>
                <w:szCs w:val="18"/>
              </w:rPr>
            </w:pPr>
            <w:r w:rsidRPr="00A87D70">
              <w:rPr>
                <w:rFonts w:ascii="Arial" w:eastAsia="Calibri" w:hAnsi="Arial" w:cs="Arial"/>
                <w:b/>
                <w:sz w:val="18"/>
                <w:szCs w:val="18"/>
              </w:rPr>
              <w:t>2024</w:t>
            </w:r>
          </w:p>
        </w:tc>
      </w:tr>
      <w:tr w:rsidR="0022210E" w:rsidRPr="00A87D70" w14:paraId="7AF0311D" w14:textId="77777777" w:rsidTr="0022210E">
        <w:tc>
          <w:tcPr>
            <w:tcW w:w="2972" w:type="dxa"/>
          </w:tcPr>
          <w:p w14:paraId="63CAB5B8" w14:textId="7936F759"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Develop and pilot processes for commodity and pathway standards </w:t>
            </w:r>
          </w:p>
        </w:tc>
        <w:tc>
          <w:tcPr>
            <w:tcW w:w="1134" w:type="dxa"/>
          </w:tcPr>
          <w:p w14:paraId="72AA2F07" w14:textId="6488272C"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RP </w:t>
            </w:r>
          </w:p>
        </w:tc>
        <w:tc>
          <w:tcPr>
            <w:tcW w:w="992" w:type="dxa"/>
          </w:tcPr>
          <w:p w14:paraId="05DB21EC" w14:textId="6112F80E"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60 K </w:t>
            </w:r>
          </w:p>
        </w:tc>
        <w:tc>
          <w:tcPr>
            <w:tcW w:w="993" w:type="dxa"/>
          </w:tcPr>
          <w:p w14:paraId="42B1104F" w14:textId="08E36A4A" w:rsidR="0022210E" w:rsidRPr="00A87D70" w:rsidRDefault="0022210E" w:rsidP="00A87D70">
            <w:pPr>
              <w:rPr>
                <w:rFonts w:ascii="Arial" w:eastAsia="Calibri" w:hAnsi="Arial" w:cs="Arial"/>
                <w:sz w:val="18"/>
                <w:szCs w:val="18"/>
              </w:rPr>
            </w:pPr>
          </w:p>
        </w:tc>
        <w:tc>
          <w:tcPr>
            <w:tcW w:w="992" w:type="dxa"/>
          </w:tcPr>
          <w:p w14:paraId="1DCB7BAC" w14:textId="5C8C2E91" w:rsidR="0022210E" w:rsidRPr="00A87D70" w:rsidRDefault="0022210E" w:rsidP="00A87D70">
            <w:pPr>
              <w:rPr>
                <w:rFonts w:ascii="Arial" w:eastAsia="Calibri" w:hAnsi="Arial" w:cs="Arial"/>
                <w:sz w:val="18"/>
                <w:szCs w:val="18"/>
              </w:rPr>
            </w:pPr>
          </w:p>
        </w:tc>
        <w:tc>
          <w:tcPr>
            <w:tcW w:w="992" w:type="dxa"/>
          </w:tcPr>
          <w:p w14:paraId="22542837" w14:textId="16CD4992" w:rsidR="0022210E" w:rsidRPr="00A87D70" w:rsidRDefault="0022210E" w:rsidP="00A87D70">
            <w:pPr>
              <w:rPr>
                <w:rFonts w:ascii="Arial" w:eastAsia="Calibri" w:hAnsi="Arial" w:cs="Arial"/>
                <w:sz w:val="18"/>
                <w:szCs w:val="18"/>
              </w:rPr>
            </w:pPr>
          </w:p>
        </w:tc>
        <w:tc>
          <w:tcPr>
            <w:tcW w:w="941" w:type="dxa"/>
          </w:tcPr>
          <w:p w14:paraId="11977856" w14:textId="21FD8B14" w:rsidR="0022210E" w:rsidRPr="00A87D70" w:rsidRDefault="0022210E" w:rsidP="00A87D70">
            <w:pPr>
              <w:rPr>
                <w:rFonts w:ascii="Arial" w:eastAsia="Calibri" w:hAnsi="Arial" w:cs="Arial"/>
                <w:sz w:val="18"/>
                <w:szCs w:val="18"/>
              </w:rPr>
            </w:pPr>
          </w:p>
        </w:tc>
      </w:tr>
      <w:tr w:rsidR="0022210E" w:rsidRPr="00A87D70" w14:paraId="40950A76" w14:textId="77777777" w:rsidTr="0022210E">
        <w:tc>
          <w:tcPr>
            <w:tcW w:w="2972" w:type="dxa"/>
          </w:tcPr>
          <w:p w14:paraId="6B991660" w14:textId="4E76251F"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Analyse and address implementation challenges </w:t>
            </w:r>
          </w:p>
        </w:tc>
        <w:tc>
          <w:tcPr>
            <w:tcW w:w="1134" w:type="dxa"/>
          </w:tcPr>
          <w:p w14:paraId="6AFC4FFE" w14:textId="5CD46EF4" w:rsidR="0022210E" w:rsidRPr="00A87D70" w:rsidRDefault="0022210E" w:rsidP="00A87D70">
            <w:pPr>
              <w:rPr>
                <w:rFonts w:ascii="Arial" w:eastAsia="Calibri" w:hAnsi="Arial" w:cs="Arial"/>
                <w:sz w:val="18"/>
                <w:szCs w:val="18"/>
              </w:rPr>
            </w:pPr>
            <w:r w:rsidRPr="00A87D70">
              <w:rPr>
                <w:rFonts w:ascii="Arial" w:eastAsia="Calibri" w:hAnsi="Arial" w:cs="Arial"/>
                <w:sz w:val="18"/>
                <w:szCs w:val="18"/>
              </w:rPr>
              <w:t>IRSS</w:t>
            </w:r>
          </w:p>
        </w:tc>
        <w:tc>
          <w:tcPr>
            <w:tcW w:w="992" w:type="dxa"/>
          </w:tcPr>
          <w:p w14:paraId="6C95AB7F" w14:textId="77D7B230" w:rsidR="0022210E" w:rsidRPr="00A87D70" w:rsidRDefault="0022210E" w:rsidP="00A87D70">
            <w:pPr>
              <w:rPr>
                <w:rFonts w:ascii="Arial" w:eastAsia="Calibri" w:hAnsi="Arial" w:cs="Arial"/>
                <w:sz w:val="18"/>
                <w:szCs w:val="18"/>
              </w:rPr>
            </w:pPr>
          </w:p>
        </w:tc>
        <w:tc>
          <w:tcPr>
            <w:tcW w:w="993" w:type="dxa"/>
          </w:tcPr>
          <w:p w14:paraId="44E11A74" w14:textId="1108FBE3" w:rsidR="0022210E" w:rsidRPr="00A87D70" w:rsidRDefault="0022210E" w:rsidP="00A87D70">
            <w:pPr>
              <w:rPr>
                <w:rFonts w:ascii="Arial" w:eastAsia="Calibri" w:hAnsi="Arial" w:cs="Arial"/>
                <w:sz w:val="18"/>
                <w:szCs w:val="18"/>
              </w:rPr>
            </w:pPr>
            <w:r w:rsidRPr="00A87D70">
              <w:rPr>
                <w:rFonts w:ascii="Arial" w:eastAsia="Calibri" w:hAnsi="Arial" w:cs="Arial"/>
                <w:sz w:val="18"/>
                <w:szCs w:val="18"/>
              </w:rPr>
              <w:t>20K</w:t>
            </w:r>
          </w:p>
        </w:tc>
        <w:tc>
          <w:tcPr>
            <w:tcW w:w="992" w:type="dxa"/>
          </w:tcPr>
          <w:p w14:paraId="0AC09C9A" w14:textId="1C06E229" w:rsidR="0022210E" w:rsidRPr="00A87D70" w:rsidRDefault="0022210E" w:rsidP="00A87D70">
            <w:pPr>
              <w:rPr>
                <w:rFonts w:ascii="Arial" w:eastAsia="Calibri" w:hAnsi="Arial" w:cs="Arial"/>
                <w:sz w:val="18"/>
                <w:szCs w:val="18"/>
              </w:rPr>
            </w:pPr>
            <w:r w:rsidRPr="00A87D70">
              <w:rPr>
                <w:rFonts w:ascii="Arial" w:eastAsia="Calibri" w:hAnsi="Arial" w:cs="Arial"/>
                <w:sz w:val="18"/>
                <w:szCs w:val="18"/>
              </w:rPr>
              <w:t>20K</w:t>
            </w:r>
          </w:p>
        </w:tc>
        <w:tc>
          <w:tcPr>
            <w:tcW w:w="992" w:type="dxa"/>
          </w:tcPr>
          <w:p w14:paraId="1A4465DD" w14:textId="661C7094" w:rsidR="0022210E" w:rsidRPr="00A87D70" w:rsidRDefault="0022210E" w:rsidP="00A87D70">
            <w:pPr>
              <w:rPr>
                <w:rFonts w:ascii="Arial" w:eastAsia="Calibri" w:hAnsi="Arial" w:cs="Arial"/>
                <w:sz w:val="18"/>
                <w:szCs w:val="18"/>
              </w:rPr>
            </w:pPr>
            <w:r w:rsidRPr="00A87D70">
              <w:rPr>
                <w:rFonts w:ascii="Arial" w:eastAsia="Calibri" w:hAnsi="Arial" w:cs="Arial"/>
                <w:sz w:val="18"/>
                <w:szCs w:val="18"/>
              </w:rPr>
              <w:t>20K</w:t>
            </w:r>
          </w:p>
        </w:tc>
        <w:tc>
          <w:tcPr>
            <w:tcW w:w="941" w:type="dxa"/>
          </w:tcPr>
          <w:p w14:paraId="4D047F50" w14:textId="717D82A4" w:rsidR="0022210E" w:rsidRPr="00A87D70" w:rsidRDefault="0022210E" w:rsidP="00A87D70">
            <w:pPr>
              <w:rPr>
                <w:rFonts w:ascii="Arial" w:eastAsia="Calibri" w:hAnsi="Arial" w:cs="Arial"/>
                <w:sz w:val="18"/>
                <w:szCs w:val="18"/>
              </w:rPr>
            </w:pPr>
          </w:p>
        </w:tc>
      </w:tr>
      <w:tr w:rsidR="0022210E" w:rsidRPr="00A87D70" w14:paraId="21183806" w14:textId="77777777" w:rsidTr="0022210E">
        <w:tc>
          <w:tcPr>
            <w:tcW w:w="2972" w:type="dxa"/>
          </w:tcPr>
          <w:p w14:paraId="30BF2803" w14:textId="49D27DD8"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Identify priority pathways </w:t>
            </w:r>
          </w:p>
        </w:tc>
        <w:tc>
          <w:tcPr>
            <w:tcW w:w="1134" w:type="dxa"/>
          </w:tcPr>
          <w:p w14:paraId="306EB815" w14:textId="2B32A25C"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RP </w:t>
            </w:r>
          </w:p>
        </w:tc>
        <w:tc>
          <w:tcPr>
            <w:tcW w:w="992" w:type="dxa"/>
          </w:tcPr>
          <w:p w14:paraId="2298D1ED" w14:textId="508B638F"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20 K </w:t>
            </w:r>
          </w:p>
        </w:tc>
        <w:tc>
          <w:tcPr>
            <w:tcW w:w="993" w:type="dxa"/>
          </w:tcPr>
          <w:p w14:paraId="5BBA31D6" w14:textId="5F4EA95D" w:rsidR="0022210E" w:rsidRPr="00A87D70" w:rsidRDefault="0022210E" w:rsidP="00A87D70">
            <w:pPr>
              <w:rPr>
                <w:rFonts w:ascii="Arial" w:eastAsia="Calibri" w:hAnsi="Arial" w:cs="Arial"/>
                <w:sz w:val="18"/>
                <w:szCs w:val="18"/>
              </w:rPr>
            </w:pPr>
          </w:p>
        </w:tc>
        <w:tc>
          <w:tcPr>
            <w:tcW w:w="992" w:type="dxa"/>
          </w:tcPr>
          <w:p w14:paraId="1116B630" w14:textId="78012754" w:rsidR="0022210E" w:rsidRPr="00A87D70" w:rsidRDefault="0022210E" w:rsidP="00A87D70">
            <w:pPr>
              <w:rPr>
                <w:rFonts w:ascii="Arial" w:eastAsia="Calibri" w:hAnsi="Arial" w:cs="Arial"/>
                <w:sz w:val="18"/>
                <w:szCs w:val="18"/>
              </w:rPr>
            </w:pPr>
          </w:p>
        </w:tc>
        <w:tc>
          <w:tcPr>
            <w:tcW w:w="992" w:type="dxa"/>
          </w:tcPr>
          <w:p w14:paraId="2F5801F1" w14:textId="270EA5F3" w:rsidR="0022210E" w:rsidRPr="00A87D70" w:rsidRDefault="0022210E" w:rsidP="00A87D70">
            <w:pPr>
              <w:rPr>
                <w:rFonts w:ascii="Arial" w:eastAsia="Calibri" w:hAnsi="Arial" w:cs="Arial"/>
                <w:sz w:val="18"/>
                <w:szCs w:val="18"/>
              </w:rPr>
            </w:pPr>
          </w:p>
        </w:tc>
        <w:tc>
          <w:tcPr>
            <w:tcW w:w="941" w:type="dxa"/>
          </w:tcPr>
          <w:p w14:paraId="5E4F3E5C" w14:textId="6FEB0AEA" w:rsidR="0022210E" w:rsidRPr="00A87D70" w:rsidRDefault="0022210E" w:rsidP="00A87D70">
            <w:pPr>
              <w:rPr>
                <w:rFonts w:ascii="Arial" w:eastAsia="Calibri" w:hAnsi="Arial" w:cs="Arial"/>
                <w:sz w:val="18"/>
                <w:szCs w:val="18"/>
              </w:rPr>
            </w:pPr>
          </w:p>
        </w:tc>
      </w:tr>
      <w:tr w:rsidR="0022210E" w:rsidRPr="00A87D70" w14:paraId="48B96E91" w14:textId="77777777" w:rsidTr="0022210E">
        <w:trPr>
          <w:trHeight w:val="728"/>
        </w:trPr>
        <w:tc>
          <w:tcPr>
            <w:tcW w:w="2972" w:type="dxa"/>
          </w:tcPr>
          <w:p w14:paraId="45AA03CF" w14:textId="2C5514AD" w:rsidR="0022210E" w:rsidRPr="00A87D70" w:rsidRDefault="0022210E" w:rsidP="00A87D70">
            <w:pPr>
              <w:rPr>
                <w:rFonts w:ascii="Arial" w:eastAsia="Calibri" w:hAnsi="Arial" w:cs="Arial"/>
                <w:sz w:val="18"/>
                <w:szCs w:val="18"/>
              </w:rPr>
            </w:pPr>
            <w:r w:rsidRPr="00A87D70">
              <w:rPr>
                <w:rFonts w:ascii="Arial" w:eastAsia="Calibri" w:hAnsi="Arial" w:cs="Arial"/>
                <w:sz w:val="18"/>
                <w:szCs w:val="18"/>
              </w:rPr>
              <w:t>Establish and implement a work plan for commodity and pathway standards</w:t>
            </w:r>
          </w:p>
        </w:tc>
        <w:tc>
          <w:tcPr>
            <w:tcW w:w="1134" w:type="dxa"/>
          </w:tcPr>
          <w:p w14:paraId="2660F896" w14:textId="039D52AE"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RP </w:t>
            </w:r>
          </w:p>
        </w:tc>
        <w:tc>
          <w:tcPr>
            <w:tcW w:w="992" w:type="dxa"/>
          </w:tcPr>
          <w:p w14:paraId="712D6AE8" w14:textId="40BFA946" w:rsidR="0022210E" w:rsidRPr="00A87D70" w:rsidRDefault="0022210E" w:rsidP="00A87D70">
            <w:pPr>
              <w:rPr>
                <w:rFonts w:ascii="Arial" w:eastAsia="Calibri" w:hAnsi="Arial" w:cs="Arial"/>
                <w:sz w:val="18"/>
                <w:szCs w:val="18"/>
              </w:rPr>
            </w:pPr>
          </w:p>
        </w:tc>
        <w:tc>
          <w:tcPr>
            <w:tcW w:w="993" w:type="dxa"/>
          </w:tcPr>
          <w:p w14:paraId="766B2D01" w14:textId="63AAC1DE"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50 K </w:t>
            </w:r>
          </w:p>
        </w:tc>
        <w:tc>
          <w:tcPr>
            <w:tcW w:w="992" w:type="dxa"/>
          </w:tcPr>
          <w:p w14:paraId="08AA80C5" w14:textId="28DC4348"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50 K </w:t>
            </w:r>
          </w:p>
        </w:tc>
        <w:tc>
          <w:tcPr>
            <w:tcW w:w="992" w:type="dxa"/>
          </w:tcPr>
          <w:p w14:paraId="101AAD5B" w14:textId="250DEEA2"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50 K </w:t>
            </w:r>
          </w:p>
        </w:tc>
        <w:tc>
          <w:tcPr>
            <w:tcW w:w="941" w:type="dxa"/>
          </w:tcPr>
          <w:p w14:paraId="6A7940D7" w14:textId="6F4F14BE"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50 K </w:t>
            </w:r>
          </w:p>
        </w:tc>
      </w:tr>
      <w:tr w:rsidR="0022210E" w:rsidRPr="00A87D70" w14:paraId="5D52B5CC" w14:textId="77777777" w:rsidTr="0022210E">
        <w:tc>
          <w:tcPr>
            <w:tcW w:w="2972" w:type="dxa"/>
          </w:tcPr>
          <w:p w14:paraId="6BFE8299" w14:textId="6BCE2EDC" w:rsidR="0022210E" w:rsidRPr="00A87D70" w:rsidRDefault="0022210E" w:rsidP="00A87D70">
            <w:pPr>
              <w:pStyle w:val="Default"/>
              <w:numPr>
                <w:ilvl w:val="0"/>
                <w:numId w:val="1"/>
              </w:numPr>
              <w:rPr>
                <w:rFonts w:eastAsia="Times New Roman"/>
                <w:i/>
                <w:color w:val="0000FF"/>
                <w:sz w:val="18"/>
                <w:szCs w:val="18"/>
                <w:lang w:eastAsia="en-GB"/>
              </w:rPr>
            </w:pPr>
            <w:r w:rsidRPr="00A87D70">
              <w:rPr>
                <w:sz w:val="18"/>
                <w:szCs w:val="18"/>
              </w:rPr>
              <w:t xml:space="preserve">Establish evaluation criteria and analyse impacts of commodity and pathway standards </w:t>
            </w:r>
          </w:p>
        </w:tc>
        <w:tc>
          <w:tcPr>
            <w:tcW w:w="1134" w:type="dxa"/>
          </w:tcPr>
          <w:p w14:paraId="1DE5240A" w14:textId="1E051427"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IRSS </w:t>
            </w:r>
          </w:p>
        </w:tc>
        <w:tc>
          <w:tcPr>
            <w:tcW w:w="992" w:type="dxa"/>
          </w:tcPr>
          <w:p w14:paraId="7AA4623B" w14:textId="43E2E9DE"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20 K </w:t>
            </w:r>
          </w:p>
        </w:tc>
        <w:tc>
          <w:tcPr>
            <w:tcW w:w="993" w:type="dxa"/>
          </w:tcPr>
          <w:p w14:paraId="0F596008" w14:textId="2C6D8859" w:rsidR="0022210E" w:rsidRPr="00A87D70" w:rsidRDefault="0022210E" w:rsidP="00A87D70">
            <w:pPr>
              <w:rPr>
                <w:rFonts w:ascii="Arial" w:eastAsia="Calibri" w:hAnsi="Arial" w:cs="Arial"/>
                <w:sz w:val="18"/>
                <w:szCs w:val="18"/>
              </w:rPr>
            </w:pPr>
          </w:p>
        </w:tc>
        <w:tc>
          <w:tcPr>
            <w:tcW w:w="992" w:type="dxa"/>
          </w:tcPr>
          <w:p w14:paraId="72C5CA47" w14:textId="481E2255"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30 K </w:t>
            </w:r>
          </w:p>
        </w:tc>
        <w:tc>
          <w:tcPr>
            <w:tcW w:w="992" w:type="dxa"/>
          </w:tcPr>
          <w:p w14:paraId="28EDE88D" w14:textId="7DB2A666" w:rsidR="0022210E" w:rsidRPr="00A87D70" w:rsidRDefault="0022210E" w:rsidP="00A87D70">
            <w:pPr>
              <w:rPr>
                <w:rFonts w:ascii="Arial" w:eastAsia="Calibri" w:hAnsi="Arial" w:cs="Arial"/>
                <w:sz w:val="18"/>
                <w:szCs w:val="18"/>
              </w:rPr>
            </w:pPr>
          </w:p>
        </w:tc>
        <w:tc>
          <w:tcPr>
            <w:tcW w:w="941" w:type="dxa"/>
          </w:tcPr>
          <w:p w14:paraId="49FF2C48" w14:textId="1D148A80"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20 K </w:t>
            </w:r>
          </w:p>
        </w:tc>
      </w:tr>
      <w:tr w:rsidR="0022210E" w:rsidRPr="00A87D70" w14:paraId="76872CDA" w14:textId="77777777" w:rsidTr="0022210E">
        <w:tc>
          <w:tcPr>
            <w:tcW w:w="2972" w:type="dxa"/>
          </w:tcPr>
          <w:p w14:paraId="3263E707" w14:textId="77777777" w:rsidR="0022210E" w:rsidRPr="00A87D70" w:rsidRDefault="0022210E" w:rsidP="00A87D70">
            <w:pPr>
              <w:pStyle w:val="Default"/>
              <w:rPr>
                <w:sz w:val="18"/>
                <w:szCs w:val="18"/>
              </w:rPr>
            </w:pPr>
            <w:r w:rsidRPr="00A87D70">
              <w:rPr>
                <w:sz w:val="18"/>
                <w:szCs w:val="18"/>
              </w:rPr>
              <w:t xml:space="preserve">Establish and operate working groups on alternative risk management approaches </w:t>
            </w:r>
          </w:p>
          <w:p w14:paraId="3DA2B31D" w14:textId="33FE69F5" w:rsidR="0022210E" w:rsidRPr="00A87D70" w:rsidRDefault="0022210E" w:rsidP="00A87D70">
            <w:pPr>
              <w:pStyle w:val="Default"/>
              <w:numPr>
                <w:ilvl w:val="0"/>
                <w:numId w:val="16"/>
              </w:numPr>
              <w:rPr>
                <w:sz w:val="18"/>
                <w:szCs w:val="18"/>
              </w:rPr>
            </w:pPr>
            <w:r w:rsidRPr="00A87D70">
              <w:rPr>
                <w:sz w:val="18"/>
                <w:szCs w:val="18"/>
              </w:rPr>
              <w:t xml:space="preserve">40% RP FTE (SSU) </w:t>
            </w:r>
          </w:p>
          <w:p w14:paraId="491545AD" w14:textId="7F8BC027" w:rsidR="0022210E" w:rsidRPr="00A87D70" w:rsidRDefault="0022210E" w:rsidP="00A87D70">
            <w:pPr>
              <w:pStyle w:val="Default"/>
              <w:numPr>
                <w:ilvl w:val="0"/>
                <w:numId w:val="16"/>
              </w:numPr>
              <w:rPr>
                <w:sz w:val="18"/>
                <w:szCs w:val="18"/>
              </w:rPr>
            </w:pPr>
            <w:r w:rsidRPr="00A87D70">
              <w:rPr>
                <w:sz w:val="18"/>
                <w:szCs w:val="18"/>
              </w:rPr>
              <w:t xml:space="preserve">Meetings </w:t>
            </w:r>
          </w:p>
        </w:tc>
        <w:tc>
          <w:tcPr>
            <w:tcW w:w="1134" w:type="dxa"/>
          </w:tcPr>
          <w:p w14:paraId="5DEBA4FB" w14:textId="77777777" w:rsidR="0022210E" w:rsidRPr="00A87D70" w:rsidRDefault="0022210E" w:rsidP="00A87D70">
            <w:pPr>
              <w:pStyle w:val="Default"/>
              <w:rPr>
                <w:sz w:val="18"/>
                <w:szCs w:val="18"/>
              </w:rPr>
            </w:pPr>
            <w:r w:rsidRPr="00A87D70">
              <w:rPr>
                <w:sz w:val="18"/>
                <w:szCs w:val="18"/>
              </w:rPr>
              <w:t xml:space="preserve">RP </w:t>
            </w:r>
          </w:p>
          <w:p w14:paraId="501ECD45" w14:textId="34250A59"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MDTF </w:t>
            </w:r>
          </w:p>
        </w:tc>
        <w:tc>
          <w:tcPr>
            <w:tcW w:w="992" w:type="dxa"/>
          </w:tcPr>
          <w:p w14:paraId="0C0AD805" w14:textId="77777777" w:rsidR="0022210E" w:rsidRPr="00A87D70" w:rsidRDefault="0022210E" w:rsidP="00A87D70">
            <w:pPr>
              <w:pStyle w:val="Default"/>
              <w:rPr>
                <w:sz w:val="18"/>
                <w:szCs w:val="18"/>
              </w:rPr>
            </w:pPr>
            <w:r w:rsidRPr="00A87D70">
              <w:rPr>
                <w:sz w:val="18"/>
                <w:szCs w:val="18"/>
              </w:rPr>
              <w:t xml:space="preserve">50 K </w:t>
            </w:r>
          </w:p>
          <w:p w14:paraId="48B5BE96" w14:textId="170DE992"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60 K </w:t>
            </w:r>
          </w:p>
        </w:tc>
        <w:tc>
          <w:tcPr>
            <w:tcW w:w="993" w:type="dxa"/>
          </w:tcPr>
          <w:p w14:paraId="0BC650E5" w14:textId="77777777" w:rsidR="0022210E" w:rsidRPr="00A87D70" w:rsidRDefault="0022210E" w:rsidP="00A87D70">
            <w:pPr>
              <w:pStyle w:val="Default"/>
              <w:rPr>
                <w:sz w:val="18"/>
                <w:szCs w:val="18"/>
              </w:rPr>
            </w:pPr>
            <w:r w:rsidRPr="00A87D70">
              <w:rPr>
                <w:sz w:val="18"/>
                <w:szCs w:val="18"/>
              </w:rPr>
              <w:t xml:space="preserve">50 K </w:t>
            </w:r>
          </w:p>
          <w:p w14:paraId="7F5D5741" w14:textId="521A2646"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60 K </w:t>
            </w:r>
          </w:p>
        </w:tc>
        <w:tc>
          <w:tcPr>
            <w:tcW w:w="992" w:type="dxa"/>
          </w:tcPr>
          <w:p w14:paraId="503B3767" w14:textId="77777777" w:rsidR="0022210E" w:rsidRPr="00A87D70" w:rsidRDefault="0022210E" w:rsidP="00A87D70">
            <w:pPr>
              <w:pStyle w:val="Default"/>
              <w:rPr>
                <w:sz w:val="18"/>
                <w:szCs w:val="18"/>
              </w:rPr>
            </w:pPr>
            <w:r w:rsidRPr="00A87D70">
              <w:rPr>
                <w:sz w:val="18"/>
                <w:szCs w:val="18"/>
              </w:rPr>
              <w:t xml:space="preserve">50 K </w:t>
            </w:r>
          </w:p>
          <w:p w14:paraId="3AE965DB" w14:textId="0AC93A72"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60 K </w:t>
            </w:r>
          </w:p>
        </w:tc>
        <w:tc>
          <w:tcPr>
            <w:tcW w:w="992" w:type="dxa"/>
          </w:tcPr>
          <w:p w14:paraId="64D3DA97" w14:textId="77777777" w:rsidR="0022210E" w:rsidRPr="00A87D70" w:rsidRDefault="0022210E" w:rsidP="00A87D70">
            <w:pPr>
              <w:pStyle w:val="Default"/>
              <w:rPr>
                <w:sz w:val="18"/>
                <w:szCs w:val="18"/>
              </w:rPr>
            </w:pPr>
            <w:r w:rsidRPr="00A87D70">
              <w:rPr>
                <w:sz w:val="18"/>
                <w:szCs w:val="18"/>
              </w:rPr>
              <w:t xml:space="preserve">50 K </w:t>
            </w:r>
          </w:p>
          <w:p w14:paraId="26F5452C" w14:textId="2E75AF05"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70 K </w:t>
            </w:r>
          </w:p>
        </w:tc>
        <w:tc>
          <w:tcPr>
            <w:tcW w:w="941" w:type="dxa"/>
          </w:tcPr>
          <w:p w14:paraId="73C81653" w14:textId="77777777" w:rsidR="0022210E" w:rsidRPr="00A87D70" w:rsidRDefault="0022210E" w:rsidP="00A87D70">
            <w:pPr>
              <w:pStyle w:val="Default"/>
              <w:rPr>
                <w:sz w:val="18"/>
                <w:szCs w:val="18"/>
              </w:rPr>
            </w:pPr>
            <w:r w:rsidRPr="00A87D70">
              <w:rPr>
                <w:sz w:val="18"/>
                <w:szCs w:val="18"/>
              </w:rPr>
              <w:t xml:space="preserve">50 K </w:t>
            </w:r>
          </w:p>
          <w:p w14:paraId="2A6B6ED2" w14:textId="5E0D613E"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70 K </w:t>
            </w:r>
          </w:p>
        </w:tc>
      </w:tr>
      <w:tr w:rsidR="0022210E" w:rsidRPr="00A87D70" w14:paraId="6C581D77" w14:textId="77777777" w:rsidTr="0022210E">
        <w:tc>
          <w:tcPr>
            <w:tcW w:w="2972" w:type="dxa"/>
          </w:tcPr>
          <w:p w14:paraId="3AD09ABC" w14:textId="616E4BBB" w:rsidR="0022210E" w:rsidRPr="00A87D70" w:rsidRDefault="0022210E" w:rsidP="00A87D70">
            <w:pPr>
              <w:pStyle w:val="Default"/>
              <w:numPr>
                <w:ilvl w:val="0"/>
                <w:numId w:val="1"/>
              </w:numPr>
              <w:rPr>
                <w:rFonts w:eastAsia="Times New Roman"/>
                <w:i/>
                <w:color w:val="0000FF"/>
                <w:sz w:val="18"/>
                <w:szCs w:val="18"/>
                <w:lang w:eastAsia="en-GB"/>
              </w:rPr>
            </w:pPr>
            <w:r w:rsidRPr="00A87D70">
              <w:rPr>
                <w:sz w:val="18"/>
                <w:szCs w:val="18"/>
              </w:rPr>
              <w:t>Identify top priority treatments needs</w:t>
            </w:r>
          </w:p>
        </w:tc>
        <w:tc>
          <w:tcPr>
            <w:tcW w:w="1134" w:type="dxa"/>
          </w:tcPr>
          <w:p w14:paraId="5A2E456B" w14:textId="77777777" w:rsidR="0022210E" w:rsidRPr="00A87D70" w:rsidRDefault="0022210E" w:rsidP="00A87D70">
            <w:pPr>
              <w:pStyle w:val="Default"/>
              <w:rPr>
                <w:sz w:val="18"/>
                <w:szCs w:val="18"/>
              </w:rPr>
            </w:pPr>
            <w:r w:rsidRPr="00A87D70">
              <w:rPr>
                <w:sz w:val="18"/>
                <w:szCs w:val="18"/>
              </w:rPr>
              <w:t xml:space="preserve">IRSS </w:t>
            </w:r>
          </w:p>
          <w:p w14:paraId="6FCCFBBB" w14:textId="3C2A0EAF"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RP </w:t>
            </w:r>
          </w:p>
        </w:tc>
        <w:tc>
          <w:tcPr>
            <w:tcW w:w="992" w:type="dxa"/>
          </w:tcPr>
          <w:p w14:paraId="3482303C" w14:textId="77777777" w:rsidR="0022210E" w:rsidRPr="00A87D70" w:rsidRDefault="0022210E" w:rsidP="00A87D70">
            <w:pPr>
              <w:pStyle w:val="Default"/>
              <w:rPr>
                <w:sz w:val="18"/>
                <w:szCs w:val="18"/>
              </w:rPr>
            </w:pPr>
            <w:r w:rsidRPr="00A87D70">
              <w:rPr>
                <w:sz w:val="18"/>
                <w:szCs w:val="18"/>
              </w:rPr>
              <w:t xml:space="preserve">20 K </w:t>
            </w:r>
          </w:p>
          <w:p w14:paraId="25E2222E" w14:textId="01812D6A"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50 K </w:t>
            </w:r>
          </w:p>
        </w:tc>
        <w:tc>
          <w:tcPr>
            <w:tcW w:w="993" w:type="dxa"/>
          </w:tcPr>
          <w:p w14:paraId="6F461241" w14:textId="53B7F726"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50 K </w:t>
            </w:r>
          </w:p>
        </w:tc>
        <w:tc>
          <w:tcPr>
            <w:tcW w:w="992" w:type="dxa"/>
          </w:tcPr>
          <w:p w14:paraId="53915D1F" w14:textId="77777777" w:rsidR="0022210E" w:rsidRPr="00A87D70" w:rsidRDefault="0022210E" w:rsidP="00A87D70">
            <w:pPr>
              <w:pStyle w:val="Default"/>
              <w:rPr>
                <w:sz w:val="18"/>
                <w:szCs w:val="18"/>
              </w:rPr>
            </w:pPr>
            <w:r w:rsidRPr="00A87D70">
              <w:rPr>
                <w:sz w:val="18"/>
                <w:szCs w:val="18"/>
              </w:rPr>
              <w:t xml:space="preserve">20 K </w:t>
            </w:r>
          </w:p>
          <w:p w14:paraId="6E3735C1" w14:textId="0AAE5E48"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50 K </w:t>
            </w:r>
          </w:p>
        </w:tc>
        <w:tc>
          <w:tcPr>
            <w:tcW w:w="992" w:type="dxa"/>
          </w:tcPr>
          <w:p w14:paraId="57162DEA" w14:textId="5E63B8D6"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50 K </w:t>
            </w:r>
          </w:p>
        </w:tc>
        <w:tc>
          <w:tcPr>
            <w:tcW w:w="941" w:type="dxa"/>
          </w:tcPr>
          <w:p w14:paraId="32B6CAED" w14:textId="77777777" w:rsidR="0022210E" w:rsidRPr="00A87D70" w:rsidRDefault="0022210E" w:rsidP="00A87D70">
            <w:pPr>
              <w:pStyle w:val="Default"/>
              <w:rPr>
                <w:sz w:val="18"/>
                <w:szCs w:val="18"/>
              </w:rPr>
            </w:pPr>
            <w:r w:rsidRPr="00A87D70">
              <w:rPr>
                <w:sz w:val="18"/>
                <w:szCs w:val="18"/>
              </w:rPr>
              <w:t xml:space="preserve">20 K </w:t>
            </w:r>
          </w:p>
          <w:p w14:paraId="08EC4D24" w14:textId="2993B021"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50 K </w:t>
            </w:r>
          </w:p>
        </w:tc>
      </w:tr>
      <w:tr w:rsidR="0022210E" w:rsidRPr="00A87D70" w14:paraId="2D7F4456" w14:textId="77777777" w:rsidTr="0022210E">
        <w:tc>
          <w:tcPr>
            <w:tcW w:w="2972" w:type="dxa"/>
          </w:tcPr>
          <w:p w14:paraId="1D91ADFB" w14:textId="77777777" w:rsidR="0022210E" w:rsidRPr="00A87D70" w:rsidRDefault="0022210E" w:rsidP="00A87D70">
            <w:pPr>
              <w:pStyle w:val="Default"/>
              <w:rPr>
                <w:sz w:val="18"/>
                <w:szCs w:val="18"/>
              </w:rPr>
            </w:pPr>
            <w:r w:rsidRPr="00A87D70">
              <w:rPr>
                <w:sz w:val="18"/>
                <w:szCs w:val="18"/>
              </w:rPr>
              <w:t xml:space="preserve">Intensify current treatment activities </w:t>
            </w:r>
          </w:p>
          <w:p w14:paraId="7CFA54F3" w14:textId="77777777" w:rsidR="0022210E" w:rsidRPr="00A87D70" w:rsidRDefault="0022210E" w:rsidP="00A87D70">
            <w:pPr>
              <w:pStyle w:val="Default"/>
              <w:numPr>
                <w:ilvl w:val="0"/>
                <w:numId w:val="15"/>
              </w:numPr>
              <w:rPr>
                <w:sz w:val="18"/>
                <w:szCs w:val="18"/>
              </w:rPr>
            </w:pPr>
            <w:r w:rsidRPr="00A87D70">
              <w:rPr>
                <w:sz w:val="18"/>
                <w:szCs w:val="18"/>
              </w:rPr>
              <w:t xml:space="preserve">Coordinator </w:t>
            </w:r>
          </w:p>
          <w:p w14:paraId="0CD39130" w14:textId="529D70B9" w:rsidR="0022210E" w:rsidRPr="00A87D70" w:rsidRDefault="0022210E" w:rsidP="00A87D70">
            <w:pPr>
              <w:pStyle w:val="Default"/>
              <w:numPr>
                <w:ilvl w:val="0"/>
                <w:numId w:val="15"/>
              </w:numPr>
              <w:rPr>
                <w:sz w:val="18"/>
                <w:szCs w:val="18"/>
              </w:rPr>
            </w:pPr>
            <w:r w:rsidRPr="00A87D70">
              <w:rPr>
                <w:sz w:val="18"/>
                <w:szCs w:val="18"/>
              </w:rPr>
              <w:t xml:space="preserve">Expert meetings or analysis </w:t>
            </w:r>
          </w:p>
        </w:tc>
        <w:tc>
          <w:tcPr>
            <w:tcW w:w="1134" w:type="dxa"/>
          </w:tcPr>
          <w:p w14:paraId="2B75901E" w14:textId="4BF7F3BD"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MDTF </w:t>
            </w:r>
          </w:p>
        </w:tc>
        <w:tc>
          <w:tcPr>
            <w:tcW w:w="992" w:type="dxa"/>
          </w:tcPr>
          <w:p w14:paraId="582692C8" w14:textId="024E72D4"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150 K </w:t>
            </w:r>
          </w:p>
        </w:tc>
        <w:tc>
          <w:tcPr>
            <w:tcW w:w="993" w:type="dxa"/>
          </w:tcPr>
          <w:p w14:paraId="5AD9F239" w14:textId="1697E857"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150 K </w:t>
            </w:r>
          </w:p>
        </w:tc>
        <w:tc>
          <w:tcPr>
            <w:tcW w:w="992" w:type="dxa"/>
          </w:tcPr>
          <w:p w14:paraId="762E604D" w14:textId="5CB9035C"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200 K </w:t>
            </w:r>
          </w:p>
        </w:tc>
        <w:tc>
          <w:tcPr>
            <w:tcW w:w="992" w:type="dxa"/>
          </w:tcPr>
          <w:p w14:paraId="6C3163E1" w14:textId="40C2C247"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200 K </w:t>
            </w:r>
          </w:p>
        </w:tc>
        <w:tc>
          <w:tcPr>
            <w:tcW w:w="941" w:type="dxa"/>
          </w:tcPr>
          <w:p w14:paraId="3DD19CF5" w14:textId="0AA4002D"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200 K </w:t>
            </w:r>
          </w:p>
        </w:tc>
      </w:tr>
      <w:tr w:rsidR="0022210E" w:rsidRPr="00A87D70" w14:paraId="55D515BB" w14:textId="77777777" w:rsidTr="0022210E">
        <w:tc>
          <w:tcPr>
            <w:tcW w:w="2972" w:type="dxa"/>
          </w:tcPr>
          <w:p w14:paraId="392A0789" w14:textId="4FE33C9A" w:rsidR="0022210E" w:rsidRPr="00A87D70" w:rsidRDefault="0022210E" w:rsidP="00A87D70">
            <w:pPr>
              <w:rPr>
                <w:rFonts w:ascii="Arial" w:eastAsia="Calibri" w:hAnsi="Arial" w:cs="Arial"/>
                <w:b/>
                <w:sz w:val="18"/>
                <w:szCs w:val="18"/>
              </w:rPr>
            </w:pPr>
            <w:r w:rsidRPr="00A87D70">
              <w:rPr>
                <w:rFonts w:ascii="Arial" w:hAnsi="Arial" w:cs="Arial"/>
                <w:b/>
                <w:bCs/>
                <w:sz w:val="18"/>
                <w:szCs w:val="18"/>
              </w:rPr>
              <w:t xml:space="preserve">Total </w:t>
            </w:r>
          </w:p>
        </w:tc>
        <w:tc>
          <w:tcPr>
            <w:tcW w:w="1134" w:type="dxa"/>
          </w:tcPr>
          <w:p w14:paraId="1C6FE5F1" w14:textId="0DE83C83" w:rsidR="0022210E" w:rsidRPr="00A87D70" w:rsidRDefault="0022210E" w:rsidP="00A87D70">
            <w:pPr>
              <w:rPr>
                <w:rFonts w:ascii="Arial" w:eastAsia="Calibri" w:hAnsi="Arial" w:cs="Arial"/>
                <w:b/>
                <w:sz w:val="18"/>
                <w:szCs w:val="18"/>
              </w:rPr>
            </w:pPr>
            <w:r w:rsidRPr="00A87D70">
              <w:rPr>
                <w:rFonts w:ascii="Arial" w:hAnsi="Arial" w:cs="Arial"/>
                <w:b/>
                <w:bCs/>
                <w:sz w:val="18"/>
                <w:szCs w:val="18"/>
              </w:rPr>
              <w:t xml:space="preserve">Various </w:t>
            </w:r>
          </w:p>
        </w:tc>
        <w:tc>
          <w:tcPr>
            <w:tcW w:w="992" w:type="dxa"/>
          </w:tcPr>
          <w:p w14:paraId="0BD519DB" w14:textId="682322EC" w:rsidR="0022210E" w:rsidRPr="00A87D70" w:rsidRDefault="0022210E" w:rsidP="00A87D70">
            <w:pPr>
              <w:rPr>
                <w:rFonts w:ascii="Arial" w:eastAsia="Calibri" w:hAnsi="Arial" w:cs="Arial"/>
                <w:b/>
                <w:sz w:val="18"/>
                <w:szCs w:val="18"/>
              </w:rPr>
            </w:pPr>
            <w:r w:rsidRPr="00A87D70">
              <w:rPr>
                <w:rFonts w:ascii="Arial" w:hAnsi="Arial" w:cs="Arial"/>
                <w:b/>
                <w:bCs/>
                <w:sz w:val="18"/>
                <w:szCs w:val="18"/>
              </w:rPr>
              <w:t xml:space="preserve">430 K </w:t>
            </w:r>
          </w:p>
        </w:tc>
        <w:tc>
          <w:tcPr>
            <w:tcW w:w="993" w:type="dxa"/>
          </w:tcPr>
          <w:p w14:paraId="094DAF18" w14:textId="362A1E72" w:rsidR="0022210E" w:rsidRPr="00A87D70" w:rsidRDefault="0022210E" w:rsidP="00A87D70">
            <w:pPr>
              <w:rPr>
                <w:rFonts w:ascii="Arial" w:eastAsia="Calibri" w:hAnsi="Arial" w:cs="Arial"/>
                <w:b/>
                <w:sz w:val="18"/>
                <w:szCs w:val="18"/>
              </w:rPr>
            </w:pPr>
            <w:r w:rsidRPr="00A87D70">
              <w:rPr>
                <w:rFonts w:ascii="Arial" w:hAnsi="Arial" w:cs="Arial"/>
                <w:b/>
                <w:bCs/>
                <w:sz w:val="18"/>
                <w:szCs w:val="18"/>
              </w:rPr>
              <w:t xml:space="preserve">380 K </w:t>
            </w:r>
          </w:p>
        </w:tc>
        <w:tc>
          <w:tcPr>
            <w:tcW w:w="992" w:type="dxa"/>
          </w:tcPr>
          <w:p w14:paraId="0442D89B" w14:textId="65A5676F" w:rsidR="0022210E" w:rsidRPr="00A87D70" w:rsidRDefault="0022210E" w:rsidP="00A87D70">
            <w:pPr>
              <w:rPr>
                <w:rFonts w:ascii="Arial" w:eastAsia="Calibri" w:hAnsi="Arial" w:cs="Arial"/>
                <w:b/>
                <w:sz w:val="18"/>
                <w:szCs w:val="18"/>
              </w:rPr>
            </w:pPr>
            <w:r w:rsidRPr="00A87D70">
              <w:rPr>
                <w:rFonts w:ascii="Arial" w:hAnsi="Arial" w:cs="Arial"/>
                <w:b/>
                <w:bCs/>
                <w:sz w:val="18"/>
                <w:szCs w:val="18"/>
              </w:rPr>
              <w:t xml:space="preserve">480 K </w:t>
            </w:r>
          </w:p>
        </w:tc>
        <w:tc>
          <w:tcPr>
            <w:tcW w:w="992" w:type="dxa"/>
          </w:tcPr>
          <w:p w14:paraId="137C5E38" w14:textId="1B591994" w:rsidR="0022210E" w:rsidRPr="00A87D70" w:rsidRDefault="0022210E" w:rsidP="00A87D70">
            <w:pPr>
              <w:rPr>
                <w:rFonts w:ascii="Arial" w:eastAsia="Calibri" w:hAnsi="Arial" w:cs="Arial"/>
                <w:b/>
                <w:sz w:val="18"/>
                <w:szCs w:val="18"/>
              </w:rPr>
            </w:pPr>
            <w:r w:rsidRPr="00A87D70">
              <w:rPr>
                <w:rFonts w:ascii="Arial" w:hAnsi="Arial" w:cs="Arial"/>
                <w:b/>
                <w:bCs/>
                <w:sz w:val="18"/>
                <w:szCs w:val="18"/>
              </w:rPr>
              <w:t xml:space="preserve">440 K </w:t>
            </w:r>
          </w:p>
        </w:tc>
        <w:tc>
          <w:tcPr>
            <w:tcW w:w="941" w:type="dxa"/>
          </w:tcPr>
          <w:p w14:paraId="25374EC1" w14:textId="0BF055EE" w:rsidR="0022210E" w:rsidRPr="00A87D70" w:rsidRDefault="0022210E" w:rsidP="00A87D70">
            <w:pPr>
              <w:rPr>
                <w:rFonts w:ascii="Arial" w:eastAsia="Calibri" w:hAnsi="Arial" w:cs="Arial"/>
                <w:b/>
                <w:sz w:val="18"/>
                <w:szCs w:val="18"/>
              </w:rPr>
            </w:pPr>
            <w:r w:rsidRPr="00A87D70">
              <w:rPr>
                <w:rFonts w:ascii="Arial" w:hAnsi="Arial" w:cs="Arial"/>
                <w:b/>
                <w:bCs/>
                <w:sz w:val="18"/>
                <w:szCs w:val="18"/>
              </w:rPr>
              <w:t xml:space="preserve">460 K </w:t>
            </w:r>
          </w:p>
        </w:tc>
      </w:tr>
      <w:tr w:rsidR="0022210E" w:rsidRPr="00A87D70" w14:paraId="1CFD8F07" w14:textId="77777777" w:rsidTr="0022210E">
        <w:tc>
          <w:tcPr>
            <w:tcW w:w="2972" w:type="dxa"/>
          </w:tcPr>
          <w:p w14:paraId="6AAF9C0B" w14:textId="6590D180"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FTE (estimate) </w:t>
            </w:r>
          </w:p>
        </w:tc>
        <w:tc>
          <w:tcPr>
            <w:tcW w:w="1134" w:type="dxa"/>
          </w:tcPr>
          <w:p w14:paraId="6E024E86" w14:textId="52661451"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Various </w:t>
            </w:r>
          </w:p>
        </w:tc>
        <w:tc>
          <w:tcPr>
            <w:tcW w:w="992" w:type="dxa"/>
          </w:tcPr>
          <w:p w14:paraId="698B6689" w14:textId="2277ACD4"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2.5 </w:t>
            </w:r>
          </w:p>
        </w:tc>
        <w:tc>
          <w:tcPr>
            <w:tcW w:w="993" w:type="dxa"/>
          </w:tcPr>
          <w:p w14:paraId="23E9795A" w14:textId="52F50CD7"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2.5 </w:t>
            </w:r>
          </w:p>
        </w:tc>
        <w:tc>
          <w:tcPr>
            <w:tcW w:w="992" w:type="dxa"/>
          </w:tcPr>
          <w:p w14:paraId="4EE13488" w14:textId="2C6122B0"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2.5 </w:t>
            </w:r>
          </w:p>
        </w:tc>
        <w:tc>
          <w:tcPr>
            <w:tcW w:w="992" w:type="dxa"/>
          </w:tcPr>
          <w:p w14:paraId="30A92025" w14:textId="37D943FB"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2.0 </w:t>
            </w:r>
          </w:p>
        </w:tc>
        <w:tc>
          <w:tcPr>
            <w:tcW w:w="941" w:type="dxa"/>
          </w:tcPr>
          <w:p w14:paraId="63430401" w14:textId="382D8170" w:rsidR="0022210E" w:rsidRPr="00A87D70" w:rsidRDefault="0022210E" w:rsidP="00A87D70">
            <w:pPr>
              <w:rPr>
                <w:rFonts w:ascii="Arial" w:eastAsia="Calibri" w:hAnsi="Arial" w:cs="Arial"/>
                <w:sz w:val="18"/>
                <w:szCs w:val="18"/>
              </w:rPr>
            </w:pPr>
            <w:r w:rsidRPr="00A87D70">
              <w:rPr>
                <w:rFonts w:ascii="Arial" w:hAnsi="Arial" w:cs="Arial"/>
                <w:sz w:val="18"/>
                <w:szCs w:val="18"/>
              </w:rPr>
              <w:t xml:space="preserve">2.0 </w:t>
            </w:r>
          </w:p>
        </w:tc>
      </w:tr>
    </w:tbl>
    <w:p w14:paraId="32D6208B" w14:textId="77777777" w:rsidR="0022210E" w:rsidRDefault="0022210E" w:rsidP="00A87D70">
      <w:pPr>
        <w:pStyle w:val="IPPParagraphnumbering"/>
        <w:numPr>
          <w:ilvl w:val="0"/>
          <w:numId w:val="0"/>
        </w:numPr>
      </w:pPr>
    </w:p>
    <w:p w14:paraId="377679AF" w14:textId="77777777" w:rsidR="00AA38C3" w:rsidRPr="002823E2" w:rsidRDefault="00AA38C3" w:rsidP="002823E2">
      <w:pPr>
        <w:pStyle w:val="IPPHeading1"/>
      </w:pPr>
      <w:r w:rsidRPr="002823E2">
        <w:t>Recommendation</w:t>
      </w:r>
    </w:p>
    <w:p w14:paraId="572711C7" w14:textId="76A95734" w:rsidR="00AA38C3" w:rsidRPr="00073887" w:rsidRDefault="00AA38C3" w:rsidP="00AA38C3">
      <w:pPr>
        <w:pStyle w:val="IPPParagraphnumbering"/>
      </w:pPr>
      <w:r w:rsidRPr="00073887">
        <w:t>The SPG is invited to:</w:t>
      </w:r>
    </w:p>
    <w:p w14:paraId="1C059455" w14:textId="35B8402A" w:rsidR="00073887" w:rsidRPr="00073887" w:rsidRDefault="00AA38C3" w:rsidP="00216422">
      <w:pPr>
        <w:pStyle w:val="IPPNumberedList"/>
        <w:rPr>
          <w:rFonts w:cs="Times New Roman"/>
        </w:rPr>
      </w:pPr>
      <w:r w:rsidRPr="00073887">
        <w:rPr>
          <w:i/>
        </w:rPr>
        <w:t>note</w:t>
      </w:r>
      <w:r>
        <w:t xml:space="preserve"> the </w:t>
      </w:r>
      <w:r w:rsidR="00073887">
        <w:t>document;</w:t>
      </w:r>
    </w:p>
    <w:p w14:paraId="48E7193C" w14:textId="01C5DAE3" w:rsidR="00862862" w:rsidRPr="00073887" w:rsidRDefault="00073887" w:rsidP="00216422">
      <w:pPr>
        <w:pStyle w:val="IPPNumberedList"/>
        <w:rPr>
          <w:rFonts w:cs="Times New Roman"/>
        </w:rPr>
      </w:pPr>
      <w:r>
        <w:rPr>
          <w:rFonts w:cs="Times New Roman"/>
          <w:i/>
          <w:lang w:val="en-GB"/>
        </w:rPr>
        <w:t>d</w:t>
      </w:r>
      <w:r w:rsidRPr="00151661">
        <w:rPr>
          <w:rFonts w:cs="Times New Roman"/>
          <w:i/>
          <w:lang w:val="en-GB"/>
        </w:rPr>
        <w:t>iscuss</w:t>
      </w:r>
      <w:r>
        <w:t xml:space="preserve"> possible next steps on the development of commodity based standards;</w:t>
      </w:r>
    </w:p>
    <w:p w14:paraId="58618F53" w14:textId="284C0D73" w:rsidR="00073887" w:rsidRDefault="00073887" w:rsidP="00073887">
      <w:pPr>
        <w:pStyle w:val="IPPNumberedList"/>
        <w:rPr>
          <w:rFonts w:cs="Times New Roman"/>
        </w:rPr>
      </w:pPr>
      <w:r w:rsidRPr="00073887">
        <w:rPr>
          <w:rFonts w:cs="Times New Roman"/>
          <w:i/>
        </w:rPr>
        <w:t>discuss</w:t>
      </w:r>
      <w:r>
        <w:rPr>
          <w:rFonts w:cs="Times New Roman"/>
          <w:i/>
        </w:rPr>
        <w:t>,</w:t>
      </w:r>
      <w:r w:rsidRPr="00073887">
        <w:rPr>
          <w:rFonts w:cs="Times New Roman"/>
          <w:i/>
        </w:rPr>
        <w:t xml:space="preserve"> </w:t>
      </w:r>
      <w:r>
        <w:rPr>
          <w:rFonts w:cs="Times New Roman"/>
          <w:i/>
        </w:rPr>
        <w:t xml:space="preserve">and if possible, provide advice </w:t>
      </w:r>
      <w:r>
        <w:rPr>
          <w:rFonts w:cs="Times New Roman"/>
        </w:rPr>
        <w:t>on how to approach the development of p</w:t>
      </w:r>
      <w:r w:rsidRPr="00073887">
        <w:rPr>
          <w:rFonts w:cs="Times New Roman"/>
        </w:rPr>
        <w:t>hytosanitary treatments, diagnostic protocols and a streamlined standard setting process</w:t>
      </w:r>
      <w:r>
        <w:rPr>
          <w:rFonts w:cs="Times New Roman"/>
        </w:rPr>
        <w:t>;</w:t>
      </w:r>
    </w:p>
    <w:p w14:paraId="3374B461" w14:textId="62C60D05" w:rsidR="00073887" w:rsidRDefault="00073887" w:rsidP="00073887">
      <w:pPr>
        <w:pStyle w:val="IPPNumberedList"/>
        <w:rPr>
          <w:rFonts w:cs="Times New Roman"/>
        </w:rPr>
      </w:pPr>
      <w:r>
        <w:rPr>
          <w:rFonts w:cs="Times New Roman"/>
          <w:i/>
        </w:rPr>
        <w:t xml:space="preserve">discuss, and if possible, provide advice </w:t>
      </w:r>
      <w:r w:rsidRPr="00073887">
        <w:rPr>
          <w:rFonts w:cs="Times New Roman"/>
        </w:rPr>
        <w:t xml:space="preserve">on </w:t>
      </w:r>
      <w:r>
        <w:rPr>
          <w:rFonts w:cs="Times New Roman"/>
        </w:rPr>
        <w:t>possible ways to prioritize the development of specific commodity standards;</w:t>
      </w:r>
    </w:p>
    <w:p w14:paraId="3176820D" w14:textId="0F2297E1" w:rsidR="00073887" w:rsidRDefault="00073887" w:rsidP="00073887">
      <w:pPr>
        <w:pStyle w:val="IPPNumberedList"/>
        <w:rPr>
          <w:rFonts w:cs="Times New Roman"/>
        </w:rPr>
      </w:pPr>
      <w:r>
        <w:rPr>
          <w:rFonts w:cs="Times New Roman"/>
          <w:i/>
        </w:rPr>
        <w:t>discuss</w:t>
      </w:r>
      <w:r>
        <w:rPr>
          <w:rFonts w:cs="Times New Roman"/>
        </w:rPr>
        <w:t xml:space="preserve">, </w:t>
      </w:r>
      <w:r>
        <w:rPr>
          <w:rFonts w:cs="Times New Roman"/>
          <w:i/>
        </w:rPr>
        <w:t xml:space="preserve">and if possible, provide advice </w:t>
      </w:r>
      <w:r>
        <w:rPr>
          <w:rFonts w:cs="Times New Roman"/>
        </w:rPr>
        <w:t>on a possible approach to increase the network with other partners, including the industry;</w:t>
      </w:r>
    </w:p>
    <w:p w14:paraId="775B5F51" w14:textId="31D26BCE" w:rsidR="00073887" w:rsidRDefault="00073887" w:rsidP="00073887">
      <w:pPr>
        <w:pStyle w:val="IPPNumberedList"/>
        <w:rPr>
          <w:rFonts w:cs="Times New Roman"/>
        </w:rPr>
      </w:pPr>
      <w:r>
        <w:rPr>
          <w:rFonts w:cs="Times New Roman"/>
          <w:i/>
        </w:rPr>
        <w:t>discuss</w:t>
      </w:r>
      <w:r>
        <w:rPr>
          <w:rFonts w:cs="Times New Roman"/>
        </w:rPr>
        <w:t xml:space="preserve">, </w:t>
      </w:r>
      <w:r>
        <w:rPr>
          <w:rFonts w:cs="Times New Roman"/>
          <w:i/>
        </w:rPr>
        <w:t xml:space="preserve">and if possible, provide advice </w:t>
      </w:r>
      <w:r>
        <w:rPr>
          <w:rFonts w:cs="Times New Roman"/>
        </w:rPr>
        <w:t>on a future implementation plan;</w:t>
      </w:r>
    </w:p>
    <w:p w14:paraId="707E8431" w14:textId="3F4A8718" w:rsidR="00073887" w:rsidRPr="00073887" w:rsidRDefault="00073887" w:rsidP="00073887">
      <w:pPr>
        <w:pStyle w:val="IPPNumberedList"/>
        <w:rPr>
          <w:rFonts w:cs="Times New Roman"/>
        </w:rPr>
      </w:pPr>
      <w:r>
        <w:rPr>
          <w:rFonts w:cs="Times New Roman"/>
          <w:i/>
        </w:rPr>
        <w:t>discuss</w:t>
      </w:r>
      <w:r>
        <w:rPr>
          <w:rFonts w:cs="Times New Roman"/>
        </w:rPr>
        <w:t xml:space="preserve">, </w:t>
      </w:r>
      <w:r>
        <w:rPr>
          <w:rFonts w:cs="Times New Roman"/>
          <w:i/>
        </w:rPr>
        <w:t xml:space="preserve">and if possible, provide advice </w:t>
      </w:r>
      <w:r>
        <w:rPr>
          <w:rFonts w:cs="Times New Roman"/>
        </w:rPr>
        <w:t>on the finances and possible ways to mobilize resource</w:t>
      </w:r>
      <w:bookmarkStart w:id="1" w:name="_GoBack"/>
      <w:bookmarkEnd w:id="1"/>
      <w:r>
        <w:rPr>
          <w:rFonts w:cs="Times New Roman"/>
        </w:rPr>
        <w:t xml:space="preserve">s. </w:t>
      </w:r>
    </w:p>
    <w:sectPr w:rsidR="00073887" w:rsidRPr="00073887" w:rsidSect="009D5226">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8CBB9" w14:textId="77777777" w:rsidR="005D34C7" w:rsidRDefault="005D34C7" w:rsidP="00B4252E">
      <w:r>
        <w:separator/>
      </w:r>
    </w:p>
  </w:endnote>
  <w:endnote w:type="continuationSeparator" w:id="0">
    <w:p w14:paraId="3FCA1738" w14:textId="77777777" w:rsidR="005D34C7" w:rsidRDefault="005D34C7" w:rsidP="00B4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B70C" w14:textId="18681D6A" w:rsidR="009D5226" w:rsidRDefault="009D5226" w:rsidP="009D5226">
    <w:pPr>
      <w:pStyle w:val="IPPFooter"/>
      <w:tabs>
        <w:tab w:val="clear" w:pos="9072"/>
        <w:tab w:val="right" w:pos="9360"/>
      </w:tabs>
      <w:jc w:val="left"/>
    </w:pPr>
    <w:r w:rsidRPr="009D5226">
      <w:rPr>
        <w:rStyle w:val="PageNumber"/>
        <w:b/>
      </w:rPr>
      <w:t xml:space="preserve">Page </w:t>
    </w:r>
    <w:r w:rsidRPr="009D5226">
      <w:rPr>
        <w:rStyle w:val="PageNumber"/>
        <w:b/>
      </w:rPr>
      <w:fldChar w:fldCharType="begin"/>
    </w:r>
    <w:r w:rsidRPr="009D5226">
      <w:rPr>
        <w:rStyle w:val="PageNumber"/>
        <w:b/>
      </w:rPr>
      <w:instrText xml:space="preserve"> PAGE </w:instrText>
    </w:r>
    <w:r w:rsidRPr="009D5226">
      <w:rPr>
        <w:rStyle w:val="PageNumber"/>
        <w:b/>
      </w:rPr>
      <w:fldChar w:fldCharType="separate"/>
    </w:r>
    <w:r w:rsidR="002823E2">
      <w:rPr>
        <w:rStyle w:val="PageNumber"/>
        <w:b/>
        <w:noProof/>
      </w:rPr>
      <w:t>6</w:t>
    </w:r>
    <w:r w:rsidRPr="009D5226">
      <w:rPr>
        <w:rStyle w:val="PageNumber"/>
        <w:b/>
      </w:rPr>
      <w:fldChar w:fldCharType="end"/>
    </w:r>
    <w:r w:rsidRPr="009D5226">
      <w:rPr>
        <w:rStyle w:val="PageNumber"/>
        <w:b/>
      </w:rPr>
      <w:t xml:space="preserve"> of </w:t>
    </w:r>
    <w:r w:rsidRPr="009D5226">
      <w:rPr>
        <w:rStyle w:val="PageNumber"/>
        <w:b/>
      </w:rPr>
      <w:fldChar w:fldCharType="begin"/>
    </w:r>
    <w:r w:rsidRPr="009D5226">
      <w:rPr>
        <w:rStyle w:val="PageNumber"/>
        <w:b/>
      </w:rPr>
      <w:instrText xml:space="preserve"> NUMPAGES </w:instrText>
    </w:r>
    <w:r w:rsidRPr="009D5226">
      <w:rPr>
        <w:rStyle w:val="PageNumber"/>
        <w:b/>
      </w:rPr>
      <w:fldChar w:fldCharType="separate"/>
    </w:r>
    <w:r w:rsidR="002823E2">
      <w:rPr>
        <w:rStyle w:val="PageNumber"/>
        <w:b/>
        <w:noProof/>
      </w:rPr>
      <w:t>6</w:t>
    </w:r>
    <w:r w:rsidRPr="009D5226">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C042" w14:textId="091F9DF7" w:rsidR="0022210E" w:rsidRPr="002823E2" w:rsidRDefault="002823E2" w:rsidP="002823E2">
    <w:pPr>
      <w:pStyle w:val="IPPFooter"/>
      <w:tabs>
        <w:tab w:val="clear" w:pos="9072"/>
        <w:tab w:val="right" w:pos="9360"/>
      </w:tabs>
      <w:jc w:val="both"/>
    </w:pPr>
    <w:r w:rsidRPr="002823E2">
      <w:t xml:space="preserve">International Plant Protection Convention </w:t>
    </w:r>
    <w:r>
      <w:tab/>
    </w:r>
    <w:r w:rsidR="009D5226" w:rsidRPr="002823E2">
      <w:t xml:space="preserve">Page </w:t>
    </w:r>
    <w:r w:rsidR="009D5226" w:rsidRPr="002823E2">
      <w:fldChar w:fldCharType="begin"/>
    </w:r>
    <w:r w:rsidR="009D5226" w:rsidRPr="002823E2">
      <w:instrText xml:space="preserve"> PAGE </w:instrText>
    </w:r>
    <w:r w:rsidR="009D5226" w:rsidRPr="002823E2">
      <w:fldChar w:fldCharType="separate"/>
    </w:r>
    <w:r>
      <w:rPr>
        <w:noProof/>
      </w:rPr>
      <w:t>5</w:t>
    </w:r>
    <w:r w:rsidR="009D5226" w:rsidRPr="002823E2">
      <w:fldChar w:fldCharType="end"/>
    </w:r>
    <w:r w:rsidR="009D5226" w:rsidRPr="002823E2">
      <w:t xml:space="preserve"> of </w:t>
    </w:r>
    <w:fldSimple w:instr=" NUMPAGES  ">
      <w:r>
        <w:rPr>
          <w:noProof/>
        </w:rPr>
        <w:t>6</w:t>
      </w:r>
    </w:fldSimple>
    <w:r w:rsidR="0022210E" w:rsidRPr="002823E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14D2" w14:textId="098D73FB" w:rsidR="009D5226" w:rsidRDefault="009D5226" w:rsidP="009D5226">
    <w:pPr>
      <w:pStyle w:val="IPPFooter"/>
      <w:tabs>
        <w:tab w:val="clear" w:pos="9072"/>
        <w:tab w:val="right" w:pos="9360"/>
      </w:tabs>
      <w:jc w:val="left"/>
    </w:pPr>
    <w:r w:rsidRPr="00A62A0E">
      <w:t>International Plant Protection Convention</w:t>
    </w:r>
    <w:r w:rsidRPr="00A62A0E">
      <w:tab/>
    </w:r>
    <w:r w:rsidRPr="009D5226">
      <w:rPr>
        <w:rStyle w:val="PageNumber"/>
        <w:b/>
      </w:rPr>
      <w:t xml:space="preserve">Page </w:t>
    </w:r>
    <w:r w:rsidRPr="009D5226">
      <w:rPr>
        <w:rStyle w:val="PageNumber"/>
        <w:b/>
      </w:rPr>
      <w:fldChar w:fldCharType="begin"/>
    </w:r>
    <w:r w:rsidRPr="009D5226">
      <w:rPr>
        <w:rStyle w:val="PageNumber"/>
        <w:b/>
      </w:rPr>
      <w:instrText xml:space="preserve"> PAGE </w:instrText>
    </w:r>
    <w:r w:rsidRPr="009D5226">
      <w:rPr>
        <w:rStyle w:val="PageNumber"/>
        <w:b/>
      </w:rPr>
      <w:fldChar w:fldCharType="separate"/>
    </w:r>
    <w:r w:rsidR="005D34C7">
      <w:rPr>
        <w:rStyle w:val="PageNumber"/>
        <w:b/>
        <w:noProof/>
      </w:rPr>
      <w:t>1</w:t>
    </w:r>
    <w:r w:rsidRPr="009D5226">
      <w:rPr>
        <w:rStyle w:val="PageNumber"/>
        <w:b/>
      </w:rPr>
      <w:fldChar w:fldCharType="end"/>
    </w:r>
    <w:r w:rsidRPr="009D5226">
      <w:rPr>
        <w:rStyle w:val="PageNumber"/>
        <w:b/>
      </w:rPr>
      <w:t xml:space="preserve"> of </w:t>
    </w:r>
    <w:r w:rsidRPr="009D5226">
      <w:rPr>
        <w:rStyle w:val="PageNumber"/>
        <w:b/>
      </w:rPr>
      <w:fldChar w:fldCharType="begin"/>
    </w:r>
    <w:r w:rsidRPr="009D5226">
      <w:rPr>
        <w:rStyle w:val="PageNumber"/>
        <w:b/>
      </w:rPr>
      <w:instrText xml:space="preserve"> NUMPAGES </w:instrText>
    </w:r>
    <w:r w:rsidRPr="009D5226">
      <w:rPr>
        <w:rStyle w:val="PageNumber"/>
        <w:b/>
      </w:rPr>
      <w:fldChar w:fldCharType="separate"/>
    </w:r>
    <w:r w:rsidR="005D34C7">
      <w:rPr>
        <w:rStyle w:val="PageNumber"/>
        <w:b/>
        <w:noProof/>
      </w:rPr>
      <w:t>1</w:t>
    </w:r>
    <w:r w:rsidRPr="009D5226">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DCF0" w14:textId="77777777" w:rsidR="005D34C7" w:rsidRDefault="005D34C7" w:rsidP="00B4252E">
      <w:r>
        <w:separator/>
      </w:r>
    </w:p>
  </w:footnote>
  <w:footnote w:type="continuationSeparator" w:id="0">
    <w:p w14:paraId="0F0CAFBD" w14:textId="77777777" w:rsidR="005D34C7" w:rsidRDefault="005D34C7" w:rsidP="00B4252E">
      <w:r>
        <w:continuationSeparator/>
      </w:r>
    </w:p>
  </w:footnote>
  <w:footnote w:id="1">
    <w:p w14:paraId="4415DCC7" w14:textId="77777777" w:rsidR="0022210E" w:rsidRPr="00400930" w:rsidRDefault="0022210E">
      <w:pPr>
        <w:pStyle w:val="FootnoteText"/>
        <w:rPr>
          <w:rFonts w:cs="Times New Roman"/>
        </w:rPr>
      </w:pPr>
      <w:r w:rsidRPr="00400930">
        <w:rPr>
          <w:rStyle w:val="FootnoteReference"/>
          <w:rFonts w:cs="Times New Roman"/>
        </w:rPr>
        <w:footnoteRef/>
      </w:r>
      <w:r w:rsidRPr="00400930">
        <w:rPr>
          <w:rFonts w:cs="Times New Roman"/>
        </w:rPr>
        <w:t xml:space="preserve"> See document 2020/18: </w:t>
      </w:r>
      <w:hyperlink r:id="rId1" w:history="1">
        <w:r w:rsidRPr="00400930">
          <w:rPr>
            <w:rStyle w:val="Hyperlink"/>
            <w:rFonts w:cs="Times New Roman"/>
          </w:rPr>
          <w:t>https://www.ippc.int/en/cpm-sessions/cpm-15/</w:t>
        </w:r>
      </w:hyperlink>
      <w:r w:rsidRPr="00400930">
        <w:rPr>
          <w:rFonts w:cs="Times New Roman"/>
        </w:rPr>
        <w:t xml:space="preserve"> </w:t>
      </w:r>
    </w:p>
  </w:footnote>
  <w:footnote w:id="2">
    <w:p w14:paraId="15C39CEE" w14:textId="77777777" w:rsidR="0022210E" w:rsidRPr="00400930" w:rsidRDefault="0022210E">
      <w:pPr>
        <w:pStyle w:val="FootnoteText"/>
        <w:rPr>
          <w:rFonts w:cs="Times New Roman"/>
        </w:rPr>
      </w:pPr>
      <w:r w:rsidRPr="00400930">
        <w:rPr>
          <w:rStyle w:val="FootnoteReference"/>
          <w:rFonts w:cs="Times New Roman"/>
        </w:rPr>
        <w:footnoteRef/>
      </w:r>
      <w:r w:rsidRPr="00400930">
        <w:rPr>
          <w:rFonts w:cs="Times New Roman"/>
        </w:rPr>
        <w:t xml:space="preserve"> 2020-06 CPM Bureau – Extraordinary session on Standard Setting Process report: </w:t>
      </w:r>
      <w:hyperlink r:id="rId2" w:history="1">
        <w:r w:rsidRPr="00400930">
          <w:rPr>
            <w:rStyle w:val="Hyperlink"/>
            <w:rFonts w:cs="Times New Roman"/>
          </w:rPr>
          <w:t>https://www.ippc.int/en/publications/88572/</w:t>
        </w:r>
      </w:hyperlink>
      <w:r w:rsidRPr="00400930">
        <w:rPr>
          <w:rFonts w:cs="Times New Roman"/>
        </w:rPr>
        <w:t xml:space="preserve"> </w:t>
      </w:r>
    </w:p>
  </w:footnote>
  <w:footnote w:id="3">
    <w:p w14:paraId="0C6819C0" w14:textId="77777777" w:rsidR="0022210E" w:rsidRPr="00400930" w:rsidRDefault="0022210E">
      <w:pPr>
        <w:pStyle w:val="FootnoteText"/>
        <w:rPr>
          <w:rFonts w:cs="Times New Roman"/>
        </w:rPr>
      </w:pPr>
      <w:r w:rsidRPr="00400930">
        <w:rPr>
          <w:rStyle w:val="FootnoteReference"/>
          <w:rFonts w:cs="Times New Roman"/>
        </w:rPr>
        <w:footnoteRef/>
      </w:r>
      <w:r w:rsidRPr="00400930">
        <w:rPr>
          <w:rFonts w:cs="Times New Roman"/>
        </w:rPr>
        <w:t xml:space="preserve"> IPPC 2020 Regional Workshops: </w:t>
      </w:r>
      <w:hyperlink r:id="rId3" w:history="1">
        <w:r w:rsidRPr="00400930">
          <w:rPr>
            <w:rStyle w:val="Hyperlink"/>
            <w:rFonts w:cs="Times New Roman"/>
          </w:rPr>
          <w:t>https://www.ippc.int/en/core-activities/capacity-development/regional-ippc-workshops/2020-ippc-regional-workshop/</w:t>
        </w:r>
      </w:hyperlink>
      <w:r w:rsidRPr="00400930">
        <w:rPr>
          <w:rFonts w:cs="Times New Roman"/>
        </w:rPr>
        <w:t xml:space="preserve"> </w:t>
      </w:r>
    </w:p>
  </w:footnote>
  <w:footnote w:id="4">
    <w:p w14:paraId="10B09293" w14:textId="77777777" w:rsidR="0022210E" w:rsidRPr="00400930" w:rsidRDefault="0022210E">
      <w:pPr>
        <w:pStyle w:val="FootnoteText"/>
      </w:pPr>
      <w:r w:rsidRPr="00400930">
        <w:rPr>
          <w:rStyle w:val="FootnoteReference"/>
          <w:rFonts w:cs="Times New Roman"/>
        </w:rPr>
        <w:footnoteRef/>
      </w:r>
      <w:r w:rsidRPr="00400930">
        <w:rPr>
          <w:rFonts w:cs="Times New Roman"/>
        </w:rPr>
        <w:t xml:space="preserve"> SC meeting reports are available at: </w:t>
      </w:r>
      <w:hyperlink r:id="rId4" w:history="1">
        <w:r w:rsidRPr="00400930">
          <w:rPr>
            <w:rStyle w:val="Hyperlink"/>
            <w:rFonts w:cs="Times New Roman"/>
          </w:rPr>
          <w:t>https://www.ippc.int/en/core-activities/standards-setting/standards-committee/</w:t>
        </w:r>
      </w:hyperlink>
      <w:r w:rsidRPr="00400930">
        <w:rPr>
          <w:rFonts w:cs="Times New Roman"/>
        </w:rPr>
        <w:t xml:space="preserve"> </w:t>
      </w:r>
    </w:p>
  </w:footnote>
  <w:footnote w:id="5">
    <w:p w14:paraId="55856A8C" w14:textId="77777777" w:rsidR="0022210E" w:rsidRPr="00B75BDC" w:rsidRDefault="0022210E" w:rsidP="00B75BDC">
      <w:pPr>
        <w:pStyle w:val="FootnoteText"/>
        <w:rPr>
          <w:rFonts w:cs="Times New Roman"/>
        </w:rPr>
      </w:pPr>
      <w:r w:rsidRPr="00B75BDC">
        <w:rPr>
          <w:rStyle w:val="FootnoteReference"/>
          <w:rFonts w:cs="Times New Roman"/>
        </w:rPr>
        <w:footnoteRef/>
      </w:r>
      <w:r w:rsidRPr="00B75BDC">
        <w:rPr>
          <w:rFonts w:cs="Times New Roman"/>
        </w:rPr>
        <w:t xml:space="preserve"> ePhyto Technical Information: </w:t>
      </w:r>
      <w:hyperlink r:id="rId5" w:history="1">
        <w:r w:rsidRPr="00B75BDC">
          <w:rPr>
            <w:rStyle w:val="Hyperlink"/>
            <w:rFonts w:cs="Times New Roman"/>
          </w:rPr>
          <w:t>https://www.ephytoexchange.org/doc/mapping/IPPC_Specific_Treatment_Types.pdf</w:t>
        </w:r>
      </w:hyperlink>
    </w:p>
  </w:footnote>
  <w:footnote w:id="6">
    <w:p w14:paraId="7A556C0D" w14:textId="77777777" w:rsidR="0022210E" w:rsidRPr="00B75BDC" w:rsidRDefault="0022210E" w:rsidP="00B75BDC">
      <w:pPr>
        <w:pStyle w:val="FootnoteText"/>
        <w:rPr>
          <w:lang w:val="es-AR"/>
        </w:rPr>
      </w:pPr>
      <w:r w:rsidRPr="00B75BDC">
        <w:rPr>
          <w:rStyle w:val="FootnoteReference"/>
          <w:rFonts w:cs="Times New Roman"/>
        </w:rPr>
        <w:footnoteRef/>
      </w:r>
      <w:r w:rsidRPr="00B75BDC">
        <w:rPr>
          <w:rFonts w:cs="Times New Roman"/>
          <w:lang w:val="es-AR"/>
        </w:rPr>
        <w:t xml:space="preserve"> EPPO Global Database: </w:t>
      </w:r>
      <w:hyperlink r:id="rId6" w:history="1">
        <w:r w:rsidRPr="00B75BDC">
          <w:rPr>
            <w:rStyle w:val="Hyperlink"/>
            <w:rFonts w:cs="Times New Roman"/>
            <w:lang w:val="es-AR"/>
          </w:rPr>
          <w:t>https://gd.eppo.int/</w:t>
        </w:r>
      </w:hyperlink>
    </w:p>
  </w:footnote>
  <w:footnote w:id="7">
    <w:p w14:paraId="79B33058" w14:textId="77777777" w:rsidR="005F172F" w:rsidRPr="00B75BDC" w:rsidRDefault="005F172F" w:rsidP="005F172F">
      <w:pPr>
        <w:pStyle w:val="FootnoteText"/>
        <w:rPr>
          <w:rFonts w:cs="Times New Roman"/>
        </w:rPr>
      </w:pPr>
      <w:r w:rsidRPr="00B75BDC">
        <w:rPr>
          <w:rStyle w:val="FootnoteReference"/>
          <w:rFonts w:cs="Times New Roman"/>
        </w:rPr>
        <w:footnoteRef/>
      </w:r>
      <w:r w:rsidRPr="00B75BDC">
        <w:rPr>
          <w:rFonts w:cs="Times New Roman"/>
        </w:rPr>
        <w:t xml:space="preserve"> IPPC call for phytosanitary treatments: </w:t>
      </w:r>
      <w:hyperlink r:id="rId7" w:history="1">
        <w:r w:rsidRPr="00B75BDC">
          <w:rPr>
            <w:rStyle w:val="Hyperlink"/>
            <w:rFonts w:cs="Times New Roman"/>
          </w:rPr>
          <w:t>https://www.ippc.int/en/core-activities/standards-setting/calls-treatments/</w:t>
        </w:r>
      </w:hyperlink>
      <w:r w:rsidRPr="00B75BDC">
        <w:rPr>
          <w:rFonts w:cs="Times New Roman"/>
        </w:rPr>
        <w:t xml:space="preserve"> </w:t>
      </w:r>
    </w:p>
  </w:footnote>
  <w:footnote w:id="8">
    <w:p w14:paraId="4AF26CF3" w14:textId="026D55FE" w:rsidR="0022210E" w:rsidRPr="000763B3" w:rsidRDefault="0022210E">
      <w:pPr>
        <w:pStyle w:val="FootnoteText"/>
        <w:rPr>
          <w:rFonts w:cs="Times New Roman"/>
        </w:rPr>
      </w:pPr>
      <w:r w:rsidRPr="000763B3">
        <w:rPr>
          <w:rStyle w:val="FootnoteReference"/>
          <w:rFonts w:cs="Times New Roman"/>
        </w:rPr>
        <w:footnoteRef/>
      </w:r>
      <w:r w:rsidRPr="000763B3">
        <w:rPr>
          <w:rFonts w:cs="Times New Roman"/>
        </w:rPr>
        <w:t xml:space="preserve"> IPPC call for topics: standards and implementation: </w:t>
      </w:r>
      <w:hyperlink r:id="rId8" w:history="1">
        <w:r w:rsidRPr="000763B3">
          <w:rPr>
            <w:rStyle w:val="Hyperlink"/>
            <w:rFonts w:cs="Times New Roman"/>
          </w:rPr>
          <w:t>https://www.ippc.int/en/core-activities/standards-and-implementation/call-for-topics-standards-and-implementation/</w:t>
        </w:r>
      </w:hyperlink>
      <w:r w:rsidRPr="000763B3">
        <w:rPr>
          <w:rFonts w:cs="Times New Roman"/>
        </w:rPr>
        <w:t xml:space="preserve"> </w:t>
      </w:r>
    </w:p>
  </w:footnote>
  <w:footnote w:id="9">
    <w:p w14:paraId="6BA37A97" w14:textId="16F999CE" w:rsidR="0022210E" w:rsidRPr="000763B3" w:rsidRDefault="0022210E">
      <w:pPr>
        <w:pStyle w:val="FootnoteText"/>
      </w:pPr>
      <w:r w:rsidRPr="000763B3">
        <w:rPr>
          <w:rStyle w:val="FootnoteReference"/>
          <w:rFonts w:cs="Times New Roman"/>
        </w:rPr>
        <w:footnoteRef/>
      </w:r>
      <w:r w:rsidRPr="000763B3">
        <w:rPr>
          <w:rFonts w:cs="Times New Roman"/>
        </w:rPr>
        <w:t xml:space="preserve"> </w:t>
      </w:r>
      <w:r w:rsidRPr="000763B3">
        <w:rPr>
          <w:rFonts w:cs="Times New Roman"/>
          <w:bCs/>
          <w:szCs w:val="22"/>
        </w:rPr>
        <w:t xml:space="preserve">ePhyto Industry Advisory Group (IAG): </w:t>
      </w:r>
      <w:hyperlink r:id="rId9" w:history="1">
        <w:r w:rsidRPr="000763B3">
          <w:rPr>
            <w:rStyle w:val="Hyperlink"/>
            <w:rFonts w:cs="Times New Roman"/>
          </w:rPr>
          <w:t>https://www.ippc.int/en/ephyto/ephyto-industry-advisory-group/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0641" w14:textId="0D2D4CE0" w:rsidR="009D5226" w:rsidRDefault="009D5226" w:rsidP="009D5226">
    <w:pPr>
      <w:pStyle w:val="IPPHeader"/>
      <w:tabs>
        <w:tab w:val="clear" w:pos="9072"/>
        <w:tab w:val="right" w:pos="9360"/>
      </w:tabs>
    </w:pPr>
    <w:r>
      <w:t>16_SPG_2020_Oct</w:t>
    </w:r>
    <w:r>
      <w:t xml:space="preserve"> </w:t>
    </w:r>
    <w:r>
      <w:tab/>
    </w:r>
    <w:r w:rsidRPr="009D5226">
      <w:t>Commodity Standards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787B1" w14:textId="7133E969" w:rsidR="009D5226" w:rsidRPr="009D5226" w:rsidRDefault="009D5226" w:rsidP="009D5226">
    <w:pPr>
      <w:pStyle w:val="IPPHeader"/>
      <w:tabs>
        <w:tab w:val="clear" w:pos="9072"/>
        <w:tab w:val="right" w:pos="9360"/>
      </w:tabs>
    </w:pPr>
    <w:r w:rsidRPr="009D5226">
      <w:t>Commodity Standards</w:t>
    </w:r>
    <w:r>
      <w:t xml:space="preserve"> </w:t>
    </w:r>
    <w:r>
      <w:tab/>
    </w:r>
    <w:r>
      <w:t xml:space="preserve">16_SPG_2020_Oct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3C95" w14:textId="77777777" w:rsidR="009D5226" w:rsidRPr="00FE6905" w:rsidRDefault="009D5226" w:rsidP="009D5226">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5CE64235" wp14:editId="6D455BD0">
          <wp:simplePos x="0" y="0"/>
          <wp:positionH relativeFrom="margin">
            <wp:posOffset>-23495</wp:posOffset>
          </wp:positionH>
          <wp:positionV relativeFrom="margin">
            <wp:posOffset>-532903</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3715A671" wp14:editId="549F0701">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16_SPG_2020_Oct</w:t>
    </w:r>
  </w:p>
  <w:p w14:paraId="337285B0" w14:textId="539A874A" w:rsidR="009D5226" w:rsidRPr="009D5226" w:rsidRDefault="009D5226" w:rsidP="009D5226">
    <w:pPr>
      <w:pStyle w:val="IPPHeader"/>
      <w:tabs>
        <w:tab w:val="clear" w:pos="9072"/>
        <w:tab w:val="right" w:pos="9360"/>
      </w:tabs>
      <w:rPr>
        <w:i/>
      </w:rPr>
    </w:pPr>
    <w:r w:rsidRPr="00606019">
      <w:tab/>
    </w:r>
    <w:r w:rsidRPr="009D5226">
      <w:rPr>
        <w:i/>
      </w:rPr>
      <w:t>Commodity Standards</w:t>
    </w:r>
    <w:r w:rsidRPr="00606019">
      <w:rPr>
        <w:i/>
      </w:rPr>
      <w:tab/>
    </w:r>
    <w:r>
      <w:rPr>
        <w:i/>
      </w:rPr>
      <w:t>Agenda item: 04.1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214A0D"/>
    <w:multiLevelType w:val="hybridMultilevel"/>
    <w:tmpl w:val="2312D7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36FECE"/>
    <w:multiLevelType w:val="hybridMultilevel"/>
    <w:tmpl w:val="D27FD2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58E4A1"/>
    <w:multiLevelType w:val="hybridMultilevel"/>
    <w:tmpl w:val="4DCD94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D365D84"/>
    <w:multiLevelType w:val="hybridMultilevel"/>
    <w:tmpl w:val="CF081D58"/>
    <w:lvl w:ilvl="0" w:tplc="04090001">
      <w:start w:val="1"/>
      <w:numFmt w:val="bullet"/>
      <w:lvlText w:val=""/>
      <w:lvlJc w:val="left"/>
      <w:pPr>
        <w:ind w:left="720" w:hanging="360"/>
      </w:pPr>
      <w:rPr>
        <w:rFonts w:ascii="Symbol" w:hAnsi="Symbol" w:hint="default"/>
        <w:b w:val="0"/>
        <w:i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C333B"/>
    <w:multiLevelType w:val="hybridMultilevel"/>
    <w:tmpl w:val="3B5EE0B4"/>
    <w:lvl w:ilvl="0" w:tplc="3CEA29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A1941"/>
    <w:multiLevelType w:val="hybridMultilevel"/>
    <w:tmpl w:val="F9D87218"/>
    <w:lvl w:ilvl="0" w:tplc="04090001">
      <w:start w:val="1"/>
      <w:numFmt w:val="bullet"/>
      <w:lvlText w:val=""/>
      <w:lvlJc w:val="left"/>
      <w:pPr>
        <w:ind w:left="720" w:hanging="360"/>
      </w:pPr>
      <w:rPr>
        <w:rFonts w:ascii="Symbol" w:hAnsi="Symbol"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84682"/>
    <w:multiLevelType w:val="hybridMultilevel"/>
    <w:tmpl w:val="22BE209E"/>
    <w:lvl w:ilvl="0" w:tplc="B6BE096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DB47BBD"/>
    <w:multiLevelType w:val="hybridMultilevel"/>
    <w:tmpl w:val="A85C57E2"/>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FFA4880"/>
    <w:multiLevelType w:val="multilevel"/>
    <w:tmpl w:val="C0CE33E2"/>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8" w15:restartNumberingAfterBreak="0">
    <w:nsid w:val="64387D40"/>
    <w:multiLevelType w:val="hybridMultilevel"/>
    <w:tmpl w:val="2682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545A0"/>
    <w:multiLevelType w:val="hybridMultilevel"/>
    <w:tmpl w:val="99E6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62867"/>
    <w:multiLevelType w:val="hybridMultilevel"/>
    <w:tmpl w:val="89506412"/>
    <w:lvl w:ilvl="0" w:tplc="3CEA29C4">
      <w:numFmt w:val="bullet"/>
      <w:lvlText w:val="•"/>
      <w:lvlJc w:val="left"/>
      <w:pPr>
        <w:ind w:left="720" w:hanging="360"/>
      </w:pPr>
      <w:rPr>
        <w:rFonts w:ascii="Calibri" w:eastAsiaTheme="minorHAnsi" w:hAnsi="Calibri" w:cs="Calibri"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B7D22"/>
    <w:multiLevelType w:val="hybridMultilevel"/>
    <w:tmpl w:val="62528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21"/>
  </w:num>
  <w:num w:numId="4">
    <w:abstractNumId w:val="10"/>
  </w:num>
  <w:num w:numId="5">
    <w:abstractNumId w:val="24"/>
  </w:num>
  <w:num w:numId="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7">
    <w:abstractNumId w:val="16"/>
  </w:num>
  <w:num w:numId="8">
    <w:abstractNumId w:val="17"/>
  </w:num>
  <w:num w:numId="9">
    <w:abstractNumId w:val="13"/>
  </w:num>
  <w:num w:numId="10">
    <w:abstractNumId w:val="7"/>
  </w:num>
  <w:num w:numId="11">
    <w:abstractNumId w:val="0"/>
  </w:num>
  <w:num w:numId="12">
    <w:abstractNumId w:val="5"/>
  </w:num>
  <w:num w:numId="13">
    <w:abstractNumId w:val="4"/>
  </w:num>
  <w:num w:numId="14">
    <w:abstractNumId w:val="9"/>
  </w:num>
  <w:num w:numId="15">
    <w:abstractNumId w:val="23"/>
  </w:num>
  <w:num w:numId="16">
    <w:abstractNumId w:val="8"/>
  </w:num>
  <w:num w:numId="17">
    <w:abstractNumId w:val="19"/>
  </w:num>
  <w:num w:numId="18">
    <w:abstractNumId w:val="3"/>
  </w:num>
  <w:num w:numId="19">
    <w:abstractNumId w:val="1"/>
  </w:num>
  <w:num w:numId="20">
    <w:abstractNumId w:val="22"/>
  </w:num>
  <w:num w:numId="21">
    <w:abstractNumId w:val="15"/>
  </w:num>
  <w:num w:numId="22">
    <w:abstractNumId w:val="12"/>
  </w:num>
  <w:num w:numId="23">
    <w:abstractNumId w:val="25"/>
  </w:num>
  <w:num w:numId="24">
    <w:abstractNumId w:val="6"/>
  </w:num>
  <w:num w:numId="25">
    <w:abstractNumId w:val="14"/>
  </w:num>
  <w:num w:numId="26">
    <w:abstractNumId w:val="20"/>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A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linkStyle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E"/>
    <w:rsid w:val="0006079A"/>
    <w:rsid w:val="00065BF5"/>
    <w:rsid w:val="00073887"/>
    <w:rsid w:val="000763B3"/>
    <w:rsid w:val="000A1E21"/>
    <w:rsid w:val="000A6F21"/>
    <w:rsid w:val="000F74BC"/>
    <w:rsid w:val="001D4E41"/>
    <w:rsid w:val="0022210E"/>
    <w:rsid w:val="00245854"/>
    <w:rsid w:val="002823E2"/>
    <w:rsid w:val="002B1D09"/>
    <w:rsid w:val="002C2989"/>
    <w:rsid w:val="002C3EF6"/>
    <w:rsid w:val="002E7466"/>
    <w:rsid w:val="003C15C3"/>
    <w:rsid w:val="003D65AC"/>
    <w:rsid w:val="003E6360"/>
    <w:rsid w:val="00400930"/>
    <w:rsid w:val="004330DD"/>
    <w:rsid w:val="004B77F1"/>
    <w:rsid w:val="004D0C21"/>
    <w:rsid w:val="004F1827"/>
    <w:rsid w:val="00592825"/>
    <w:rsid w:val="005A5E29"/>
    <w:rsid w:val="005D34C7"/>
    <w:rsid w:val="005E300D"/>
    <w:rsid w:val="005F172F"/>
    <w:rsid w:val="005F3975"/>
    <w:rsid w:val="00602A3C"/>
    <w:rsid w:val="00626CD9"/>
    <w:rsid w:val="00655C7A"/>
    <w:rsid w:val="0067418F"/>
    <w:rsid w:val="006D025F"/>
    <w:rsid w:val="006F47C5"/>
    <w:rsid w:val="008346B0"/>
    <w:rsid w:val="00840EE6"/>
    <w:rsid w:val="00862862"/>
    <w:rsid w:val="009D5226"/>
    <w:rsid w:val="00A507E2"/>
    <w:rsid w:val="00A87D70"/>
    <w:rsid w:val="00AA38C3"/>
    <w:rsid w:val="00B129ED"/>
    <w:rsid w:val="00B4252E"/>
    <w:rsid w:val="00B75BDC"/>
    <w:rsid w:val="00BD0DDE"/>
    <w:rsid w:val="00BD209A"/>
    <w:rsid w:val="00BE44EB"/>
    <w:rsid w:val="00BF2B80"/>
    <w:rsid w:val="00C0234D"/>
    <w:rsid w:val="00C4090D"/>
    <w:rsid w:val="00C91B15"/>
    <w:rsid w:val="00C97A4A"/>
    <w:rsid w:val="00CF79A8"/>
    <w:rsid w:val="00D11418"/>
    <w:rsid w:val="00D16476"/>
    <w:rsid w:val="00DA61C9"/>
    <w:rsid w:val="00DC42FA"/>
    <w:rsid w:val="00DC4D60"/>
    <w:rsid w:val="00E0428E"/>
    <w:rsid w:val="00E104F5"/>
    <w:rsid w:val="00E25722"/>
    <w:rsid w:val="00E6063A"/>
    <w:rsid w:val="00E85C28"/>
    <w:rsid w:val="00E87229"/>
    <w:rsid w:val="00EF6E1A"/>
    <w:rsid w:val="00F07BEC"/>
    <w:rsid w:val="00F5727F"/>
    <w:rsid w:val="00F64299"/>
    <w:rsid w:val="00F72F34"/>
    <w:rsid w:val="00FC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855D"/>
  <w15:chartTrackingRefBased/>
  <w15:docId w15:val="{B8051689-E474-4635-A679-72AF6393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26"/>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9D522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9D522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9D522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9D52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5226"/>
  </w:style>
  <w:style w:type="numbering" w:customStyle="1" w:styleId="IPPParagraphnumberedlist">
    <w:name w:val="IPP Paragraph numbered list"/>
    <w:rsid w:val="009D5226"/>
    <w:pPr>
      <w:numPr>
        <w:numId w:val="1"/>
      </w:numPr>
    </w:pPr>
  </w:style>
  <w:style w:type="paragraph" w:customStyle="1" w:styleId="IPPParagraphnumbering">
    <w:name w:val="IPP Paragraph numbering"/>
    <w:basedOn w:val="IPPNormal"/>
    <w:qFormat/>
    <w:rsid w:val="009D5226"/>
    <w:pPr>
      <w:numPr>
        <w:numId w:val="2"/>
      </w:numPr>
    </w:pPr>
    <w:rPr>
      <w:lang w:val="en-US"/>
    </w:rPr>
  </w:style>
  <w:style w:type="paragraph" w:styleId="FootnoteText">
    <w:name w:val="footnote text"/>
    <w:basedOn w:val="Normal"/>
    <w:link w:val="FootnoteTextChar"/>
    <w:semiHidden/>
    <w:rsid w:val="009D5226"/>
    <w:pPr>
      <w:spacing w:before="60"/>
    </w:pPr>
    <w:rPr>
      <w:sz w:val="20"/>
    </w:rPr>
  </w:style>
  <w:style w:type="character" w:customStyle="1" w:styleId="FootnoteTextChar">
    <w:name w:val="Footnote Text Char"/>
    <w:basedOn w:val="DefaultParagraphFont"/>
    <w:link w:val="FootnoteText"/>
    <w:semiHidden/>
    <w:rsid w:val="009D5226"/>
    <w:rPr>
      <w:rFonts w:ascii="Times New Roman" w:eastAsia="MS Mincho" w:hAnsi="Times New Roman"/>
      <w:sz w:val="20"/>
      <w:szCs w:val="24"/>
      <w:lang w:val="en-GB" w:eastAsia="zh-CN"/>
    </w:rPr>
  </w:style>
  <w:style w:type="character" w:styleId="FootnoteReference">
    <w:name w:val="footnote reference"/>
    <w:basedOn w:val="DefaultParagraphFont"/>
    <w:semiHidden/>
    <w:rsid w:val="009D5226"/>
    <w:rPr>
      <w:vertAlign w:val="superscript"/>
    </w:rPr>
  </w:style>
  <w:style w:type="character" w:styleId="Hyperlink">
    <w:name w:val="Hyperlink"/>
    <w:basedOn w:val="DefaultParagraphFont"/>
    <w:uiPriority w:val="99"/>
    <w:unhideWhenUsed/>
    <w:rsid w:val="00F64299"/>
    <w:rPr>
      <w:color w:val="0563C1" w:themeColor="hyperlink"/>
      <w:u w:val="single"/>
    </w:rPr>
  </w:style>
  <w:style w:type="paragraph" w:styleId="Header">
    <w:name w:val="header"/>
    <w:basedOn w:val="Normal"/>
    <w:link w:val="HeaderChar"/>
    <w:rsid w:val="009D5226"/>
    <w:pPr>
      <w:tabs>
        <w:tab w:val="center" w:pos="4680"/>
        <w:tab w:val="right" w:pos="9360"/>
      </w:tabs>
    </w:pPr>
  </w:style>
  <w:style w:type="character" w:customStyle="1" w:styleId="HeaderChar">
    <w:name w:val="Header Char"/>
    <w:basedOn w:val="DefaultParagraphFont"/>
    <w:link w:val="Header"/>
    <w:rsid w:val="009D5226"/>
    <w:rPr>
      <w:rFonts w:ascii="Times New Roman" w:eastAsia="MS Mincho" w:hAnsi="Times New Roman"/>
      <w:szCs w:val="24"/>
      <w:lang w:val="en-GB" w:eastAsia="zh-CN"/>
    </w:rPr>
  </w:style>
  <w:style w:type="paragraph" w:styleId="Footer">
    <w:name w:val="footer"/>
    <w:basedOn w:val="Normal"/>
    <w:link w:val="FooterChar"/>
    <w:rsid w:val="009D5226"/>
    <w:pPr>
      <w:tabs>
        <w:tab w:val="center" w:pos="4680"/>
        <w:tab w:val="right" w:pos="9360"/>
      </w:tabs>
    </w:pPr>
  </w:style>
  <w:style w:type="character" w:customStyle="1" w:styleId="FooterChar">
    <w:name w:val="Footer Char"/>
    <w:basedOn w:val="DefaultParagraphFont"/>
    <w:link w:val="Footer"/>
    <w:rsid w:val="009D5226"/>
    <w:rPr>
      <w:rFonts w:ascii="Times New Roman" w:eastAsia="MS Mincho" w:hAnsi="Times New Roman"/>
      <w:szCs w:val="24"/>
      <w:lang w:val="en-GB" w:eastAsia="zh-CN"/>
    </w:rPr>
  </w:style>
  <w:style w:type="paragraph" w:customStyle="1" w:styleId="IPPFooter">
    <w:name w:val="IPP Footer"/>
    <w:basedOn w:val="IPPHeader"/>
    <w:next w:val="PlainText"/>
    <w:qFormat/>
    <w:rsid w:val="009D5226"/>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9D522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9D5226"/>
    <w:rPr>
      <w:rFonts w:ascii="Courier" w:eastAsia="Times" w:hAnsi="Courier"/>
      <w:sz w:val="21"/>
      <w:szCs w:val="21"/>
      <w:lang w:val="en-AU" w:eastAsia="zh-CN"/>
    </w:rPr>
  </w:style>
  <w:style w:type="paragraph" w:styleId="ListParagraph">
    <w:name w:val="List Paragraph"/>
    <w:basedOn w:val="Normal"/>
    <w:uiPriority w:val="34"/>
    <w:qFormat/>
    <w:rsid w:val="009D5226"/>
    <w:pPr>
      <w:spacing w:line="240" w:lineRule="atLeast"/>
      <w:ind w:leftChars="400" w:left="800"/>
    </w:pPr>
    <w:rPr>
      <w:rFonts w:ascii="Verdana" w:eastAsia="Times New Roman" w:hAnsi="Verdana"/>
      <w:sz w:val="20"/>
      <w:lang w:val="nl-NL" w:eastAsia="nl-NL"/>
    </w:rPr>
  </w:style>
  <w:style w:type="character" w:styleId="CommentReference">
    <w:name w:val="annotation reference"/>
    <w:rsid w:val="00E85C28"/>
    <w:rPr>
      <w:sz w:val="16"/>
      <w:szCs w:val="16"/>
    </w:rPr>
  </w:style>
  <w:style w:type="paragraph" w:styleId="CommentText">
    <w:name w:val="annotation text"/>
    <w:basedOn w:val="Normal"/>
    <w:link w:val="CommentTextChar"/>
    <w:rsid w:val="00E85C28"/>
    <w:rPr>
      <w:rFonts w:cs="Times New Roman"/>
      <w:sz w:val="20"/>
      <w:szCs w:val="20"/>
    </w:rPr>
  </w:style>
  <w:style w:type="character" w:customStyle="1" w:styleId="CommentTextChar">
    <w:name w:val="Comment Text Char"/>
    <w:basedOn w:val="DefaultParagraphFont"/>
    <w:link w:val="CommentText"/>
    <w:rsid w:val="00E85C28"/>
    <w:rPr>
      <w:rFonts w:ascii="Times New Roman" w:eastAsia="MS Mincho" w:hAnsi="Times New Roman" w:cs="Times New Roman"/>
      <w:sz w:val="20"/>
      <w:szCs w:val="20"/>
      <w:lang w:val="en-GB"/>
    </w:rPr>
  </w:style>
  <w:style w:type="paragraph" w:styleId="BalloonText">
    <w:name w:val="Balloon Text"/>
    <w:basedOn w:val="Normal"/>
    <w:link w:val="BalloonTextChar"/>
    <w:rsid w:val="009D5226"/>
    <w:rPr>
      <w:rFonts w:ascii="Tahoma" w:hAnsi="Tahoma" w:cs="Tahoma"/>
      <w:sz w:val="16"/>
      <w:szCs w:val="16"/>
    </w:rPr>
  </w:style>
  <w:style w:type="character" w:customStyle="1" w:styleId="BalloonTextChar">
    <w:name w:val="Balloon Text Char"/>
    <w:basedOn w:val="DefaultParagraphFont"/>
    <w:link w:val="BalloonText"/>
    <w:rsid w:val="009D5226"/>
    <w:rPr>
      <w:rFonts w:ascii="Tahoma" w:eastAsia="MS Mincho" w:hAnsi="Tahoma" w:cs="Tahoma"/>
      <w:sz w:val="16"/>
      <w:szCs w:val="16"/>
      <w:lang w:val="en-GB" w:eastAsia="zh-CN"/>
    </w:rPr>
  </w:style>
  <w:style w:type="paragraph" w:customStyle="1" w:styleId="NewPara">
    <w:name w:val="NewPara"/>
    <w:basedOn w:val="ListParagraph"/>
    <w:link w:val="NewParaChar"/>
    <w:qFormat/>
    <w:rsid w:val="005A5E29"/>
    <w:pPr>
      <w:numPr>
        <w:numId w:val="8"/>
      </w:numPr>
      <w:spacing w:after="200" w:line="240" w:lineRule="auto"/>
    </w:pPr>
    <w:rPr>
      <w:rFonts w:ascii="Times New Roman" w:hAnsi="Times New Roman" w:cs="Akhbar MT"/>
      <w:szCs w:val="30"/>
      <w:lang w:val="en-GB"/>
    </w:rPr>
  </w:style>
  <w:style w:type="character" w:customStyle="1" w:styleId="NewParaChar">
    <w:name w:val="NewPara Char"/>
    <w:basedOn w:val="DefaultParagraphFont"/>
    <w:link w:val="NewPara"/>
    <w:rsid w:val="005A5E29"/>
    <w:rPr>
      <w:rFonts w:ascii="Times New Roman" w:hAnsi="Times New Roman" w:cs="Akhbar MT"/>
      <w:szCs w:val="30"/>
      <w:lang w:val="en-GB"/>
    </w:rPr>
  </w:style>
  <w:style w:type="paragraph" w:customStyle="1" w:styleId="BulletList">
    <w:name w:val="Bullet List"/>
    <w:basedOn w:val="ListParagraph"/>
    <w:link w:val="BulletListChar"/>
    <w:qFormat/>
    <w:rsid w:val="005A5E29"/>
    <w:pPr>
      <w:numPr>
        <w:numId w:val="9"/>
      </w:numPr>
      <w:spacing w:after="200" w:line="240" w:lineRule="auto"/>
      <w:ind w:left="714" w:hanging="357"/>
    </w:pPr>
    <w:rPr>
      <w:rFonts w:ascii="Times New Roman" w:hAnsi="Times New Roman" w:cs="Akhbar MT"/>
      <w:szCs w:val="30"/>
      <w:lang w:val="en-GB"/>
    </w:rPr>
  </w:style>
  <w:style w:type="character" w:customStyle="1" w:styleId="BulletListChar">
    <w:name w:val="Bullet List Char"/>
    <w:basedOn w:val="DefaultParagraphFont"/>
    <w:link w:val="BulletList"/>
    <w:rsid w:val="005A5E29"/>
    <w:rPr>
      <w:rFonts w:ascii="Times New Roman" w:hAnsi="Times New Roman" w:cs="Akhbar MT"/>
      <w:szCs w:val="30"/>
      <w:lang w:val="en-GB"/>
    </w:rPr>
  </w:style>
  <w:style w:type="paragraph" w:styleId="CommentSubject">
    <w:name w:val="annotation subject"/>
    <w:basedOn w:val="CommentText"/>
    <w:next w:val="CommentText"/>
    <w:link w:val="CommentSubjectChar"/>
    <w:uiPriority w:val="99"/>
    <w:semiHidden/>
    <w:unhideWhenUsed/>
    <w:rsid w:val="004F1827"/>
    <w:pPr>
      <w:spacing w:after="16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F1827"/>
    <w:rPr>
      <w:rFonts w:ascii="Times New Roman" w:eastAsia="MS Mincho" w:hAnsi="Times New Roman" w:cs="Times New Roman"/>
      <w:b/>
      <w:bCs/>
      <w:sz w:val="20"/>
      <w:szCs w:val="20"/>
      <w:lang w:val="en-GB"/>
    </w:rPr>
  </w:style>
  <w:style w:type="character" w:styleId="PageNumber">
    <w:name w:val="page number"/>
    <w:rsid w:val="009D5226"/>
    <w:rPr>
      <w:rFonts w:ascii="Arial" w:hAnsi="Arial"/>
      <w:b/>
      <w:sz w:val="18"/>
    </w:rPr>
  </w:style>
  <w:style w:type="paragraph" w:customStyle="1" w:styleId="IPPHeading1">
    <w:name w:val="IPP Heading1"/>
    <w:basedOn w:val="IPPNormal"/>
    <w:next w:val="IPPNormal"/>
    <w:qFormat/>
    <w:rsid w:val="009D5226"/>
    <w:pPr>
      <w:keepNext/>
      <w:tabs>
        <w:tab w:val="left" w:pos="567"/>
      </w:tabs>
      <w:spacing w:before="240" w:after="120"/>
      <w:ind w:left="567" w:hanging="567"/>
      <w:jc w:val="left"/>
      <w:outlineLvl w:val="1"/>
    </w:pPr>
    <w:rPr>
      <w:b/>
      <w:sz w:val="24"/>
      <w:szCs w:val="22"/>
    </w:rPr>
  </w:style>
  <w:style w:type="paragraph" w:customStyle="1" w:styleId="IPPHeader">
    <w:name w:val="IPP Header"/>
    <w:basedOn w:val="Normal"/>
    <w:qFormat/>
    <w:rsid w:val="009D522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NumberedList">
    <w:name w:val="IPP NumberedList"/>
    <w:basedOn w:val="IPPBullet1"/>
    <w:qFormat/>
    <w:rsid w:val="009D5226"/>
    <w:pPr>
      <w:numPr>
        <w:numId w:val="11"/>
      </w:numPr>
    </w:pPr>
  </w:style>
  <w:style w:type="table" w:customStyle="1" w:styleId="TableGrid2">
    <w:name w:val="Table Grid2"/>
    <w:basedOn w:val="TableNormal"/>
    <w:next w:val="TableGrid"/>
    <w:rsid w:val="0022210E"/>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D5226"/>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10E"/>
    <w:pPr>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basedOn w:val="DefaultParagraphFont"/>
    <w:link w:val="Heading1"/>
    <w:rsid w:val="009D5226"/>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9D5226"/>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9D5226"/>
    <w:rPr>
      <w:rFonts w:ascii="Calibri" w:eastAsia="MS Mincho" w:hAnsi="Calibri"/>
      <w:b/>
      <w:bCs/>
      <w:sz w:val="26"/>
      <w:szCs w:val="26"/>
      <w:lang w:val="en-GB" w:eastAsia="zh-CN"/>
    </w:rPr>
  </w:style>
  <w:style w:type="paragraph" w:customStyle="1" w:styleId="Style">
    <w:name w:val="Style"/>
    <w:basedOn w:val="Footer"/>
    <w:autoRedefine/>
    <w:qFormat/>
    <w:rsid w:val="009D522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9D5226"/>
    <w:pPr>
      <w:tabs>
        <w:tab w:val="left" w:pos="28"/>
      </w:tabs>
      <w:ind w:left="284" w:hanging="284"/>
    </w:pPr>
    <w:rPr>
      <w:sz w:val="16"/>
    </w:rPr>
  </w:style>
  <w:style w:type="paragraph" w:customStyle="1" w:styleId="IPPContentsHead">
    <w:name w:val="IPP ContentsHead"/>
    <w:basedOn w:val="IPPSubhead"/>
    <w:next w:val="IPPNormal"/>
    <w:qFormat/>
    <w:rsid w:val="009D5226"/>
    <w:pPr>
      <w:spacing w:after="240"/>
    </w:pPr>
    <w:rPr>
      <w:sz w:val="24"/>
    </w:rPr>
  </w:style>
  <w:style w:type="paragraph" w:customStyle="1" w:styleId="IPPBullet2">
    <w:name w:val="IPP Bullet2"/>
    <w:basedOn w:val="IPPNormal"/>
    <w:next w:val="IPPBullet1"/>
    <w:qFormat/>
    <w:rsid w:val="009D5226"/>
    <w:pPr>
      <w:numPr>
        <w:numId w:val="20"/>
      </w:numPr>
      <w:tabs>
        <w:tab w:val="left" w:pos="1134"/>
      </w:tabs>
      <w:spacing w:after="60"/>
    </w:pPr>
  </w:style>
  <w:style w:type="paragraph" w:customStyle="1" w:styleId="IPPQuote">
    <w:name w:val="IPP Quote"/>
    <w:basedOn w:val="IPPNormal"/>
    <w:qFormat/>
    <w:rsid w:val="009D5226"/>
    <w:pPr>
      <w:ind w:left="851" w:right="851"/>
    </w:pPr>
    <w:rPr>
      <w:sz w:val="18"/>
    </w:rPr>
  </w:style>
  <w:style w:type="paragraph" w:customStyle="1" w:styleId="IPPNormal">
    <w:name w:val="IPP Normal"/>
    <w:basedOn w:val="Normal"/>
    <w:link w:val="IPPNormalChar"/>
    <w:qFormat/>
    <w:rsid w:val="009D5226"/>
    <w:pPr>
      <w:spacing w:after="180"/>
    </w:pPr>
    <w:rPr>
      <w:rFonts w:eastAsia="Times"/>
    </w:rPr>
  </w:style>
  <w:style w:type="paragraph" w:customStyle="1" w:styleId="IPPIndentClose">
    <w:name w:val="IPP Indent Close"/>
    <w:basedOn w:val="IPPNormal"/>
    <w:qFormat/>
    <w:rsid w:val="009D5226"/>
    <w:pPr>
      <w:tabs>
        <w:tab w:val="left" w:pos="2835"/>
      </w:tabs>
      <w:spacing w:after="60"/>
      <w:ind w:left="567"/>
    </w:pPr>
  </w:style>
  <w:style w:type="paragraph" w:customStyle="1" w:styleId="IPPIndent">
    <w:name w:val="IPP Indent"/>
    <w:basedOn w:val="IPPIndentClose"/>
    <w:qFormat/>
    <w:rsid w:val="009D5226"/>
    <w:pPr>
      <w:spacing w:after="180"/>
    </w:pPr>
  </w:style>
  <w:style w:type="paragraph" w:customStyle="1" w:styleId="IPPFootnote">
    <w:name w:val="IPP Footnote"/>
    <w:basedOn w:val="IPPArialFootnote"/>
    <w:qFormat/>
    <w:rsid w:val="009D5226"/>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9D5226"/>
    <w:pPr>
      <w:keepNext/>
      <w:tabs>
        <w:tab w:val="left" w:pos="567"/>
      </w:tabs>
      <w:spacing w:before="120" w:after="120"/>
      <w:ind w:left="567" w:hanging="567"/>
    </w:pPr>
    <w:rPr>
      <w:b/>
      <w:i/>
    </w:rPr>
  </w:style>
  <w:style w:type="character" w:customStyle="1" w:styleId="IPPnormalitalics">
    <w:name w:val="IPP normal italics"/>
    <w:basedOn w:val="DefaultParagraphFont"/>
    <w:rsid w:val="009D5226"/>
    <w:rPr>
      <w:rFonts w:ascii="Times New Roman" w:hAnsi="Times New Roman"/>
      <w:i/>
      <w:sz w:val="22"/>
      <w:lang w:val="en-US"/>
    </w:rPr>
  </w:style>
  <w:style w:type="character" w:customStyle="1" w:styleId="IPPNormalbold">
    <w:name w:val="IPP Normal bold"/>
    <w:basedOn w:val="PlainTextChar"/>
    <w:rsid w:val="009D5226"/>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9D5226"/>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9D5226"/>
    <w:pPr>
      <w:keepNext/>
      <w:ind w:left="567" w:hanging="567"/>
      <w:jc w:val="left"/>
    </w:pPr>
    <w:rPr>
      <w:b/>
      <w:bCs/>
      <w:iCs/>
      <w:szCs w:val="22"/>
    </w:rPr>
  </w:style>
  <w:style w:type="character" w:customStyle="1" w:styleId="IPPNormalunderlined">
    <w:name w:val="IPP Normal underlined"/>
    <w:basedOn w:val="DefaultParagraphFont"/>
    <w:rsid w:val="009D5226"/>
    <w:rPr>
      <w:rFonts w:ascii="Times New Roman" w:hAnsi="Times New Roman"/>
      <w:sz w:val="22"/>
      <w:u w:val="single"/>
      <w:lang w:val="en-US"/>
    </w:rPr>
  </w:style>
  <w:style w:type="paragraph" w:customStyle="1" w:styleId="IPPBullet1">
    <w:name w:val="IPP Bullet1"/>
    <w:basedOn w:val="IPPBullet1Last"/>
    <w:qFormat/>
    <w:rsid w:val="009D5226"/>
    <w:pPr>
      <w:numPr>
        <w:numId w:val="26"/>
      </w:numPr>
      <w:spacing w:after="60"/>
    </w:pPr>
    <w:rPr>
      <w:lang w:val="en-US"/>
    </w:rPr>
  </w:style>
  <w:style w:type="paragraph" w:customStyle="1" w:styleId="IPPBullet1Last">
    <w:name w:val="IPP Bullet1Last"/>
    <w:basedOn w:val="IPPNormal"/>
    <w:next w:val="IPPNormal"/>
    <w:autoRedefine/>
    <w:qFormat/>
    <w:rsid w:val="009D5226"/>
    <w:pPr>
      <w:numPr>
        <w:numId w:val="21"/>
      </w:numPr>
    </w:pPr>
  </w:style>
  <w:style w:type="character" w:customStyle="1" w:styleId="IPPNormalstrikethrough">
    <w:name w:val="IPP Normal strikethrough"/>
    <w:rsid w:val="009D5226"/>
    <w:rPr>
      <w:rFonts w:ascii="Times New Roman" w:hAnsi="Times New Roman"/>
      <w:strike/>
      <w:dstrike w:val="0"/>
      <w:sz w:val="22"/>
    </w:rPr>
  </w:style>
  <w:style w:type="paragraph" w:customStyle="1" w:styleId="IPPTitle16pt">
    <w:name w:val="IPP Title16pt"/>
    <w:basedOn w:val="Normal"/>
    <w:qFormat/>
    <w:rsid w:val="009D522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9D5226"/>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9D5226"/>
    <w:pPr>
      <w:keepNext/>
      <w:tabs>
        <w:tab w:val="left" w:pos="567"/>
      </w:tabs>
      <w:spacing w:before="120"/>
      <w:jc w:val="left"/>
      <w:outlineLvl w:val="1"/>
    </w:pPr>
    <w:rPr>
      <w:b/>
      <w:sz w:val="24"/>
    </w:rPr>
  </w:style>
  <w:style w:type="paragraph" w:customStyle="1" w:styleId="IPPNormalCloseSpace">
    <w:name w:val="IPP NormalCloseSpace"/>
    <w:basedOn w:val="Normal"/>
    <w:qFormat/>
    <w:rsid w:val="009D5226"/>
    <w:pPr>
      <w:keepNext/>
      <w:spacing w:after="60"/>
    </w:pPr>
  </w:style>
  <w:style w:type="paragraph" w:customStyle="1" w:styleId="IPPHeading2">
    <w:name w:val="IPP Heading2"/>
    <w:basedOn w:val="IPPNormal"/>
    <w:next w:val="IPPNormal"/>
    <w:qFormat/>
    <w:rsid w:val="009D5226"/>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9D5226"/>
    <w:pPr>
      <w:tabs>
        <w:tab w:val="right" w:leader="dot" w:pos="9072"/>
      </w:tabs>
      <w:spacing w:before="240"/>
      <w:ind w:left="567" w:hanging="567"/>
    </w:pPr>
  </w:style>
  <w:style w:type="paragraph" w:styleId="TOC2">
    <w:name w:val="toc 2"/>
    <w:basedOn w:val="TOC1"/>
    <w:next w:val="Normal"/>
    <w:autoRedefine/>
    <w:uiPriority w:val="39"/>
    <w:rsid w:val="009D5226"/>
    <w:pPr>
      <w:keepNext w:val="0"/>
      <w:tabs>
        <w:tab w:val="left" w:pos="425"/>
      </w:tabs>
      <w:spacing w:before="120" w:after="0"/>
      <w:ind w:left="425" w:right="284" w:hanging="425"/>
    </w:pPr>
  </w:style>
  <w:style w:type="paragraph" w:styleId="TOC3">
    <w:name w:val="toc 3"/>
    <w:basedOn w:val="TOC2"/>
    <w:next w:val="Normal"/>
    <w:autoRedefine/>
    <w:uiPriority w:val="39"/>
    <w:rsid w:val="009D5226"/>
    <w:pPr>
      <w:tabs>
        <w:tab w:val="left" w:pos="1276"/>
      </w:tabs>
      <w:spacing w:before="60"/>
      <w:ind w:left="1276" w:hanging="851"/>
    </w:pPr>
    <w:rPr>
      <w:rFonts w:eastAsia="Times"/>
    </w:rPr>
  </w:style>
  <w:style w:type="paragraph" w:styleId="TOC4">
    <w:name w:val="toc 4"/>
    <w:basedOn w:val="Normal"/>
    <w:next w:val="Normal"/>
    <w:autoRedefine/>
    <w:uiPriority w:val="39"/>
    <w:rsid w:val="009D5226"/>
    <w:pPr>
      <w:spacing w:after="120"/>
      <w:ind w:left="660"/>
    </w:pPr>
    <w:rPr>
      <w:rFonts w:eastAsia="Times"/>
      <w:lang w:val="en-AU"/>
    </w:rPr>
  </w:style>
  <w:style w:type="paragraph" w:styleId="TOC5">
    <w:name w:val="toc 5"/>
    <w:basedOn w:val="Normal"/>
    <w:next w:val="Normal"/>
    <w:autoRedefine/>
    <w:uiPriority w:val="39"/>
    <w:rsid w:val="009D5226"/>
    <w:pPr>
      <w:spacing w:after="120"/>
      <w:ind w:left="880"/>
    </w:pPr>
    <w:rPr>
      <w:rFonts w:eastAsia="Times"/>
      <w:lang w:val="en-AU"/>
    </w:rPr>
  </w:style>
  <w:style w:type="paragraph" w:styleId="TOC6">
    <w:name w:val="toc 6"/>
    <w:basedOn w:val="Normal"/>
    <w:next w:val="Normal"/>
    <w:autoRedefine/>
    <w:uiPriority w:val="39"/>
    <w:rsid w:val="009D5226"/>
    <w:pPr>
      <w:spacing w:after="120"/>
      <w:ind w:left="1100"/>
    </w:pPr>
    <w:rPr>
      <w:rFonts w:eastAsia="Times"/>
      <w:lang w:val="en-AU"/>
    </w:rPr>
  </w:style>
  <w:style w:type="paragraph" w:styleId="TOC7">
    <w:name w:val="toc 7"/>
    <w:basedOn w:val="Normal"/>
    <w:next w:val="Normal"/>
    <w:autoRedefine/>
    <w:uiPriority w:val="39"/>
    <w:rsid w:val="009D5226"/>
    <w:pPr>
      <w:spacing w:after="120"/>
      <w:ind w:left="1320"/>
    </w:pPr>
    <w:rPr>
      <w:rFonts w:eastAsia="Times"/>
      <w:lang w:val="en-AU"/>
    </w:rPr>
  </w:style>
  <w:style w:type="paragraph" w:styleId="TOC8">
    <w:name w:val="toc 8"/>
    <w:basedOn w:val="Normal"/>
    <w:next w:val="Normal"/>
    <w:autoRedefine/>
    <w:uiPriority w:val="39"/>
    <w:rsid w:val="009D5226"/>
    <w:pPr>
      <w:spacing w:after="120"/>
      <w:ind w:left="1540"/>
    </w:pPr>
    <w:rPr>
      <w:rFonts w:eastAsia="Times"/>
      <w:lang w:val="en-AU"/>
    </w:rPr>
  </w:style>
  <w:style w:type="paragraph" w:styleId="TOC9">
    <w:name w:val="toc 9"/>
    <w:basedOn w:val="Normal"/>
    <w:next w:val="Normal"/>
    <w:autoRedefine/>
    <w:uiPriority w:val="39"/>
    <w:rsid w:val="009D5226"/>
    <w:pPr>
      <w:spacing w:after="120"/>
      <w:ind w:left="1760"/>
    </w:pPr>
    <w:rPr>
      <w:rFonts w:eastAsia="Times"/>
      <w:lang w:val="en-AU"/>
    </w:rPr>
  </w:style>
  <w:style w:type="paragraph" w:customStyle="1" w:styleId="IPPReferences">
    <w:name w:val="IPP References"/>
    <w:basedOn w:val="IPPNormal"/>
    <w:qFormat/>
    <w:rsid w:val="009D5226"/>
    <w:pPr>
      <w:spacing w:after="60"/>
      <w:ind w:left="567" w:hanging="567"/>
    </w:pPr>
  </w:style>
  <w:style w:type="paragraph" w:customStyle="1" w:styleId="IPPArial">
    <w:name w:val="IPP Arial"/>
    <w:basedOn w:val="IPPNormal"/>
    <w:qFormat/>
    <w:rsid w:val="009D5226"/>
    <w:pPr>
      <w:spacing w:after="0"/>
    </w:pPr>
    <w:rPr>
      <w:rFonts w:ascii="Arial" w:hAnsi="Arial"/>
      <w:sz w:val="18"/>
    </w:rPr>
  </w:style>
  <w:style w:type="paragraph" w:customStyle="1" w:styleId="IPPArialTable">
    <w:name w:val="IPP Arial Table"/>
    <w:basedOn w:val="IPPArial"/>
    <w:qFormat/>
    <w:rsid w:val="009D5226"/>
    <w:pPr>
      <w:spacing w:before="60" w:after="60"/>
      <w:jc w:val="left"/>
    </w:pPr>
  </w:style>
  <w:style w:type="paragraph" w:customStyle="1" w:styleId="IPPHeaderlandscape">
    <w:name w:val="IPP Header landscape"/>
    <w:basedOn w:val="IPPHeader"/>
    <w:qFormat/>
    <w:rsid w:val="009D5226"/>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9D5226"/>
    <w:pPr>
      <w:numPr>
        <w:numId w:val="17"/>
      </w:numPr>
      <w:jc w:val="left"/>
    </w:pPr>
  </w:style>
  <w:style w:type="paragraph" w:customStyle="1" w:styleId="IPPLetterListIndent">
    <w:name w:val="IPP LetterList Indent"/>
    <w:basedOn w:val="IPPLetterList"/>
    <w:qFormat/>
    <w:rsid w:val="009D5226"/>
    <w:pPr>
      <w:numPr>
        <w:numId w:val="18"/>
      </w:numPr>
    </w:pPr>
  </w:style>
  <w:style w:type="paragraph" w:customStyle="1" w:styleId="IPPFooterLandscape">
    <w:name w:val="IPP Footer Landscape"/>
    <w:basedOn w:val="IPPHeaderlandscape"/>
    <w:qFormat/>
    <w:rsid w:val="009D5226"/>
    <w:pPr>
      <w:pBdr>
        <w:top w:val="single" w:sz="4" w:space="1" w:color="auto"/>
        <w:bottom w:val="none" w:sz="0" w:space="0" w:color="auto"/>
      </w:pBdr>
      <w:jc w:val="right"/>
    </w:pPr>
    <w:rPr>
      <w:b/>
    </w:rPr>
  </w:style>
  <w:style w:type="paragraph" w:customStyle="1" w:styleId="IPPSubheadSpace">
    <w:name w:val="IPP Subhead Space"/>
    <w:basedOn w:val="IPPSubhead"/>
    <w:qFormat/>
    <w:rsid w:val="009D5226"/>
    <w:pPr>
      <w:tabs>
        <w:tab w:val="left" w:pos="567"/>
      </w:tabs>
      <w:spacing w:before="60" w:after="60"/>
    </w:pPr>
  </w:style>
  <w:style w:type="paragraph" w:customStyle="1" w:styleId="IPPSubheadSpaceAfter">
    <w:name w:val="IPP Subhead SpaceAfter"/>
    <w:basedOn w:val="IPPSubhead"/>
    <w:qFormat/>
    <w:rsid w:val="009D5226"/>
    <w:pPr>
      <w:spacing w:after="60"/>
    </w:pPr>
  </w:style>
  <w:style w:type="paragraph" w:customStyle="1" w:styleId="IPPHdg1Num">
    <w:name w:val="IPP Hdg1Num"/>
    <w:basedOn w:val="IPPHeading1"/>
    <w:next w:val="IPPNormal"/>
    <w:qFormat/>
    <w:rsid w:val="009D5226"/>
    <w:pPr>
      <w:numPr>
        <w:numId w:val="22"/>
      </w:numPr>
    </w:pPr>
  </w:style>
  <w:style w:type="paragraph" w:customStyle="1" w:styleId="IPPHdg2Num">
    <w:name w:val="IPP Hdg2Num"/>
    <w:basedOn w:val="IPPHeading2"/>
    <w:next w:val="IPPNormal"/>
    <w:qFormat/>
    <w:rsid w:val="009D5226"/>
    <w:pPr>
      <w:numPr>
        <w:ilvl w:val="1"/>
        <w:numId w:val="23"/>
      </w:numPr>
    </w:pPr>
  </w:style>
  <w:style w:type="character" w:styleId="Strong">
    <w:name w:val="Strong"/>
    <w:basedOn w:val="DefaultParagraphFont"/>
    <w:qFormat/>
    <w:rsid w:val="009D5226"/>
    <w:rPr>
      <w:b/>
      <w:bCs/>
    </w:rPr>
  </w:style>
  <w:style w:type="paragraph" w:customStyle="1" w:styleId="IPPParagraphnumberingclose">
    <w:name w:val="IPP Paragraph numbering close"/>
    <w:basedOn w:val="IPPParagraphnumbering"/>
    <w:qFormat/>
    <w:rsid w:val="009D5226"/>
    <w:pPr>
      <w:keepNext/>
      <w:numPr>
        <w:numId w:val="0"/>
      </w:numPr>
      <w:spacing w:after="60"/>
    </w:pPr>
  </w:style>
  <w:style w:type="paragraph" w:customStyle="1" w:styleId="IPPNumberedListLast">
    <w:name w:val="IPP NumberedListLast"/>
    <w:basedOn w:val="IPPNumberedList"/>
    <w:qFormat/>
    <w:rsid w:val="009D5226"/>
    <w:pPr>
      <w:numPr>
        <w:numId w:val="0"/>
      </w:numPr>
      <w:spacing w:after="180"/>
    </w:pPr>
  </w:style>
  <w:style w:type="paragraph" w:customStyle="1" w:styleId="IPPPargraphnumbering">
    <w:name w:val="IPP Pargraph numbering"/>
    <w:basedOn w:val="IPPNormal"/>
    <w:qFormat/>
    <w:rsid w:val="009D5226"/>
    <w:pPr>
      <w:tabs>
        <w:tab w:val="num" w:pos="360"/>
      </w:tabs>
    </w:pPr>
    <w:rPr>
      <w:rFonts w:cs="Times New Roman"/>
      <w:lang w:val="en-US"/>
    </w:rPr>
  </w:style>
  <w:style w:type="character" w:customStyle="1" w:styleId="IPPNormalChar">
    <w:name w:val="IPP Normal Char"/>
    <w:link w:val="IPPNormal"/>
    <w:rsid w:val="009D5226"/>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241065">
      <w:bodyDiv w:val="1"/>
      <w:marLeft w:val="0"/>
      <w:marRight w:val="0"/>
      <w:marTop w:val="0"/>
      <w:marBottom w:val="0"/>
      <w:divBdr>
        <w:top w:val="none" w:sz="0" w:space="0" w:color="auto"/>
        <w:left w:val="none" w:sz="0" w:space="0" w:color="auto"/>
        <w:bottom w:val="none" w:sz="0" w:space="0" w:color="auto"/>
        <w:right w:val="none" w:sz="0" w:space="0" w:color="auto"/>
      </w:divBdr>
    </w:div>
    <w:div w:id="19070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2463/" TargetMode="External"/><Relationship Id="rId13" Type="http://schemas.openxmlformats.org/officeDocument/2006/relationships/hyperlink" Target="https://www.ippc.int/en/publications/88617/" TargetMode="External"/><Relationship Id="rId18" Type="http://schemas.openxmlformats.org/officeDocument/2006/relationships/hyperlink" Target="https://www.ippc.int/core-activities/standards-setting/expert-drafting-groups/technical-panels/technical-panel-diagnostic-protocol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ppc.int/en/core-activities/standards-setting/member-consultation-draft-ispms/" TargetMode="External"/><Relationship Id="rId17" Type="http://schemas.openxmlformats.org/officeDocument/2006/relationships/hyperlink" Target="https://www.ippc.int/en/core-activities/standards-setting/technical-panels/technical-panel-phytosanitary-treatments/phytosanitary-treatments-too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ppc.int/en/core-activities/standards-setting/expert-drafting-groups/technical-panels/technical-panel-phytosanitary-treatments/" TargetMode="External"/><Relationship Id="rId20" Type="http://schemas.openxmlformats.org/officeDocument/2006/relationships/hyperlink" Target="https://www.ippc.int/en/core-activities/standards-and-implementation/call-for-topics-standards-and-implem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core-activities/standards-setting/member-consultation-draft-specifications-ispm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ppc.int/static/media/files/publication/en/2020/07/Report_SC_Tel_2020_Jul_2020-07-22.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ppc.int/en/core-activities/standards-setting/list-topics-ippc-standards/list" TargetMode="External"/><Relationship Id="rId19" Type="http://schemas.openxmlformats.org/officeDocument/2006/relationships/hyperlink" Target="https://www.ippc.int/en/core-activities/standards-setting/calls-treatments/" TargetMode="External"/><Relationship Id="rId4" Type="http://schemas.openxmlformats.org/officeDocument/2006/relationships/settings" Target="settings.xml"/><Relationship Id="rId9" Type="http://schemas.openxmlformats.org/officeDocument/2006/relationships/hyperlink" Target="https://www.ippc.int/static/media/files/publication/en/2020/02/18_CPM_2020_CommodityStandards_body_compiled-2020-02-12_ZCGxdUG.pdf" TargetMode="External"/><Relationship Id="rId14" Type="http://schemas.openxmlformats.org/officeDocument/2006/relationships/hyperlink" Target="https://www.ippc.int/en/core-activities/capacity-development/regional-ippc-workshops/2020-ippc-regional-workshop/"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core-activities/standards-and-implementation/call-for-topics-standards-and-implementation/" TargetMode="External"/><Relationship Id="rId3" Type="http://schemas.openxmlformats.org/officeDocument/2006/relationships/hyperlink" Target="https://www.ippc.int/en/core-activities/capacity-development/regional-ippc-workshops/2020-ippc-regional-workshop/" TargetMode="External"/><Relationship Id="rId7" Type="http://schemas.openxmlformats.org/officeDocument/2006/relationships/hyperlink" Target="https://www.ippc.int/en/core-activities/standards-setting/calls-treatments/" TargetMode="External"/><Relationship Id="rId2" Type="http://schemas.openxmlformats.org/officeDocument/2006/relationships/hyperlink" Target="https://www.ippc.int/en/publications/88572/" TargetMode="External"/><Relationship Id="rId1" Type="http://schemas.openxmlformats.org/officeDocument/2006/relationships/hyperlink" Target="https://www.ippc.int/en/cpm-sessions/cpm-15/" TargetMode="External"/><Relationship Id="rId6" Type="http://schemas.openxmlformats.org/officeDocument/2006/relationships/hyperlink" Target="https://gd.eppo.int/" TargetMode="External"/><Relationship Id="rId5" Type="http://schemas.openxmlformats.org/officeDocument/2006/relationships/hyperlink" Target="https://www.ephytoexchange.org/doc/mapping/IPPC_Specific_Treatment_Types.pdf" TargetMode="External"/><Relationship Id="rId4" Type="http://schemas.openxmlformats.org/officeDocument/2006/relationships/hyperlink" Target="https://www.ippc.int/en/core-activities/standards-setting/standards-committee/" TargetMode="External"/><Relationship Id="rId9" Type="http://schemas.openxmlformats.org/officeDocument/2006/relationships/hyperlink" Target="https://www.ippc.int/en/ephyto/ephyto-industry-advisory-grou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9CC7-2EA8-497F-89B9-F48E1C67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20</TotalTime>
  <Pages>6</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(AGDD)</dc:creator>
  <cp:keywords/>
  <dc:description/>
  <cp:lastModifiedBy>Lahti, Tanja (AGDD)</cp:lastModifiedBy>
  <cp:revision>4</cp:revision>
  <dcterms:created xsi:type="dcterms:W3CDTF">2020-09-29T13:59:00Z</dcterms:created>
  <dcterms:modified xsi:type="dcterms:W3CDTF">2020-09-29T15:21:00Z</dcterms:modified>
</cp:coreProperties>
</file>