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45E2" w14:textId="77777777" w:rsidR="00094BE0" w:rsidRPr="00DE2672" w:rsidRDefault="003D3E6E" w:rsidP="00DE2672">
      <w:pPr>
        <w:jc w:val="center"/>
        <w:rPr>
          <w:rFonts w:cs="Times New Roman"/>
          <w:b/>
          <w:sz w:val="24"/>
        </w:rPr>
      </w:pPr>
      <w:r w:rsidRPr="00E6063A">
        <w:rPr>
          <w:rFonts w:cs="Times New Roman"/>
          <w:b/>
          <w:sz w:val="24"/>
        </w:rPr>
        <w:t>IPPC STRATEGIC FRAMEWORK 2020-2030 DEVELOPMENT PROGRAMME</w:t>
      </w:r>
      <w:r w:rsidR="004065B7">
        <w:rPr>
          <w:rFonts w:cs="Times New Roman"/>
          <w:b/>
          <w:sz w:val="24"/>
        </w:rPr>
        <w:t>:</w:t>
      </w:r>
      <w:r w:rsidRPr="00DE2672">
        <w:rPr>
          <w:rFonts w:cs="Times New Roman"/>
          <w:b/>
          <w:sz w:val="24"/>
        </w:rPr>
        <w:t xml:space="preserve"> </w:t>
      </w:r>
      <w:r w:rsidR="004065B7" w:rsidRPr="00DE2672">
        <w:rPr>
          <w:rFonts w:cs="Times New Roman"/>
          <w:b/>
          <w:sz w:val="24"/>
        </w:rPr>
        <w:t>DIAGNOSTIC LABORATORY NETWORKING</w:t>
      </w:r>
    </w:p>
    <w:p w14:paraId="5AD3D454" w14:textId="77777777" w:rsidR="00DE2672" w:rsidRPr="00A061EE" w:rsidRDefault="00DE2672" w:rsidP="00DE2672">
      <w:pPr>
        <w:jc w:val="center"/>
        <w:rPr>
          <w:rFonts w:cs="Times New Roman"/>
          <w:i/>
        </w:rPr>
      </w:pPr>
      <w:r w:rsidRPr="00A061EE">
        <w:rPr>
          <w:rFonts w:cs="Times New Roman"/>
          <w:i/>
        </w:rPr>
        <w:t>(Prepared by IPPC Secretariat)</w:t>
      </w:r>
    </w:p>
    <w:p w14:paraId="0B858392" w14:textId="77777777" w:rsidR="00DE2672" w:rsidRPr="00B4252E" w:rsidRDefault="00DE2672" w:rsidP="00DE2672">
      <w:pPr>
        <w:rPr>
          <w:rFonts w:cs="Times New Roman"/>
        </w:rPr>
      </w:pPr>
    </w:p>
    <w:p w14:paraId="1C151E7B" w14:textId="77777777" w:rsidR="00DE2672" w:rsidRPr="00F64299" w:rsidRDefault="00DE2672" w:rsidP="00DE2672">
      <w:pPr>
        <w:pStyle w:val="IPPParagraphnumbering"/>
        <w:numPr>
          <w:ilvl w:val="0"/>
          <w:numId w:val="3"/>
        </w:numPr>
        <w:rPr>
          <w:b/>
        </w:rPr>
      </w:pPr>
      <w:r>
        <w:rPr>
          <w:b/>
        </w:rPr>
        <w:t>INTRO</w:t>
      </w:r>
      <w:bookmarkStart w:id="0" w:name="_GoBack"/>
      <w:bookmarkEnd w:id="0"/>
      <w:r>
        <w:rPr>
          <w:b/>
        </w:rPr>
        <w:t>DUCTION</w:t>
      </w:r>
    </w:p>
    <w:p w14:paraId="713F0F20" w14:textId="70B3DD3A" w:rsidR="00243FCA" w:rsidRDefault="00243FCA" w:rsidP="00243FCA">
      <w:pPr>
        <w:pStyle w:val="IPPParagraphnumbering"/>
      </w:pPr>
      <w:r>
        <w:t xml:space="preserve">The current COVID-19 pandemic is demonstrating </w:t>
      </w:r>
      <w:r w:rsidR="002358C8">
        <w:t xml:space="preserve">to </w:t>
      </w:r>
      <w:r>
        <w:t xml:space="preserve">the world </w:t>
      </w:r>
      <w:r w:rsidR="00C47E10">
        <w:t>that we</w:t>
      </w:r>
      <w:r>
        <w:t xml:space="preserve"> need to be ready to tackle </w:t>
      </w:r>
      <w:r w:rsidR="00D45670">
        <w:t>such emergencies</w:t>
      </w:r>
      <w:r>
        <w:t xml:space="preserve">. </w:t>
      </w:r>
      <w:r w:rsidR="00D45670">
        <w:t>P</w:t>
      </w:r>
      <w:r>
        <w:t xml:space="preserve">lant pests are no </w:t>
      </w:r>
      <w:r w:rsidR="00D45670">
        <w:t>different to</w:t>
      </w:r>
      <w:r w:rsidR="001029D3">
        <w:t xml:space="preserve"> </w:t>
      </w:r>
      <w:r w:rsidR="001029D3">
        <w:rPr>
          <w:color w:val="1B1E24"/>
          <w:shd w:val="clear" w:color="auto" w:fill="FFFFFF"/>
        </w:rPr>
        <w:t>v</w:t>
      </w:r>
      <w:r w:rsidR="001029D3" w:rsidRPr="00175597">
        <w:rPr>
          <w:color w:val="1B1E24"/>
          <w:shd w:val="clear" w:color="auto" w:fill="FFFFFF"/>
        </w:rPr>
        <w:t xml:space="preserve">iruses, </w:t>
      </w:r>
      <w:r w:rsidR="00D45670">
        <w:rPr>
          <w:color w:val="1B1E24"/>
          <w:shd w:val="clear" w:color="auto" w:fill="FFFFFF"/>
        </w:rPr>
        <w:t xml:space="preserve">nor </w:t>
      </w:r>
      <w:r w:rsidR="001029D3" w:rsidRPr="00175597">
        <w:rPr>
          <w:color w:val="1B1E24"/>
          <w:shd w:val="clear" w:color="auto" w:fill="FFFFFF"/>
        </w:rPr>
        <w:t xml:space="preserve">pests </w:t>
      </w:r>
      <w:r w:rsidR="00D45670">
        <w:rPr>
          <w:color w:val="1B1E24"/>
          <w:shd w:val="clear" w:color="auto" w:fill="FFFFFF"/>
        </w:rPr>
        <w:t>or</w:t>
      </w:r>
      <w:r w:rsidR="001029D3" w:rsidRPr="00175597">
        <w:rPr>
          <w:color w:val="1B1E24"/>
          <w:shd w:val="clear" w:color="auto" w:fill="FFFFFF"/>
        </w:rPr>
        <w:t xml:space="preserve"> diseases</w:t>
      </w:r>
      <w:r w:rsidR="00E42F94">
        <w:rPr>
          <w:color w:val="1B1E24"/>
          <w:shd w:val="clear" w:color="auto" w:fill="FFFFFF"/>
        </w:rPr>
        <w:t xml:space="preserve"> </w:t>
      </w:r>
      <w:r w:rsidR="001029D3">
        <w:rPr>
          <w:color w:val="1B1E24"/>
          <w:shd w:val="clear" w:color="auto" w:fill="FFFFFF"/>
        </w:rPr>
        <w:t>carry</w:t>
      </w:r>
      <w:r w:rsidR="001029D3" w:rsidRPr="00175597">
        <w:rPr>
          <w:color w:val="1B1E24"/>
          <w:shd w:val="clear" w:color="auto" w:fill="FFFFFF"/>
        </w:rPr>
        <w:t xml:space="preserve"> passports when moving from one country to another.</w:t>
      </w:r>
      <w:r>
        <w:t xml:space="preserve"> We also need to </w:t>
      </w:r>
      <w:r w:rsidR="00D45670">
        <w:t>be conscious</w:t>
      </w:r>
      <w:r>
        <w:t xml:space="preserve"> of increase in trade and travel as plant pests move across borders with consignments and travelers and spread unintentionally at alarming rates.</w:t>
      </w:r>
    </w:p>
    <w:p w14:paraId="1B34328B" w14:textId="534A107E" w:rsidR="004065B7" w:rsidRDefault="00243FCA" w:rsidP="00D05D6D">
      <w:pPr>
        <w:pStyle w:val="IPPParagraphnumbering"/>
      </w:pPr>
      <w:r>
        <w:t xml:space="preserve">It is known that early detection and accurate diagnosis can minimize the </w:t>
      </w:r>
      <w:r w:rsidR="00E42F94">
        <w:t xml:space="preserve">likelihood </w:t>
      </w:r>
      <w:r>
        <w:t xml:space="preserve">of a pest outbreak. </w:t>
      </w:r>
      <w:r w:rsidR="00C47E10">
        <w:t xml:space="preserve">Accurate and rapid pest diagnosis underpins phytosanitary certification, import inspections, surveillance activities and the application of appropriate phytosanitary measures. </w:t>
      </w:r>
      <w:r w:rsidR="00C47E10" w:rsidRPr="00F178A4">
        <w:t xml:space="preserve">The </w:t>
      </w:r>
      <w:r w:rsidR="00C47E10" w:rsidRPr="004B1612">
        <w:t xml:space="preserve">IPPC </w:t>
      </w:r>
      <w:r w:rsidR="00C47E10">
        <w:t>Strategic Framework</w:t>
      </w:r>
      <w:r w:rsidR="00C47E10" w:rsidRPr="004B1612">
        <w:t xml:space="preserve"> 2020</w:t>
      </w:r>
      <w:r w:rsidR="00AC0F1D">
        <w:t>-</w:t>
      </w:r>
      <w:r w:rsidR="00C47E10" w:rsidRPr="004B1612">
        <w:t>2030</w:t>
      </w:r>
      <w:r w:rsidR="00C47E10">
        <w:rPr>
          <w:rStyle w:val="FootnoteReference"/>
        </w:rPr>
        <w:footnoteReference w:id="1"/>
      </w:r>
      <w:r w:rsidR="00C47E10" w:rsidRPr="00D05D6D">
        <w:rPr>
          <w:bCs/>
        </w:rPr>
        <w:t>,</w:t>
      </w:r>
      <w:r w:rsidR="00C47E10" w:rsidRPr="004B1612">
        <w:t xml:space="preserve"> </w:t>
      </w:r>
      <w:r w:rsidR="00C47E10" w:rsidRPr="00F178A4">
        <w:t xml:space="preserve">with its eight key development </w:t>
      </w:r>
      <w:r w:rsidR="00C47E10">
        <w:t>agenda items,</w:t>
      </w:r>
      <w:r w:rsidR="00C47E10" w:rsidRPr="00F178A4">
        <w:t xml:space="preserve"> identif</w:t>
      </w:r>
      <w:r w:rsidR="00C47E10">
        <w:t>ies</w:t>
      </w:r>
      <w:r w:rsidR="00C47E10" w:rsidRPr="00F178A4">
        <w:t xml:space="preserve"> new priority work</w:t>
      </w:r>
      <w:r w:rsidR="00C47E10">
        <w:t xml:space="preserve"> areas that are</w:t>
      </w:r>
      <w:r w:rsidR="00A061EE">
        <w:t xml:space="preserve"> </w:t>
      </w:r>
      <w:r w:rsidR="00C47E10" w:rsidRPr="00F178A4">
        <w:t xml:space="preserve">aligned to the </w:t>
      </w:r>
      <w:r w:rsidR="00C47E10">
        <w:t>IPPC</w:t>
      </w:r>
      <w:r w:rsidR="00C47E10" w:rsidRPr="00BA6BE1">
        <w:t>’s</w:t>
      </w:r>
      <w:r w:rsidR="00C47E10" w:rsidRPr="00F178A4">
        <w:t xml:space="preserve"> </w:t>
      </w:r>
      <w:r w:rsidR="00C47E10">
        <w:t>v</w:t>
      </w:r>
      <w:r w:rsidR="00C47E10" w:rsidRPr="00F178A4">
        <w:t xml:space="preserve">ision, </w:t>
      </w:r>
      <w:r w:rsidR="00C47E10">
        <w:t>m</w:t>
      </w:r>
      <w:r w:rsidR="00C47E10" w:rsidRPr="00F178A4">
        <w:t xml:space="preserve">ission and </w:t>
      </w:r>
      <w:r w:rsidR="00C47E10">
        <w:t>s</w:t>
      </w:r>
      <w:r w:rsidR="00C47E10" w:rsidRPr="00F178A4">
        <w:t xml:space="preserve">trategic </w:t>
      </w:r>
      <w:r w:rsidR="00C47E10">
        <w:t>o</w:t>
      </w:r>
      <w:r w:rsidR="00C47E10" w:rsidRPr="00F178A4">
        <w:t xml:space="preserve">bjectives. </w:t>
      </w:r>
      <w:r w:rsidR="00686BC9">
        <w:t>One of the identified development agenda is to e</w:t>
      </w:r>
      <w:r w:rsidR="00686BC9" w:rsidRPr="00686BC9">
        <w:t>stablish</w:t>
      </w:r>
      <w:r w:rsidR="00686BC9">
        <w:t xml:space="preserve"> </w:t>
      </w:r>
      <w:r w:rsidR="00686BC9" w:rsidRPr="00686BC9">
        <w:t>a network of diagnostic laboratory services and diagnostic protocols to help countries identify pests in a more reliable and timely manner</w:t>
      </w:r>
      <w:r w:rsidR="00D05D6D">
        <w:t xml:space="preserve">. </w:t>
      </w:r>
      <w:r w:rsidR="004065B7">
        <w:t>It is expected that by 2030 an</w:t>
      </w:r>
      <w:r w:rsidR="004065B7" w:rsidRPr="00D05D6D">
        <w:t xml:space="preserve"> international network of diagnostic laboratory services </w:t>
      </w:r>
      <w:r w:rsidR="004065B7">
        <w:t>is functioning, and that n</w:t>
      </w:r>
      <w:r w:rsidR="004065B7" w:rsidRPr="00D05D6D">
        <w:t>ational laboratories</w:t>
      </w:r>
      <w:r w:rsidR="004065B7">
        <w:t xml:space="preserve"> have</w:t>
      </w:r>
      <w:r w:rsidR="004065B7" w:rsidRPr="00D05D6D">
        <w:t xml:space="preserve"> strong diagnostic functions are officially recognized as capable of offering reliable services within regions or globally, reducing the need for all countries to develop duplicated capacity.</w:t>
      </w:r>
    </w:p>
    <w:p w14:paraId="3C83B1F9" w14:textId="3F107070" w:rsidR="004065B7" w:rsidRDefault="00D05D6D" w:rsidP="00D05D6D">
      <w:pPr>
        <w:pStyle w:val="IPPParagraphnumbering"/>
      </w:pPr>
      <w:r>
        <w:t xml:space="preserve">The </w:t>
      </w:r>
      <w:hyperlink r:id="rId8" w:history="1">
        <w:r w:rsidRPr="00A061EE">
          <w:rPr>
            <w:rStyle w:val="Hyperlink"/>
          </w:rPr>
          <w:t>IPPC Standard Setting Unit (SSU)</w:t>
        </w:r>
      </w:hyperlink>
      <w:r w:rsidRPr="00D05D6D">
        <w:t xml:space="preserve"> </w:t>
      </w:r>
      <w:r>
        <w:t xml:space="preserve">was assigned to </w:t>
      </w:r>
      <w:r w:rsidRPr="00D05D6D">
        <w:t>coordinat</w:t>
      </w:r>
      <w:r>
        <w:t>e</w:t>
      </w:r>
      <w:r w:rsidRPr="00D05D6D">
        <w:t xml:space="preserve"> the activities</w:t>
      </w:r>
      <w:r>
        <w:t xml:space="preserve"> </w:t>
      </w:r>
      <w:r w:rsidR="002C63B0">
        <w:t xml:space="preserve">related </w:t>
      </w:r>
      <w:r>
        <w:t>to this development agenda</w:t>
      </w:r>
      <w:r w:rsidR="002C63B0">
        <w:t xml:space="preserve"> item</w:t>
      </w:r>
      <w:r>
        <w:t xml:space="preserve">. </w:t>
      </w:r>
      <w:r w:rsidR="004065B7" w:rsidRPr="004065B7">
        <w:t xml:space="preserve">The plan </w:t>
      </w:r>
      <w:r w:rsidR="004065B7">
        <w:t>is to</w:t>
      </w:r>
      <w:r w:rsidR="004065B7" w:rsidRPr="004065B7">
        <w:t xml:space="preserve"> include activities that would go across the</w:t>
      </w:r>
      <w:r w:rsidR="004065B7">
        <w:t xml:space="preserve"> different IPPC committees and to the entire</w:t>
      </w:r>
      <w:r w:rsidR="004065B7" w:rsidRPr="004065B7">
        <w:t xml:space="preserve"> IPPC Secretariat, building on the expertise of all its</w:t>
      </w:r>
      <w:r w:rsidR="004065B7" w:rsidRPr="00DF278E">
        <w:t xml:space="preserve"> units</w:t>
      </w:r>
      <w:r w:rsidR="004065B7">
        <w:t xml:space="preserve"> and committees. </w:t>
      </w:r>
      <w:r w:rsidR="004065B7" w:rsidRPr="00A061EE">
        <w:t>It is to note that there is no secured resources to achieve this development agenda, and the work has not yet commenced</w:t>
      </w:r>
      <w:r w:rsidR="00AC0F1D">
        <w:t>,</w:t>
      </w:r>
      <w:r w:rsidR="004065B7" w:rsidRPr="00A061EE">
        <w:t xml:space="preserve"> but initial discussions were </w:t>
      </w:r>
      <w:r w:rsidR="002C63B0">
        <w:t>held</w:t>
      </w:r>
      <w:r w:rsidR="002C63B0" w:rsidRPr="00A061EE">
        <w:t xml:space="preserve"> </w:t>
      </w:r>
      <w:r w:rsidR="004065B7" w:rsidRPr="00A061EE">
        <w:t xml:space="preserve">with the </w:t>
      </w:r>
      <w:hyperlink r:id="rId9" w:history="1">
        <w:r w:rsidR="004065B7" w:rsidRPr="00A061EE">
          <w:rPr>
            <w:rStyle w:val="Hyperlink"/>
          </w:rPr>
          <w:t>IPPC Technical Panel on Diagnostic Protocols (TPDP)</w:t>
        </w:r>
      </w:hyperlink>
      <w:r w:rsidR="004065B7" w:rsidRPr="00A061EE">
        <w:t xml:space="preserve"> and</w:t>
      </w:r>
      <w:r w:rsidR="00A061EE">
        <w:t xml:space="preserve"> the</w:t>
      </w:r>
      <w:r w:rsidR="004065B7" w:rsidRPr="00A061EE">
        <w:t xml:space="preserve"> </w:t>
      </w:r>
      <w:hyperlink r:id="rId10" w:history="1">
        <w:r w:rsidR="004065B7" w:rsidRPr="00A061EE">
          <w:rPr>
            <w:rStyle w:val="Hyperlink"/>
          </w:rPr>
          <w:t>Standards Committee (SC)</w:t>
        </w:r>
      </w:hyperlink>
      <w:r w:rsidR="002C63B0" w:rsidRPr="00C924FF">
        <w:rPr>
          <w:rStyle w:val="Hyperlink"/>
          <w:color w:val="000000" w:themeColor="text1"/>
          <w:u w:val="none"/>
        </w:rPr>
        <w:t>.</w:t>
      </w:r>
      <w:r w:rsidR="002C63B0" w:rsidRPr="00C924FF">
        <w:rPr>
          <w:rStyle w:val="Hyperlink"/>
          <w:u w:val="none"/>
        </w:rPr>
        <w:t xml:space="preserve"> </w:t>
      </w:r>
      <w:r w:rsidR="002C63B0" w:rsidRPr="00C924FF">
        <w:rPr>
          <w:rStyle w:val="Hyperlink"/>
          <w:color w:val="000000" w:themeColor="text1"/>
          <w:u w:val="none"/>
        </w:rPr>
        <w:t>The SC</w:t>
      </w:r>
      <w:r w:rsidR="004065B7" w:rsidRPr="00C924FF">
        <w:rPr>
          <w:color w:val="000000" w:themeColor="text1"/>
        </w:rPr>
        <w:t xml:space="preserve"> </w:t>
      </w:r>
      <w:r w:rsidR="004065B7" w:rsidRPr="00A061EE">
        <w:t xml:space="preserve">is </w:t>
      </w:r>
      <w:r w:rsidR="002C63B0">
        <w:t xml:space="preserve">scheduled </w:t>
      </w:r>
      <w:r w:rsidR="004065B7" w:rsidRPr="00A061EE">
        <w:t xml:space="preserve">to have </w:t>
      </w:r>
      <w:r w:rsidR="002C63B0">
        <w:t>further</w:t>
      </w:r>
      <w:r w:rsidR="002C63B0" w:rsidRPr="00A061EE">
        <w:t xml:space="preserve"> </w:t>
      </w:r>
      <w:r w:rsidR="004065B7" w:rsidRPr="00A061EE">
        <w:t>discussions in its November 2020 meeting.</w:t>
      </w:r>
      <w:r w:rsidR="00A061EE" w:rsidRPr="00A061EE">
        <w:t xml:space="preserve"> Therefore, this document outlines the discussions carried out in 2020 and some possible future activities.</w:t>
      </w:r>
    </w:p>
    <w:p w14:paraId="234F6F22" w14:textId="12690CA1" w:rsidR="00C556F6" w:rsidRPr="004065B7" w:rsidRDefault="00521531" w:rsidP="00521531">
      <w:pPr>
        <w:pStyle w:val="IPPParagraphnumbering"/>
      </w:pPr>
      <w:r>
        <w:t>I</w:t>
      </w:r>
      <w:r w:rsidR="00C556F6">
        <w:t>t is important to highlight that</w:t>
      </w:r>
      <w:r>
        <w:t>,</w:t>
      </w:r>
      <w:r w:rsidR="00C556F6">
        <w:t xml:space="preserve"> although a prioritization exercise should be made</w:t>
      </w:r>
      <w:r>
        <w:t xml:space="preserve"> to the progress the development agendas in the </w:t>
      </w:r>
      <w:r w:rsidRPr="004B1612">
        <w:t xml:space="preserve">IPPC </w:t>
      </w:r>
      <w:r>
        <w:t>Strategic Framework</w:t>
      </w:r>
      <w:r w:rsidR="00C556F6">
        <w:t>, some activities</w:t>
      </w:r>
      <w:r>
        <w:t xml:space="preserve"> related to </w:t>
      </w:r>
      <w:r w:rsidRPr="00521531">
        <w:t>diagnostic laboratory networking</w:t>
      </w:r>
      <w:r>
        <w:t xml:space="preserve"> </w:t>
      </w:r>
      <w:r w:rsidR="00C556F6">
        <w:t xml:space="preserve">should commence soon </w:t>
      </w:r>
      <w:r w:rsidR="00AC0F1D">
        <w:t xml:space="preserve">in </w:t>
      </w:r>
      <w:r w:rsidR="00C556F6">
        <w:t>order to achieve the desirable goal, in which it may take up to some years to consolidate an international network.</w:t>
      </w:r>
    </w:p>
    <w:p w14:paraId="39671E61" w14:textId="77777777" w:rsidR="00DE2672" w:rsidRPr="00CF79A8" w:rsidRDefault="00DE2672" w:rsidP="00DE2672">
      <w:pPr>
        <w:pStyle w:val="IPPParagraphnumbering"/>
        <w:numPr>
          <w:ilvl w:val="0"/>
          <w:numId w:val="3"/>
        </w:numPr>
        <w:rPr>
          <w:b/>
        </w:rPr>
      </w:pPr>
      <w:r w:rsidRPr="00CF79A8">
        <w:rPr>
          <w:b/>
        </w:rPr>
        <w:t xml:space="preserve"> </w:t>
      </w:r>
      <w:r w:rsidR="00590DB0">
        <w:rPr>
          <w:b/>
        </w:rPr>
        <w:t>WHAT HAPPENED SO FAR</w:t>
      </w:r>
      <w:r w:rsidRPr="00CF79A8">
        <w:rPr>
          <w:b/>
        </w:rPr>
        <w:t>?</w:t>
      </w:r>
    </w:p>
    <w:p w14:paraId="44053D77" w14:textId="68BBC00D" w:rsidR="00590DB0" w:rsidRPr="00590DB0" w:rsidRDefault="00590DB0" w:rsidP="00590DB0">
      <w:pPr>
        <w:pStyle w:val="IPPParagraphnumbering"/>
      </w:pPr>
      <w:r>
        <w:t>The</w:t>
      </w:r>
      <w:r w:rsidRPr="00590DB0">
        <w:rPr>
          <w:lang w:val="en-GB"/>
        </w:rPr>
        <w:t xml:space="preserve"> SC </w:t>
      </w:r>
      <w:r w:rsidR="002358C8">
        <w:rPr>
          <w:lang w:val="en-GB"/>
        </w:rPr>
        <w:t xml:space="preserve">in May 2019 </w:t>
      </w:r>
      <w:r w:rsidRPr="00590DB0">
        <w:rPr>
          <w:lang w:val="en-GB"/>
        </w:rPr>
        <w:t>had agreed to discuss the impact of the IPPC Strategic Framework 2020</w:t>
      </w:r>
      <w:r w:rsidR="00AC0F1D">
        <w:rPr>
          <w:lang w:val="en-GB"/>
        </w:rPr>
        <w:t>-</w:t>
      </w:r>
      <w:r w:rsidRPr="00590DB0">
        <w:rPr>
          <w:lang w:val="en-GB"/>
        </w:rPr>
        <w:t>2030 on standard setting at its meeting in November 2019. In preparation for this, the SC had invited the technical panels to comment on the potential impact of the IPPC Strategic Framework 2020</w:t>
      </w:r>
      <w:r w:rsidR="00AC0F1D">
        <w:rPr>
          <w:lang w:val="en-GB"/>
        </w:rPr>
        <w:t>-</w:t>
      </w:r>
      <w:r w:rsidRPr="00590DB0">
        <w:rPr>
          <w:lang w:val="en-GB"/>
        </w:rPr>
        <w:t>2030 on their work</w:t>
      </w:r>
      <w:r w:rsidR="00DE2672">
        <w:t>.</w:t>
      </w:r>
      <w:r>
        <w:t xml:space="preserve"> The TPDP in their August 2019 meeting</w:t>
      </w:r>
      <w:r>
        <w:rPr>
          <w:rStyle w:val="FootnoteReference"/>
        </w:rPr>
        <w:footnoteReference w:id="2"/>
      </w:r>
      <w:r>
        <w:t xml:space="preserve"> focused some discussions on three</w:t>
      </w:r>
      <w:r w:rsidRPr="00590DB0">
        <w:t xml:space="preserve"> </w:t>
      </w:r>
      <w:r w:rsidRPr="00945400">
        <w:t xml:space="preserve">development agenda </w:t>
      </w:r>
      <w:r>
        <w:t>items in which diagnostic protocols (</w:t>
      </w:r>
      <w:r w:rsidRPr="00945400">
        <w:t>DPs</w:t>
      </w:r>
      <w:r>
        <w:t>)</w:t>
      </w:r>
      <w:r w:rsidRPr="00945400">
        <w:t xml:space="preserve"> are mainly concerned with</w:t>
      </w:r>
      <w:r>
        <w:t xml:space="preserve"> and these are: a) c</w:t>
      </w:r>
      <w:r w:rsidRPr="00945400">
        <w:t>ommodity</w:t>
      </w:r>
      <w:r>
        <w:t>-</w:t>
      </w:r>
      <w:r w:rsidRPr="00945400">
        <w:t xml:space="preserve"> and pathway</w:t>
      </w:r>
      <w:r>
        <w:t>-</w:t>
      </w:r>
      <w:r w:rsidRPr="00945400">
        <w:t>specific ISPMs</w:t>
      </w:r>
      <w:r>
        <w:t>, b) d</w:t>
      </w:r>
      <w:r w:rsidRPr="00945400">
        <w:t xml:space="preserve">iagnostic </w:t>
      </w:r>
      <w:r>
        <w:t>l</w:t>
      </w:r>
      <w:r w:rsidRPr="00945400">
        <w:t xml:space="preserve">aboratory </w:t>
      </w:r>
      <w:r>
        <w:t xml:space="preserve">networking, and c) </w:t>
      </w:r>
      <w:r w:rsidRPr="00945400">
        <w:t xml:space="preserve">strengthening </w:t>
      </w:r>
      <w:r>
        <w:t>p</w:t>
      </w:r>
      <w:r w:rsidRPr="00945400">
        <w:t xml:space="preserve">est </w:t>
      </w:r>
      <w:r>
        <w:t>o</w:t>
      </w:r>
      <w:r w:rsidRPr="00945400">
        <w:t xml:space="preserve">utbreak </w:t>
      </w:r>
      <w:r>
        <w:t>a</w:t>
      </w:r>
      <w:r w:rsidRPr="00945400">
        <w:t xml:space="preserve">lert and </w:t>
      </w:r>
      <w:r>
        <w:t>r</w:t>
      </w:r>
      <w:r w:rsidRPr="00945400">
        <w:t xml:space="preserve">esponse </w:t>
      </w:r>
      <w:r>
        <w:t>s</w:t>
      </w:r>
      <w:r w:rsidRPr="00945400">
        <w:t>ystem</w:t>
      </w:r>
      <w:r>
        <w:t>s</w:t>
      </w:r>
      <w:r w:rsidRPr="00945400">
        <w:t>.</w:t>
      </w:r>
      <w:r>
        <w:t xml:space="preserve"> Noting that </w:t>
      </w:r>
      <w:r w:rsidRPr="00945400">
        <w:rPr>
          <w:lang w:val="en-GB"/>
        </w:rPr>
        <w:t>global phytosanitary research</w:t>
      </w:r>
      <w:r>
        <w:rPr>
          <w:lang w:val="en-GB"/>
        </w:rPr>
        <w:t xml:space="preserve"> coordination may also influence the TPDP work and that they could provide contributions in the future. </w:t>
      </w:r>
    </w:p>
    <w:p w14:paraId="1813C9FC" w14:textId="77777777" w:rsidR="00590DB0" w:rsidRPr="00590DB0" w:rsidRDefault="00590DB0" w:rsidP="00E05864">
      <w:pPr>
        <w:pStyle w:val="IPPParagraphnumbering"/>
        <w:rPr>
          <w:lang w:val="en-GB"/>
        </w:rPr>
      </w:pPr>
      <w:r w:rsidRPr="00590DB0">
        <w:rPr>
          <w:lang w:val="en-GB"/>
        </w:rPr>
        <w:t xml:space="preserve">Regarding </w:t>
      </w:r>
      <w:r w:rsidRPr="00945400">
        <w:t>Diagnostic laboratory networking</w:t>
      </w:r>
      <w:r>
        <w:t xml:space="preserve">, the TPDP noted the </w:t>
      </w:r>
      <w:r w:rsidRPr="00590DB0">
        <w:rPr>
          <w:lang w:val="en-GB"/>
        </w:rPr>
        <w:t xml:space="preserve">strong linkage with the work of the panel and acknowledged the need for many contracting parties to be supported in their diagnostic capacity, </w:t>
      </w:r>
      <w:r w:rsidRPr="00590DB0">
        <w:rPr>
          <w:lang w:val="en-GB"/>
        </w:rPr>
        <w:lastRenderedPageBreak/>
        <w:t xml:space="preserve">particularly in the face of occurrence of emerging pests, and that this could be achieved through a network of diagnostic laboratories. </w:t>
      </w:r>
    </w:p>
    <w:p w14:paraId="4A389486" w14:textId="77777777" w:rsidR="00590DB0" w:rsidRDefault="008212C7" w:rsidP="00590DB0">
      <w:pPr>
        <w:pStyle w:val="IPPParagraphnumbering"/>
        <w:rPr>
          <w:lang w:val="en-GB"/>
        </w:rPr>
      </w:pPr>
      <w:r w:rsidRPr="008212C7">
        <w:rPr>
          <w:b/>
          <w:lang w:val="en-GB"/>
        </w:rPr>
        <w:t>TPDP 2019-08 meeting.</w:t>
      </w:r>
      <w:r>
        <w:rPr>
          <w:lang w:val="en-GB"/>
        </w:rPr>
        <w:t xml:space="preserve"> </w:t>
      </w:r>
      <w:r w:rsidR="00590DB0">
        <w:rPr>
          <w:lang w:val="en-GB"/>
        </w:rPr>
        <w:t xml:space="preserve">Below, extracts from the </w:t>
      </w:r>
      <w:hyperlink r:id="rId11" w:history="1">
        <w:r w:rsidR="00590DB0" w:rsidRPr="008212C7">
          <w:rPr>
            <w:rStyle w:val="Hyperlink"/>
            <w:lang w:val="en-GB"/>
          </w:rPr>
          <w:t>TPDP 2019-08 meeting report</w:t>
        </w:r>
      </w:hyperlink>
      <w:r w:rsidR="00590DB0">
        <w:rPr>
          <w:lang w:val="en-GB"/>
        </w:rPr>
        <w:t xml:space="preserve">: </w:t>
      </w:r>
    </w:p>
    <w:p w14:paraId="77A6B98F" w14:textId="05C39EB3" w:rsidR="00590DB0" w:rsidRPr="00945400" w:rsidRDefault="00590DB0" w:rsidP="00590DB0">
      <w:pPr>
        <w:pStyle w:val="IPPParagraphnumbering"/>
        <w:rPr>
          <w:lang w:val="en-GB"/>
        </w:rPr>
      </w:pPr>
      <w:r w:rsidRPr="00945400">
        <w:rPr>
          <w:lang w:val="en-GB"/>
        </w:rPr>
        <w:t>The TPDP noted that a network of diagnostic laborator</w:t>
      </w:r>
      <w:r>
        <w:rPr>
          <w:lang w:val="en-GB"/>
        </w:rPr>
        <w:t>ies</w:t>
      </w:r>
      <w:r w:rsidRPr="00945400">
        <w:rPr>
          <w:lang w:val="en-GB"/>
        </w:rPr>
        <w:t xml:space="preserve"> exists in the f</w:t>
      </w:r>
      <w:r w:rsidR="008212C7">
        <w:rPr>
          <w:lang w:val="en-GB"/>
        </w:rPr>
        <w:t xml:space="preserve">ield of animal health, which is </w:t>
      </w:r>
      <w:r w:rsidRPr="00945400">
        <w:rPr>
          <w:lang w:val="en-GB"/>
        </w:rPr>
        <w:t>managed by the World Organization for Animal Health (OIE)</w:t>
      </w:r>
      <w:r>
        <w:rPr>
          <w:lang w:val="en-GB"/>
        </w:rPr>
        <w:t>;</w:t>
      </w:r>
      <w:r w:rsidRPr="00945400">
        <w:rPr>
          <w:lang w:val="en-GB"/>
        </w:rPr>
        <w:t xml:space="preserve"> however</w:t>
      </w:r>
      <w:r>
        <w:rPr>
          <w:lang w:val="en-GB"/>
        </w:rPr>
        <w:t>,</w:t>
      </w:r>
      <w:r w:rsidRPr="00945400">
        <w:rPr>
          <w:lang w:val="en-GB"/>
        </w:rPr>
        <w:t xml:space="preserve"> this network deal</w:t>
      </w:r>
      <w:r>
        <w:rPr>
          <w:lang w:val="en-GB"/>
        </w:rPr>
        <w:t>s</w:t>
      </w:r>
      <w:r w:rsidRPr="00945400">
        <w:rPr>
          <w:lang w:val="en-GB"/>
        </w:rPr>
        <w:t xml:space="preserve"> with approximately 15 pests, while in the plant health field the number of pests to be taken into consideration is far greater. Despite this difficulty, there are networks in the plant health field, but they only certain regions of the world (e.g. the network of official reference laboratories within the European Union), or they function on an informal basis which, beside</w:t>
      </w:r>
      <w:r>
        <w:rPr>
          <w:lang w:val="en-GB"/>
        </w:rPr>
        <w:t>s</w:t>
      </w:r>
      <w:r w:rsidRPr="00945400">
        <w:rPr>
          <w:lang w:val="en-GB"/>
        </w:rPr>
        <w:t xml:space="preserve"> the lack of sustainability, can lead to difficulties when the matter is for official NPPO purposes. The TPDP noted that this means that a laboratory network would have to comply with some rules. </w:t>
      </w:r>
      <w:r>
        <w:rPr>
          <w:lang w:val="en-GB"/>
        </w:rPr>
        <w:t>One</w:t>
      </w:r>
      <w:r w:rsidRPr="00945400">
        <w:rPr>
          <w:lang w:val="en-GB"/>
        </w:rPr>
        <w:t xml:space="preserve"> participant noted that EPPO established a database of diagnostic laboratories in which the laboratories of its region can declare themselves on a voluntary basis.</w:t>
      </w:r>
    </w:p>
    <w:p w14:paraId="52299DD5" w14:textId="77777777" w:rsidR="00590DB0" w:rsidRPr="00945400" w:rsidRDefault="00590DB0" w:rsidP="00590DB0">
      <w:pPr>
        <w:pStyle w:val="IPPParagraphnumbering"/>
        <w:rPr>
          <w:lang w:val="en-GB"/>
        </w:rPr>
      </w:pPr>
      <w:r w:rsidRPr="00945400">
        <w:rPr>
          <w:lang w:val="en-GB"/>
        </w:rPr>
        <w:t xml:space="preserve">The TPDP acknowledged that, in the framework of </w:t>
      </w:r>
      <w:r>
        <w:rPr>
          <w:lang w:val="en-GB"/>
        </w:rPr>
        <w:t xml:space="preserve">a </w:t>
      </w:r>
      <w:r w:rsidRPr="00945400">
        <w:rPr>
          <w:lang w:val="en-GB"/>
        </w:rPr>
        <w:t xml:space="preserve">diagnostic laboratory network, sending samples for laboratory testing from one country to another could </w:t>
      </w:r>
      <w:r>
        <w:rPr>
          <w:lang w:val="en-GB"/>
        </w:rPr>
        <w:t>present</w:t>
      </w:r>
      <w:r w:rsidRPr="00945400">
        <w:rPr>
          <w:lang w:val="en-GB"/>
        </w:rPr>
        <w:t xml:space="preserve"> legal and procedural difficulties. The TPDP noted it was necessary to draw the attention of NPPOs and RPPOs </w:t>
      </w:r>
      <w:r>
        <w:rPr>
          <w:lang w:val="en-GB"/>
        </w:rPr>
        <w:t>to</w:t>
      </w:r>
      <w:r w:rsidRPr="00945400">
        <w:rPr>
          <w:lang w:val="en-GB"/>
        </w:rPr>
        <w:t xml:space="preserve"> the need to facilitate the movement of plant material and specimens for diagnosis. A document should be drafted </w:t>
      </w:r>
      <w:r>
        <w:rPr>
          <w:lang w:val="en-GB"/>
        </w:rPr>
        <w:t>for this</w:t>
      </w:r>
      <w:r w:rsidRPr="00945400">
        <w:rPr>
          <w:lang w:val="en-GB"/>
        </w:rPr>
        <w:t xml:space="preserve"> purpose and discussed during the next TPDP meeting in order to make a proposal to the SC for a CPM recommendation. </w:t>
      </w:r>
    </w:p>
    <w:p w14:paraId="2198CA06" w14:textId="77777777" w:rsidR="00590DB0" w:rsidRDefault="00590DB0" w:rsidP="00590DB0">
      <w:pPr>
        <w:pStyle w:val="IPPParagraphnumbering"/>
        <w:rPr>
          <w:lang w:val="en-GB"/>
        </w:rPr>
      </w:pPr>
      <w:r w:rsidRPr="00945400">
        <w:rPr>
          <w:lang w:val="en-GB"/>
        </w:rPr>
        <w:t>The TPDP underlined that the objective is both to facilitate diagnosi</w:t>
      </w:r>
      <w:r>
        <w:rPr>
          <w:lang w:val="en-GB"/>
        </w:rPr>
        <w:t>s</w:t>
      </w:r>
      <w:r w:rsidRPr="00945400">
        <w:rPr>
          <w:lang w:val="en-GB"/>
        </w:rPr>
        <w:t xml:space="preserve"> of regulated pests and new emerging pests which could be non-regulated.</w:t>
      </w:r>
    </w:p>
    <w:p w14:paraId="7D8B1341" w14:textId="77777777" w:rsidR="00590DB0" w:rsidRPr="00945400" w:rsidRDefault="00590DB0" w:rsidP="00590DB0">
      <w:pPr>
        <w:pStyle w:val="IPPParagraphnumbering"/>
        <w:numPr>
          <w:ilvl w:val="0"/>
          <w:numId w:val="0"/>
        </w:numPr>
        <w:rPr>
          <w:lang w:val="en-GB"/>
        </w:rPr>
      </w:pPr>
      <w:r>
        <w:t>The TPDP then considered a series of questions in relation to diagnostic laboratory networking.</w:t>
      </w:r>
    </w:p>
    <w:p w14:paraId="5B6EA4F7" w14:textId="77777777" w:rsidR="00590DB0" w:rsidRPr="008744BA" w:rsidRDefault="00590DB0" w:rsidP="00590DB0">
      <w:pPr>
        <w:pStyle w:val="IPPParagraphnumberingclose"/>
        <w:numPr>
          <w:ilvl w:val="0"/>
          <w:numId w:val="2"/>
        </w:numPr>
        <w:rPr>
          <w:i/>
          <w:iCs/>
        </w:rPr>
      </w:pPr>
      <w:r w:rsidRPr="008744BA">
        <w:rPr>
          <w:i/>
          <w:iCs/>
        </w:rPr>
        <w:t>Question 1:</w:t>
      </w:r>
    </w:p>
    <w:p w14:paraId="3EBB776A" w14:textId="77777777" w:rsidR="00590DB0" w:rsidRPr="00945400" w:rsidRDefault="00590DB0" w:rsidP="00590DB0">
      <w:pPr>
        <w:pStyle w:val="IPPIndent"/>
      </w:pPr>
      <w:r w:rsidRPr="00945400">
        <w:t xml:space="preserve">How could the TPDP collaborate in achieving the desired outcome with the development of DPs or other documents (e.g. CPM </w:t>
      </w:r>
      <w:r>
        <w:t>r</w:t>
      </w:r>
      <w:r w:rsidRPr="00945400">
        <w:t xml:space="preserve">ecommendations, cross-cutting DPs such as </w:t>
      </w:r>
      <w:r>
        <w:t xml:space="preserve">for the </w:t>
      </w:r>
      <w:r w:rsidRPr="00945400">
        <w:t xml:space="preserve">setting up </w:t>
      </w:r>
      <w:r>
        <w:t xml:space="preserve">of </w:t>
      </w:r>
      <w:r w:rsidRPr="00945400">
        <w:t>laboratories, or other type of documents such as guides or manuals)?</w:t>
      </w:r>
    </w:p>
    <w:p w14:paraId="38E0F5A0" w14:textId="626453ED" w:rsidR="00590DB0" w:rsidRPr="00945400" w:rsidRDefault="00590DB0" w:rsidP="00590DB0">
      <w:pPr>
        <w:pStyle w:val="IPPParagraphnumbering"/>
        <w:rPr>
          <w:bCs/>
          <w:lang w:val="en-GB"/>
        </w:rPr>
      </w:pPr>
      <w:r w:rsidRPr="00945400">
        <w:rPr>
          <w:bCs/>
          <w:lang w:val="en-GB"/>
        </w:rPr>
        <w:t>The TPDP considered that it could gather different types of information from different regions (e.g. manual</w:t>
      </w:r>
      <w:r>
        <w:rPr>
          <w:bCs/>
          <w:lang w:val="en-GB"/>
        </w:rPr>
        <w:t>s,</w:t>
      </w:r>
      <w:r w:rsidRPr="00945400">
        <w:rPr>
          <w:bCs/>
          <w:lang w:val="en-GB"/>
        </w:rPr>
        <w:t xml:space="preserve"> guides, videos), and after assessment should be able to review the IPPC diagnostic manual</w:t>
      </w:r>
      <w:r>
        <w:rPr>
          <w:bCs/>
          <w:lang w:val="en-GB"/>
        </w:rPr>
        <w:t xml:space="preserve"> (</w:t>
      </w:r>
      <w:hyperlink r:id="rId12" w:history="1">
        <w:r w:rsidRPr="004E08F1">
          <w:rPr>
            <w:rStyle w:val="Hyperlink"/>
            <w:bCs/>
            <w:lang w:val="en-GB"/>
          </w:rPr>
          <w:t>Guide to Delivering Phytosanitary Diagnostic Services</w:t>
        </w:r>
      </w:hyperlink>
      <w:r>
        <w:rPr>
          <w:bCs/>
          <w:lang w:val="en-GB"/>
        </w:rPr>
        <w:t>)</w:t>
      </w:r>
      <w:r w:rsidRPr="00945400">
        <w:rPr>
          <w:bCs/>
          <w:lang w:val="en-GB"/>
        </w:rPr>
        <w:t xml:space="preserve">, if and when needed. In </w:t>
      </w:r>
      <w:r>
        <w:rPr>
          <w:bCs/>
          <w:lang w:val="en-GB"/>
        </w:rPr>
        <w:t>this regard</w:t>
      </w:r>
      <w:r w:rsidRPr="00945400">
        <w:rPr>
          <w:bCs/>
          <w:lang w:val="en-GB"/>
        </w:rPr>
        <w:t xml:space="preserve">, </w:t>
      </w:r>
      <w:r>
        <w:rPr>
          <w:bCs/>
          <w:lang w:val="en-GB"/>
        </w:rPr>
        <w:t xml:space="preserve">Specification </w:t>
      </w:r>
      <w:r w:rsidRPr="00945400">
        <w:rPr>
          <w:bCs/>
          <w:lang w:val="en-GB"/>
        </w:rPr>
        <w:t>TP</w:t>
      </w:r>
      <w:r>
        <w:rPr>
          <w:bCs/>
          <w:lang w:val="en-GB"/>
        </w:rPr>
        <w:t> </w:t>
      </w:r>
      <w:r w:rsidRPr="00945400">
        <w:rPr>
          <w:bCs/>
          <w:lang w:val="en-GB"/>
        </w:rPr>
        <w:t>1</w:t>
      </w:r>
      <w:r w:rsidR="00CB2091">
        <w:rPr>
          <w:rStyle w:val="FootnoteReference"/>
          <w:bCs/>
          <w:lang w:val="en-GB"/>
        </w:rPr>
        <w:footnoteReference w:id="3"/>
      </w:r>
      <w:r w:rsidRPr="00945400">
        <w:rPr>
          <w:bCs/>
          <w:lang w:val="en-GB"/>
        </w:rPr>
        <w:t xml:space="preserve"> should be adjusted in order to allow the TPDP to address such issues in collaboration with the SC and the I</w:t>
      </w:r>
      <w:r w:rsidR="008212C7">
        <w:rPr>
          <w:bCs/>
          <w:lang w:val="en-GB"/>
        </w:rPr>
        <w:t xml:space="preserve">mplementation and </w:t>
      </w:r>
      <w:r w:rsidRPr="00945400">
        <w:rPr>
          <w:bCs/>
          <w:lang w:val="en-GB"/>
        </w:rPr>
        <w:t>C</w:t>
      </w:r>
      <w:r w:rsidR="008212C7">
        <w:rPr>
          <w:bCs/>
          <w:lang w:val="en-GB"/>
        </w:rPr>
        <w:t>apacity Development Committee (IC)</w:t>
      </w:r>
      <w:r w:rsidRPr="00945400">
        <w:rPr>
          <w:bCs/>
          <w:lang w:val="en-GB"/>
        </w:rPr>
        <w:t>.</w:t>
      </w:r>
    </w:p>
    <w:p w14:paraId="293BC5FB" w14:textId="77777777" w:rsidR="00590DB0" w:rsidRPr="008744BA" w:rsidRDefault="00590DB0" w:rsidP="00590DB0">
      <w:pPr>
        <w:pStyle w:val="IPPParagraphnumberingclose"/>
        <w:numPr>
          <w:ilvl w:val="0"/>
          <w:numId w:val="2"/>
        </w:numPr>
        <w:rPr>
          <w:i/>
          <w:iCs/>
        </w:rPr>
      </w:pPr>
      <w:r w:rsidRPr="008744BA">
        <w:rPr>
          <w:i/>
          <w:iCs/>
        </w:rPr>
        <w:t>Question 2:</w:t>
      </w:r>
    </w:p>
    <w:p w14:paraId="7526F344" w14:textId="77777777" w:rsidR="00590DB0" w:rsidRPr="00945400" w:rsidRDefault="00590DB0" w:rsidP="00590DB0">
      <w:pPr>
        <w:pStyle w:val="IPPIndent"/>
      </w:pPr>
      <w:r w:rsidRPr="00945400">
        <w:t>Could the TPDP consider support</w:t>
      </w:r>
      <w:r>
        <w:t>ing</w:t>
      </w:r>
      <w:r w:rsidRPr="00945400">
        <w:t xml:space="preserve"> diagnostic laboratory networking beyond providing DPs (or other documents, such as CPM recommendations)?</w:t>
      </w:r>
    </w:p>
    <w:p w14:paraId="724F63AC" w14:textId="77777777" w:rsidR="00590DB0" w:rsidRPr="00945400" w:rsidRDefault="00590DB0" w:rsidP="00590DB0">
      <w:pPr>
        <w:pStyle w:val="IPPParagraphnumbering"/>
        <w:rPr>
          <w:lang w:val="en-GB"/>
        </w:rPr>
      </w:pPr>
      <w:r w:rsidRPr="00945400">
        <w:rPr>
          <w:lang w:val="en-GB"/>
        </w:rPr>
        <w:t>The TPDP noted that the IPPC Secretariat could collect information on existing network</w:t>
      </w:r>
      <w:r>
        <w:rPr>
          <w:lang w:val="en-GB"/>
        </w:rPr>
        <w:t>s</w:t>
      </w:r>
      <w:r w:rsidRPr="00945400">
        <w:rPr>
          <w:lang w:val="en-GB"/>
        </w:rPr>
        <w:t xml:space="preserve"> of laboratories. </w:t>
      </w:r>
    </w:p>
    <w:p w14:paraId="6AAFB3F2" w14:textId="77777777" w:rsidR="00590DB0" w:rsidRPr="00945400" w:rsidRDefault="00590DB0" w:rsidP="00590DB0">
      <w:pPr>
        <w:pStyle w:val="IPPParagraphnumbering"/>
        <w:rPr>
          <w:bCs/>
          <w:lang w:val="en-GB"/>
        </w:rPr>
      </w:pPr>
      <w:r w:rsidRPr="00945400">
        <w:rPr>
          <w:bCs/>
          <w:lang w:val="en-GB"/>
        </w:rPr>
        <w:t>The TPDP suggested that it could lead a workshop for diagnosticians. This would</w:t>
      </w:r>
      <w:r w:rsidRPr="00945400">
        <w:rPr>
          <w:lang w:val="en-GB"/>
        </w:rPr>
        <w:t xml:space="preserve"> be very useful not only for sharing scientific information but also </w:t>
      </w:r>
      <w:r>
        <w:rPr>
          <w:lang w:val="en-GB"/>
        </w:rPr>
        <w:t>because</w:t>
      </w:r>
      <w:r w:rsidRPr="00945400">
        <w:rPr>
          <w:lang w:val="en-GB"/>
        </w:rPr>
        <w:t xml:space="preserve">, provided all regions of the world are represented, </w:t>
      </w:r>
      <w:r>
        <w:rPr>
          <w:lang w:val="en-GB"/>
        </w:rPr>
        <w:t xml:space="preserve">a </w:t>
      </w:r>
      <w:r w:rsidRPr="00945400">
        <w:rPr>
          <w:lang w:val="en-GB"/>
        </w:rPr>
        <w:t>face</w:t>
      </w:r>
      <w:r>
        <w:rPr>
          <w:lang w:val="en-GB"/>
        </w:rPr>
        <w:t>-</w:t>
      </w:r>
      <w:r w:rsidRPr="00945400">
        <w:rPr>
          <w:lang w:val="en-GB"/>
        </w:rPr>
        <w:t>to</w:t>
      </w:r>
      <w:r>
        <w:rPr>
          <w:lang w:val="en-GB"/>
        </w:rPr>
        <w:t>-</w:t>
      </w:r>
      <w:r w:rsidRPr="00945400">
        <w:rPr>
          <w:lang w:val="en-GB"/>
        </w:rPr>
        <w:t xml:space="preserve">face meeting (e.g. scientific workshop) among specialists would facilitate </w:t>
      </w:r>
      <w:r>
        <w:rPr>
          <w:lang w:val="en-GB"/>
        </w:rPr>
        <w:t xml:space="preserve">the </w:t>
      </w:r>
      <w:r w:rsidRPr="00945400">
        <w:rPr>
          <w:lang w:val="en-GB"/>
        </w:rPr>
        <w:t xml:space="preserve">building </w:t>
      </w:r>
      <w:r>
        <w:rPr>
          <w:lang w:val="en-GB"/>
        </w:rPr>
        <w:t xml:space="preserve">of </w:t>
      </w:r>
      <w:r w:rsidRPr="00945400">
        <w:rPr>
          <w:lang w:val="en-GB"/>
        </w:rPr>
        <w:t>a network. In that respect, people from outside the TPDP should be invited</w:t>
      </w:r>
      <w:r>
        <w:rPr>
          <w:lang w:val="en-GB"/>
        </w:rPr>
        <w:t>, for instance</w:t>
      </w:r>
      <w:r w:rsidRPr="00945400">
        <w:rPr>
          <w:bCs/>
          <w:lang w:val="en-GB"/>
        </w:rPr>
        <w:t xml:space="preserve"> through SC and IC members and representatives of OIE or international scientific bodies such the Centre for Agricultural and Bioscience International (CABI)</w:t>
      </w:r>
      <w:r w:rsidRPr="00945400">
        <w:rPr>
          <w:lang w:val="en-GB"/>
        </w:rPr>
        <w:t xml:space="preserve">. This workshop should take place in 2021. </w:t>
      </w:r>
    </w:p>
    <w:p w14:paraId="71972B7E" w14:textId="77777777" w:rsidR="00590DB0" w:rsidRPr="008744BA" w:rsidRDefault="00590DB0" w:rsidP="00590DB0">
      <w:pPr>
        <w:pStyle w:val="IPPParagraphnumberingclose"/>
        <w:numPr>
          <w:ilvl w:val="0"/>
          <w:numId w:val="2"/>
        </w:numPr>
        <w:rPr>
          <w:i/>
          <w:iCs/>
        </w:rPr>
      </w:pPr>
      <w:r w:rsidRPr="008744BA">
        <w:rPr>
          <w:i/>
          <w:iCs/>
        </w:rPr>
        <w:t>Question 3:</w:t>
      </w:r>
    </w:p>
    <w:p w14:paraId="4F6C8625" w14:textId="77777777" w:rsidR="00590DB0" w:rsidRPr="00945400" w:rsidRDefault="00590DB0" w:rsidP="00590DB0">
      <w:pPr>
        <w:pStyle w:val="IPPIndent"/>
      </w:pPr>
      <w:r w:rsidRPr="00945400">
        <w:t xml:space="preserve">If yes, would it be possible for </w:t>
      </w:r>
      <w:r>
        <w:t xml:space="preserve">the </w:t>
      </w:r>
      <w:r w:rsidRPr="00945400">
        <w:t>TPDP to consider advising or participating in capacity building in the field of diagnostic laborator</w:t>
      </w:r>
      <w:r>
        <w:t>ies;</w:t>
      </w:r>
      <w:r w:rsidRPr="00945400">
        <w:t xml:space="preserve"> for example</w:t>
      </w:r>
      <w:r>
        <w:t>,</w:t>
      </w:r>
      <w:r w:rsidRPr="00945400">
        <w:t xml:space="preserve"> this could be training, </w:t>
      </w:r>
      <w:r>
        <w:t xml:space="preserve">advising on </w:t>
      </w:r>
      <w:r w:rsidRPr="00945400">
        <w:t>quality process</w:t>
      </w:r>
      <w:r>
        <w:t>es</w:t>
      </w:r>
      <w:r w:rsidRPr="00945400">
        <w:t>, or proficiency tests?</w:t>
      </w:r>
    </w:p>
    <w:p w14:paraId="11631F92" w14:textId="77777777" w:rsidR="00590DB0" w:rsidRDefault="00590DB0" w:rsidP="00590DB0">
      <w:pPr>
        <w:pStyle w:val="IPPParagraphnumbering"/>
        <w:rPr>
          <w:bCs/>
          <w:lang w:val="en-GB"/>
        </w:rPr>
      </w:pPr>
      <w:r w:rsidRPr="00945400">
        <w:rPr>
          <w:bCs/>
          <w:lang w:val="en-GB"/>
        </w:rPr>
        <w:t xml:space="preserve">The TPDP declared that it could encourage participation </w:t>
      </w:r>
      <w:r>
        <w:rPr>
          <w:bCs/>
          <w:lang w:val="en-GB"/>
        </w:rPr>
        <w:t>in</w:t>
      </w:r>
      <w:r w:rsidRPr="00945400">
        <w:rPr>
          <w:bCs/>
          <w:lang w:val="en-GB"/>
        </w:rPr>
        <w:t xml:space="preserve"> the proficiency tests by preparing a guideline or cross-cutting DP aiming to describe how to organize such tests, and how to participate, particularly </w:t>
      </w:r>
      <w:r>
        <w:rPr>
          <w:bCs/>
          <w:lang w:val="en-GB"/>
        </w:rPr>
        <w:t xml:space="preserve">in relation to </w:t>
      </w:r>
      <w:r w:rsidRPr="00945400">
        <w:rPr>
          <w:bCs/>
          <w:lang w:val="en-GB"/>
        </w:rPr>
        <w:t>how to perform a good sampling.</w:t>
      </w:r>
    </w:p>
    <w:p w14:paraId="22BEED9F" w14:textId="2924537B" w:rsidR="008212C7" w:rsidRPr="00192883" w:rsidRDefault="00192883" w:rsidP="00821158">
      <w:pPr>
        <w:pStyle w:val="IPPParagraphnumbering"/>
        <w:rPr>
          <w:bCs/>
          <w:lang w:val="en-GB"/>
        </w:rPr>
      </w:pPr>
      <w:r w:rsidRPr="00192883">
        <w:rPr>
          <w:bCs/>
          <w:lang w:val="en-GB"/>
        </w:rPr>
        <w:t xml:space="preserve">Noting that the TPDP is under the SC’s remit and following the tasks described in the Specification TP 1, </w:t>
      </w:r>
      <w:r>
        <w:rPr>
          <w:bCs/>
          <w:lang w:val="en-GB"/>
        </w:rPr>
        <w:t>t</w:t>
      </w:r>
      <w:r w:rsidR="008212C7" w:rsidRPr="00192883">
        <w:rPr>
          <w:bCs/>
          <w:lang w:val="en-GB"/>
        </w:rPr>
        <w:t xml:space="preserve">he TPDP </w:t>
      </w:r>
      <w:r w:rsidRPr="00192883">
        <w:rPr>
          <w:bCs/>
          <w:lang w:val="en-GB"/>
        </w:rPr>
        <w:t>proposed</w:t>
      </w:r>
      <w:r w:rsidR="008212C7" w:rsidRPr="00192883">
        <w:rPr>
          <w:bCs/>
          <w:lang w:val="en-GB"/>
        </w:rPr>
        <w:t xml:space="preserve"> some </w:t>
      </w:r>
      <w:r w:rsidRPr="00192883">
        <w:rPr>
          <w:bCs/>
          <w:lang w:val="en-GB"/>
        </w:rPr>
        <w:t>recommendations</w:t>
      </w:r>
      <w:r w:rsidR="008212C7" w:rsidRPr="00192883">
        <w:rPr>
          <w:bCs/>
          <w:lang w:val="en-GB"/>
        </w:rPr>
        <w:t xml:space="preserve"> </w:t>
      </w:r>
      <w:r w:rsidRPr="00192883">
        <w:rPr>
          <w:bCs/>
          <w:lang w:val="en-GB"/>
        </w:rPr>
        <w:t>to the SC</w:t>
      </w:r>
      <w:r w:rsidR="002358C8">
        <w:rPr>
          <w:bCs/>
          <w:lang w:val="en-GB"/>
        </w:rPr>
        <w:t>,</w:t>
      </w:r>
      <w:r w:rsidRPr="00192883">
        <w:rPr>
          <w:bCs/>
          <w:lang w:val="en-GB"/>
        </w:rPr>
        <w:t xml:space="preserve"> </w:t>
      </w:r>
      <w:r w:rsidR="008212C7" w:rsidRPr="00192883">
        <w:rPr>
          <w:bCs/>
          <w:lang w:val="en-GB"/>
        </w:rPr>
        <w:t xml:space="preserve">to commence </w:t>
      </w:r>
      <w:r w:rsidR="002358C8">
        <w:rPr>
          <w:bCs/>
          <w:lang w:val="en-GB"/>
        </w:rPr>
        <w:t>some</w:t>
      </w:r>
      <w:r w:rsidR="008212C7" w:rsidRPr="00192883">
        <w:rPr>
          <w:bCs/>
          <w:lang w:val="en-GB"/>
        </w:rPr>
        <w:t xml:space="preserve"> work on </w:t>
      </w:r>
      <w:r w:rsidRPr="00192883">
        <w:rPr>
          <w:bCs/>
          <w:lang w:val="en-GB"/>
        </w:rPr>
        <w:t>diagnostic laboratory networking, as follows:</w:t>
      </w:r>
      <w:r w:rsidR="008212C7" w:rsidRPr="00192883">
        <w:rPr>
          <w:bCs/>
          <w:lang w:val="en-GB"/>
        </w:rPr>
        <w:t xml:space="preserve"> </w:t>
      </w:r>
    </w:p>
    <w:p w14:paraId="11AEAE7A" w14:textId="71A34B7B" w:rsidR="008212C7" w:rsidRPr="00945400" w:rsidRDefault="008212C7" w:rsidP="00192883">
      <w:pPr>
        <w:pStyle w:val="IPPBullet2"/>
        <w:spacing w:before="120" w:after="120"/>
        <w:ind w:left="1124" w:hanging="562"/>
      </w:pPr>
      <w:r w:rsidRPr="00945400">
        <w:t>that the TPDP gather different sources of information (manual</w:t>
      </w:r>
      <w:r>
        <w:t>s</w:t>
      </w:r>
      <w:r w:rsidRPr="00945400">
        <w:t xml:space="preserve">, guides, videos) from different regions, in order to identify gaps in the existing </w:t>
      </w:r>
      <w:r w:rsidR="00CB2091">
        <w:t>DPs</w:t>
      </w:r>
      <w:r w:rsidR="002358C8">
        <w:t>;</w:t>
      </w:r>
    </w:p>
    <w:p w14:paraId="75683D42" w14:textId="77777777" w:rsidR="008212C7" w:rsidRPr="00945400" w:rsidRDefault="008212C7" w:rsidP="00192883">
      <w:pPr>
        <w:pStyle w:val="IPPBullet2"/>
        <w:spacing w:before="120" w:after="120"/>
        <w:ind w:left="1124" w:hanging="562"/>
      </w:pPr>
      <w:r w:rsidRPr="00945400">
        <w:t xml:space="preserve">in collaboration with the SC and IC, the TPDP develops or revises manuals and guidelines when needed </w:t>
      </w:r>
      <w:r>
        <w:t>(</w:t>
      </w:r>
      <w:r w:rsidRPr="00945400">
        <w:t xml:space="preserve">e.g. the existing </w:t>
      </w:r>
      <w:r>
        <w:t>IPPC guide to diagnostic services</w:t>
      </w:r>
      <w:r w:rsidRPr="00945400">
        <w:t>, or guideline</w:t>
      </w:r>
      <w:r>
        <w:t>s</w:t>
      </w:r>
      <w:r w:rsidRPr="00945400">
        <w:t xml:space="preserve"> on proficiency test</w:t>
      </w:r>
      <w:r>
        <w:t>s)</w:t>
      </w:r>
      <w:r w:rsidR="002358C8">
        <w:t>;</w:t>
      </w:r>
    </w:p>
    <w:p w14:paraId="3B02FCFF" w14:textId="77777777" w:rsidR="008212C7" w:rsidRPr="00945400" w:rsidRDefault="008212C7" w:rsidP="00192883">
      <w:pPr>
        <w:pStyle w:val="IPPBullet2"/>
        <w:spacing w:before="120" w:after="120"/>
        <w:ind w:left="1124" w:hanging="562"/>
      </w:pPr>
      <w:r w:rsidRPr="00945400">
        <w:t>amend</w:t>
      </w:r>
      <w:r>
        <w:t>ing</w:t>
      </w:r>
      <w:r w:rsidRPr="00945400">
        <w:t xml:space="preserve"> Specification TP</w:t>
      </w:r>
      <w:r>
        <w:t> </w:t>
      </w:r>
      <w:r w:rsidRPr="00945400">
        <w:t>1 in order</w:t>
      </w:r>
      <w:r>
        <w:t xml:space="preserve"> </w:t>
      </w:r>
      <w:r w:rsidRPr="00945400">
        <w:t>to allow the TPDP to participate in the activities described above</w:t>
      </w:r>
      <w:r w:rsidR="002358C8">
        <w:t>;</w:t>
      </w:r>
    </w:p>
    <w:p w14:paraId="7CB08B64" w14:textId="77777777" w:rsidR="008212C7" w:rsidRPr="00945400" w:rsidRDefault="008212C7" w:rsidP="00192883">
      <w:pPr>
        <w:pStyle w:val="IPPBullet2"/>
        <w:spacing w:before="120" w:after="120"/>
        <w:ind w:left="1124" w:hanging="562"/>
      </w:pPr>
      <w:r w:rsidRPr="00945400">
        <w:t>that the TPDP</w:t>
      </w:r>
      <w:r>
        <w:t xml:space="preserve"> </w:t>
      </w:r>
      <w:r w:rsidRPr="00945400">
        <w:t xml:space="preserve">recommended </w:t>
      </w:r>
      <w:r>
        <w:t xml:space="preserve">that </w:t>
      </w:r>
      <w:r w:rsidRPr="00945400">
        <w:t xml:space="preserve">a CPM </w:t>
      </w:r>
      <w:r>
        <w:t>r</w:t>
      </w:r>
      <w:r w:rsidRPr="00945400">
        <w:t>ecommendation on “Facilitating shipment and transport of reference material and specimens, to support diagnostic activities for regulated pests”</w:t>
      </w:r>
      <w:r>
        <w:t xml:space="preserve"> be developed</w:t>
      </w:r>
      <w:r w:rsidRPr="00945400">
        <w:t xml:space="preserve">, and asked </w:t>
      </w:r>
      <w:r w:rsidR="00192883">
        <w:t xml:space="preserve">some TPDP members </w:t>
      </w:r>
      <w:r w:rsidRPr="00945400">
        <w:t xml:space="preserve">to draft a justification </w:t>
      </w:r>
      <w:r>
        <w:t>for</w:t>
      </w:r>
      <w:r w:rsidRPr="00945400">
        <w:t xml:space="preserve"> that purpose to be discussed </w:t>
      </w:r>
      <w:r w:rsidR="00192883">
        <w:t xml:space="preserve">at </w:t>
      </w:r>
      <w:r w:rsidRPr="00945400">
        <w:t>the next TPDP meeting</w:t>
      </w:r>
      <w:r w:rsidR="002358C8">
        <w:t>;</w:t>
      </w:r>
      <w:r w:rsidRPr="00945400">
        <w:t xml:space="preserve"> </w:t>
      </w:r>
    </w:p>
    <w:p w14:paraId="1BE0637B" w14:textId="2093978F" w:rsidR="008212C7" w:rsidRPr="008212C7" w:rsidRDefault="008212C7" w:rsidP="00192883">
      <w:pPr>
        <w:pStyle w:val="IPPBullet2"/>
        <w:spacing w:before="120" w:after="120"/>
        <w:ind w:left="1124" w:hanging="562"/>
        <w:rPr>
          <w:i/>
        </w:rPr>
      </w:pPr>
      <w:r w:rsidRPr="008212C7">
        <w:t xml:space="preserve">that the TPDP is willing to take the lead in organizing the </w:t>
      </w:r>
      <w:r w:rsidRPr="008212C7">
        <w:rPr>
          <w:i/>
        </w:rPr>
        <w:t xml:space="preserve">first international workshop on diagnostic laboratories </w:t>
      </w:r>
      <w:r w:rsidRPr="008212C7">
        <w:t xml:space="preserve">in 2021 and asked </w:t>
      </w:r>
      <w:r w:rsidR="00192883">
        <w:t>some TPDP members</w:t>
      </w:r>
      <w:r w:rsidRPr="008212C7">
        <w:t xml:space="preserve"> to draft a detailed proposal (justification, programme, resource mobilization) to be discussed </w:t>
      </w:r>
      <w:r w:rsidR="00192883">
        <w:t>at</w:t>
      </w:r>
      <w:r w:rsidRPr="008212C7">
        <w:t xml:space="preserve"> the next TPDP meeting.</w:t>
      </w:r>
    </w:p>
    <w:p w14:paraId="0A552BBF" w14:textId="77777777" w:rsidR="008212C7" w:rsidRDefault="008212C7" w:rsidP="008212C7">
      <w:pPr>
        <w:pStyle w:val="IPPParagraphnumbering"/>
      </w:pPr>
      <w:r w:rsidRPr="008212C7">
        <w:rPr>
          <w:b/>
        </w:rPr>
        <w:t>SC 2020.</w:t>
      </w:r>
      <w:r>
        <w:t xml:space="preserve"> The SC discussed the recommendations from the TPDP 2019-08 meeting via e-forum. Although the majority of the SC members agreed</w:t>
      </w:r>
      <w:r w:rsidR="00192883">
        <w:t xml:space="preserve"> in principle</w:t>
      </w:r>
      <w:r>
        <w:t xml:space="preserve"> with the TPDP recommendations, </w:t>
      </w:r>
      <w:r w:rsidRPr="008212C7">
        <w:t xml:space="preserve">one SC member </w:t>
      </w:r>
      <w:r w:rsidR="00192883">
        <w:t>pointed out</w:t>
      </w:r>
      <w:r w:rsidRPr="008212C7">
        <w:t xml:space="preserve"> </w:t>
      </w:r>
      <w:r w:rsidR="00192883">
        <w:t>the</w:t>
      </w:r>
      <w:r w:rsidRPr="008212C7">
        <w:t xml:space="preserve"> need to have a broader debate on this topic, not only at the SC level but also at the IC and even the Bureau or CPM levels. </w:t>
      </w:r>
      <w:r>
        <w:t xml:space="preserve">It was mentioned that </w:t>
      </w:r>
      <w:r w:rsidRPr="008212C7">
        <w:t xml:space="preserve">the issue goes beyond standard setting work and means that the TPDP would be directly involved in implementation issues. Even though </w:t>
      </w:r>
      <w:r w:rsidR="002358C8">
        <w:t>it was</w:t>
      </w:r>
      <w:r w:rsidRPr="008212C7">
        <w:t xml:space="preserve"> agreed conceptually, </w:t>
      </w:r>
      <w:r w:rsidR="002358C8">
        <w:t>it was thought</w:t>
      </w:r>
      <w:r w:rsidRPr="008212C7">
        <w:t xml:space="preserve"> that the topic require</w:t>
      </w:r>
      <w:r w:rsidR="002358C8">
        <w:t>d</w:t>
      </w:r>
      <w:r w:rsidRPr="008212C7">
        <w:t xml:space="preserve"> further discussion.</w:t>
      </w:r>
      <w:r>
        <w:t xml:space="preserve"> </w:t>
      </w:r>
    </w:p>
    <w:p w14:paraId="007BEB7F" w14:textId="3E91478F" w:rsidR="008212C7" w:rsidRPr="008212C7" w:rsidRDefault="008212C7" w:rsidP="008212C7">
      <w:pPr>
        <w:pStyle w:val="IPPParagraphnumbering"/>
      </w:pPr>
      <w:r w:rsidRPr="008212C7">
        <w:t xml:space="preserve">The SC in its September 2020 meeting did not have </w:t>
      </w:r>
      <w:r w:rsidR="002358C8" w:rsidRPr="008212C7">
        <w:t>sufficient</w:t>
      </w:r>
      <w:r w:rsidRPr="008212C7">
        <w:t xml:space="preserve"> time to engage in such discussions, thus it was</w:t>
      </w:r>
      <w:r>
        <w:t xml:space="preserve"> </w:t>
      </w:r>
      <w:r w:rsidRPr="008212C7">
        <w:t>deferred to the November meeting.</w:t>
      </w:r>
    </w:p>
    <w:p w14:paraId="2D0627F4" w14:textId="77777777" w:rsidR="004B0ACD" w:rsidRDefault="008212C7" w:rsidP="004B0ACD">
      <w:pPr>
        <w:pStyle w:val="IPPParagraphnumbering"/>
        <w:numPr>
          <w:ilvl w:val="0"/>
          <w:numId w:val="3"/>
        </w:numPr>
        <w:rPr>
          <w:b/>
        </w:rPr>
      </w:pPr>
      <w:r>
        <w:t xml:space="preserve"> </w:t>
      </w:r>
      <w:r w:rsidR="004B0ACD" w:rsidRPr="002358C8">
        <w:rPr>
          <w:b/>
        </w:rPr>
        <w:t>WHAT</w:t>
      </w:r>
      <w:r w:rsidR="004B0ACD">
        <w:rPr>
          <w:b/>
        </w:rPr>
        <w:t>’S</w:t>
      </w:r>
      <w:r w:rsidR="004B0ACD" w:rsidRPr="002358C8">
        <w:rPr>
          <w:b/>
        </w:rPr>
        <w:t xml:space="preserve"> NEXT?</w:t>
      </w:r>
    </w:p>
    <w:p w14:paraId="603773B0" w14:textId="65CD3643" w:rsidR="002358C8" w:rsidRPr="002358C8" w:rsidRDefault="002358C8" w:rsidP="002358C8">
      <w:pPr>
        <w:pStyle w:val="IPPParagraphnumbering"/>
        <w:rPr>
          <w:b/>
        </w:rPr>
      </w:pPr>
      <w:r>
        <w:t>With the COVID-19 pandemic</w:t>
      </w:r>
      <w:r w:rsidR="00CB2091">
        <w:t>,</w:t>
      </w:r>
      <w:r>
        <w:t xml:space="preserve"> some of the SC’s discussions and decisions related to its </w:t>
      </w:r>
      <w:r w:rsidR="00CB2091">
        <w:t>t</w:t>
      </w:r>
      <w:r>
        <w:t xml:space="preserve">echnical </w:t>
      </w:r>
      <w:r w:rsidR="00CB2091">
        <w:t>p</w:t>
      </w:r>
      <w:r>
        <w:t xml:space="preserve">anels got delayed, and consequently some activities in relation to </w:t>
      </w:r>
      <w:r w:rsidRPr="00945400">
        <w:t>Diagnostic laboratory networking</w:t>
      </w:r>
      <w:r>
        <w:t xml:space="preserve">. Moreover, some discussions were supposed to happen at the </w:t>
      </w:r>
      <w:r w:rsidRPr="002358C8">
        <w:t xml:space="preserve">International Plant Health Conference </w:t>
      </w:r>
      <w:r>
        <w:t xml:space="preserve">in Helsinki, which is now postponed for 2021. </w:t>
      </w:r>
    </w:p>
    <w:p w14:paraId="4A5E072F" w14:textId="14B5084B" w:rsidR="00AB4392" w:rsidRPr="004B0ACD" w:rsidRDefault="002358C8" w:rsidP="004B0ACD">
      <w:pPr>
        <w:pStyle w:val="IPPParagraphnumbering"/>
        <w:rPr>
          <w:b/>
        </w:rPr>
      </w:pPr>
      <w:r>
        <w:t>The TPDP just had their first virtual meeting in 2020 and they are awaiting recommendations and directions from the SC to continue the discussions about this development agenda.</w:t>
      </w:r>
      <w:r w:rsidR="004B0ACD">
        <w:t xml:space="preserve"> Moreover, it is important to highlight that there is yet not a establish plan, and that the IPPC Secretariat is also awaiting further discussions at different meeting and that proper resources are allocated.</w:t>
      </w:r>
    </w:p>
    <w:p w14:paraId="144668F3" w14:textId="77777777" w:rsidR="004B0ACD" w:rsidRPr="004B0ACD" w:rsidRDefault="00896A29" w:rsidP="004B0ACD">
      <w:pPr>
        <w:pStyle w:val="IPPParagraphnumbering"/>
        <w:numPr>
          <w:ilvl w:val="0"/>
          <w:numId w:val="3"/>
        </w:numPr>
      </w:pPr>
      <w:r w:rsidRPr="004B0ACD">
        <w:rPr>
          <w:b/>
        </w:rPr>
        <w:t>FINANCES</w:t>
      </w:r>
      <w:r>
        <w:rPr>
          <w:b/>
        </w:rPr>
        <w:t>:</w:t>
      </w:r>
      <w:r w:rsidRPr="004B0ACD">
        <w:rPr>
          <w:b/>
        </w:rPr>
        <w:t xml:space="preserve"> </w:t>
      </w:r>
      <w:r w:rsidRPr="004B0ACD">
        <w:rPr>
          <w:b/>
          <w:bCs/>
        </w:rPr>
        <w:t>IPPC INVESTMENT PLAN 2020-2024.</w:t>
      </w:r>
    </w:p>
    <w:p w14:paraId="6C34E1B4" w14:textId="000BF31A" w:rsidR="00DF278E" w:rsidRDefault="00DF278E" w:rsidP="004B0ACD">
      <w:pPr>
        <w:pStyle w:val="IPPParagraphnumbering"/>
      </w:pPr>
      <w:r w:rsidRPr="004B0ACD">
        <w:t>The following budget is proposed in the IPPC Investment plan which was noted by CPM-14 (2019). It is to note</w:t>
      </w:r>
      <w:r>
        <w:t xml:space="preserve"> that the investment plan discusses only the first 5 year of the </w:t>
      </w:r>
      <w:r w:rsidR="00CB2091">
        <w:t>10-year</w:t>
      </w:r>
      <w:r>
        <w:t xml:space="preserve"> lifespan of the Strategic Framework and should be re-visited once a detailed set of activities are agreed. </w:t>
      </w:r>
    </w:p>
    <w:tbl>
      <w:tblPr>
        <w:tblStyle w:val="TableGrid2"/>
        <w:tblW w:w="0" w:type="auto"/>
        <w:tblLook w:val="04A0" w:firstRow="1" w:lastRow="0" w:firstColumn="1" w:lastColumn="0" w:noHBand="0" w:noVBand="1"/>
      </w:tblPr>
      <w:tblGrid>
        <w:gridCol w:w="2972"/>
        <w:gridCol w:w="1134"/>
        <w:gridCol w:w="992"/>
        <w:gridCol w:w="993"/>
        <w:gridCol w:w="992"/>
        <w:gridCol w:w="992"/>
        <w:gridCol w:w="941"/>
      </w:tblGrid>
      <w:tr w:rsidR="00AB4392" w:rsidRPr="00A87D70" w14:paraId="47AA47CF" w14:textId="77777777" w:rsidTr="00C03487">
        <w:trPr>
          <w:trHeight w:val="278"/>
          <w:tblHeader/>
        </w:trPr>
        <w:tc>
          <w:tcPr>
            <w:tcW w:w="2972" w:type="dxa"/>
            <w:vMerge w:val="restart"/>
            <w:shd w:val="clear" w:color="auto" w:fill="D9D9D9"/>
          </w:tcPr>
          <w:p w14:paraId="43C3B5C5" w14:textId="77777777" w:rsidR="00AB4392" w:rsidRPr="00A87D70" w:rsidRDefault="00AB4392" w:rsidP="00C03487">
            <w:pPr>
              <w:rPr>
                <w:rFonts w:ascii="Arial" w:eastAsia="Calibri" w:hAnsi="Arial" w:cs="Arial"/>
                <w:b/>
                <w:sz w:val="18"/>
                <w:szCs w:val="18"/>
              </w:rPr>
            </w:pPr>
            <w:r>
              <w:t xml:space="preserve"> </w:t>
            </w:r>
            <w:r w:rsidRPr="00A87D70">
              <w:rPr>
                <w:rFonts w:ascii="Arial" w:eastAsia="Calibri" w:hAnsi="Arial" w:cs="Arial"/>
                <w:b/>
                <w:sz w:val="18"/>
                <w:szCs w:val="18"/>
              </w:rPr>
              <w:t>Action</w:t>
            </w:r>
          </w:p>
        </w:tc>
        <w:tc>
          <w:tcPr>
            <w:tcW w:w="1134" w:type="dxa"/>
            <w:vMerge w:val="restart"/>
            <w:shd w:val="clear" w:color="auto" w:fill="D9D9D9"/>
          </w:tcPr>
          <w:p w14:paraId="46211850"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Funding</w:t>
            </w:r>
          </w:p>
          <w:p w14:paraId="7EAE956B"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Source</w:t>
            </w:r>
          </w:p>
        </w:tc>
        <w:tc>
          <w:tcPr>
            <w:tcW w:w="4910" w:type="dxa"/>
            <w:gridSpan w:val="5"/>
            <w:shd w:val="clear" w:color="auto" w:fill="D9D9D9"/>
          </w:tcPr>
          <w:p w14:paraId="0AA71A58" w14:textId="77777777" w:rsidR="00AB4392" w:rsidRPr="00A87D70" w:rsidRDefault="00AB4392" w:rsidP="00C03487">
            <w:pPr>
              <w:jc w:val="center"/>
              <w:rPr>
                <w:rFonts w:ascii="Arial" w:eastAsia="Calibri" w:hAnsi="Arial" w:cs="Arial"/>
                <w:b/>
                <w:sz w:val="18"/>
                <w:szCs w:val="18"/>
              </w:rPr>
            </w:pPr>
            <w:r w:rsidRPr="00A87D70">
              <w:rPr>
                <w:rFonts w:ascii="Arial" w:eastAsia="Calibri" w:hAnsi="Arial" w:cs="Arial"/>
                <w:b/>
                <w:sz w:val="18"/>
                <w:szCs w:val="18"/>
              </w:rPr>
              <w:t>Estimated budget (USD)</w:t>
            </w:r>
          </w:p>
        </w:tc>
      </w:tr>
      <w:tr w:rsidR="00AB4392" w:rsidRPr="00A87D70" w14:paraId="761B00A6" w14:textId="77777777" w:rsidTr="00C03487">
        <w:trPr>
          <w:trHeight w:val="278"/>
          <w:tblHeader/>
        </w:trPr>
        <w:tc>
          <w:tcPr>
            <w:tcW w:w="2972" w:type="dxa"/>
            <w:vMerge/>
          </w:tcPr>
          <w:p w14:paraId="6A919F9F" w14:textId="77777777" w:rsidR="00AB4392" w:rsidRPr="00A87D70" w:rsidRDefault="00AB4392" w:rsidP="00C03487">
            <w:pPr>
              <w:rPr>
                <w:rFonts w:ascii="Arial" w:eastAsia="Calibri" w:hAnsi="Arial" w:cs="Arial"/>
                <w:sz w:val="18"/>
                <w:szCs w:val="18"/>
              </w:rPr>
            </w:pPr>
          </w:p>
        </w:tc>
        <w:tc>
          <w:tcPr>
            <w:tcW w:w="1134" w:type="dxa"/>
            <w:vMerge/>
          </w:tcPr>
          <w:p w14:paraId="6FA58547" w14:textId="77777777" w:rsidR="00AB4392" w:rsidRPr="00A87D70" w:rsidRDefault="00AB4392" w:rsidP="00C03487">
            <w:pPr>
              <w:rPr>
                <w:rFonts w:ascii="Arial" w:eastAsia="Calibri" w:hAnsi="Arial" w:cs="Arial"/>
                <w:sz w:val="18"/>
                <w:szCs w:val="18"/>
              </w:rPr>
            </w:pPr>
          </w:p>
        </w:tc>
        <w:tc>
          <w:tcPr>
            <w:tcW w:w="992" w:type="dxa"/>
            <w:shd w:val="clear" w:color="auto" w:fill="F2F2F2"/>
          </w:tcPr>
          <w:p w14:paraId="3BF6F1EC"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2020</w:t>
            </w:r>
          </w:p>
        </w:tc>
        <w:tc>
          <w:tcPr>
            <w:tcW w:w="993" w:type="dxa"/>
            <w:shd w:val="clear" w:color="auto" w:fill="F2F2F2"/>
          </w:tcPr>
          <w:p w14:paraId="0BABD1C4"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2021</w:t>
            </w:r>
          </w:p>
        </w:tc>
        <w:tc>
          <w:tcPr>
            <w:tcW w:w="992" w:type="dxa"/>
            <w:shd w:val="clear" w:color="auto" w:fill="F2F2F2"/>
          </w:tcPr>
          <w:p w14:paraId="599AF650"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2022</w:t>
            </w:r>
          </w:p>
        </w:tc>
        <w:tc>
          <w:tcPr>
            <w:tcW w:w="992" w:type="dxa"/>
            <w:shd w:val="clear" w:color="auto" w:fill="F2F2F2"/>
          </w:tcPr>
          <w:p w14:paraId="28E8380D"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2023</w:t>
            </w:r>
          </w:p>
        </w:tc>
        <w:tc>
          <w:tcPr>
            <w:tcW w:w="941" w:type="dxa"/>
            <w:shd w:val="clear" w:color="auto" w:fill="F2F2F2"/>
          </w:tcPr>
          <w:p w14:paraId="6FBB0E28" w14:textId="77777777" w:rsidR="00AB4392" w:rsidRPr="00A87D70" w:rsidRDefault="00AB4392" w:rsidP="00C03487">
            <w:pPr>
              <w:rPr>
                <w:rFonts w:ascii="Arial" w:eastAsia="Calibri" w:hAnsi="Arial" w:cs="Arial"/>
                <w:b/>
                <w:sz w:val="18"/>
                <w:szCs w:val="18"/>
              </w:rPr>
            </w:pPr>
            <w:r w:rsidRPr="00A87D70">
              <w:rPr>
                <w:rFonts w:ascii="Arial" w:eastAsia="Calibri" w:hAnsi="Arial" w:cs="Arial"/>
                <w:b/>
                <w:sz w:val="18"/>
                <w:szCs w:val="18"/>
              </w:rPr>
              <w:t>2024</w:t>
            </w:r>
          </w:p>
        </w:tc>
      </w:tr>
      <w:tr w:rsidR="00AB4392" w:rsidRPr="00A87D70" w14:paraId="4CD149EB" w14:textId="77777777" w:rsidTr="00C03487">
        <w:tc>
          <w:tcPr>
            <w:tcW w:w="2972" w:type="dxa"/>
          </w:tcPr>
          <w:p w14:paraId="04F4E4B5"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Coordinate and publish a list of diagnostic laboratories including operational expertise </w:t>
            </w:r>
          </w:p>
        </w:tc>
        <w:tc>
          <w:tcPr>
            <w:tcW w:w="1134" w:type="dxa"/>
          </w:tcPr>
          <w:p w14:paraId="41F6A5BB"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2E40D6B1"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30K</w:t>
            </w:r>
          </w:p>
        </w:tc>
        <w:tc>
          <w:tcPr>
            <w:tcW w:w="993" w:type="dxa"/>
          </w:tcPr>
          <w:p w14:paraId="08792363" w14:textId="77777777" w:rsidR="00AB4392" w:rsidRPr="00A87D70" w:rsidRDefault="00AB4392" w:rsidP="00C03487">
            <w:pPr>
              <w:rPr>
                <w:rFonts w:ascii="Arial" w:eastAsia="Calibri" w:hAnsi="Arial" w:cs="Arial"/>
                <w:sz w:val="18"/>
                <w:szCs w:val="18"/>
              </w:rPr>
            </w:pPr>
          </w:p>
        </w:tc>
        <w:tc>
          <w:tcPr>
            <w:tcW w:w="992" w:type="dxa"/>
          </w:tcPr>
          <w:p w14:paraId="2A4F53B3"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10K</w:t>
            </w:r>
          </w:p>
        </w:tc>
        <w:tc>
          <w:tcPr>
            <w:tcW w:w="992" w:type="dxa"/>
          </w:tcPr>
          <w:p w14:paraId="404ABF7C" w14:textId="77777777" w:rsidR="00AB4392" w:rsidRPr="00A87D70" w:rsidRDefault="00AB4392" w:rsidP="00C03487">
            <w:pPr>
              <w:rPr>
                <w:rFonts w:ascii="Arial" w:eastAsia="Calibri" w:hAnsi="Arial" w:cs="Arial"/>
                <w:sz w:val="18"/>
                <w:szCs w:val="18"/>
              </w:rPr>
            </w:pPr>
          </w:p>
        </w:tc>
        <w:tc>
          <w:tcPr>
            <w:tcW w:w="941" w:type="dxa"/>
          </w:tcPr>
          <w:p w14:paraId="0EA0E080" w14:textId="77777777" w:rsidR="00AB4392" w:rsidRPr="00A87D70" w:rsidRDefault="00AB4392" w:rsidP="00C03487">
            <w:pPr>
              <w:rPr>
                <w:rFonts w:ascii="Arial" w:eastAsia="Calibri" w:hAnsi="Arial" w:cs="Arial"/>
                <w:sz w:val="18"/>
                <w:szCs w:val="18"/>
              </w:rPr>
            </w:pPr>
          </w:p>
        </w:tc>
      </w:tr>
      <w:tr w:rsidR="00AB4392" w:rsidRPr="00A87D70" w14:paraId="19B43918" w14:textId="77777777" w:rsidTr="00C03487">
        <w:tc>
          <w:tcPr>
            <w:tcW w:w="2972" w:type="dxa"/>
          </w:tcPr>
          <w:p w14:paraId="140D97C9"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Develop a model for networked or shared diagnostic laboratories </w:t>
            </w:r>
          </w:p>
        </w:tc>
        <w:tc>
          <w:tcPr>
            <w:tcW w:w="1134" w:type="dxa"/>
          </w:tcPr>
          <w:p w14:paraId="6884C492"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48760AFA" w14:textId="77777777" w:rsidR="00AB4392" w:rsidRPr="00A87D70" w:rsidRDefault="00AB4392" w:rsidP="00C03487">
            <w:pPr>
              <w:rPr>
                <w:rFonts w:ascii="Arial" w:eastAsia="Calibri" w:hAnsi="Arial" w:cs="Arial"/>
                <w:sz w:val="18"/>
                <w:szCs w:val="18"/>
              </w:rPr>
            </w:pPr>
          </w:p>
        </w:tc>
        <w:tc>
          <w:tcPr>
            <w:tcW w:w="993" w:type="dxa"/>
          </w:tcPr>
          <w:p w14:paraId="738FEEE9"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100K</w:t>
            </w:r>
          </w:p>
        </w:tc>
        <w:tc>
          <w:tcPr>
            <w:tcW w:w="992" w:type="dxa"/>
          </w:tcPr>
          <w:p w14:paraId="73CD5588"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60K</w:t>
            </w:r>
          </w:p>
        </w:tc>
        <w:tc>
          <w:tcPr>
            <w:tcW w:w="992" w:type="dxa"/>
          </w:tcPr>
          <w:p w14:paraId="27572A09" w14:textId="77777777" w:rsidR="00AB4392" w:rsidRPr="00A87D70" w:rsidRDefault="00AB4392" w:rsidP="00C03487">
            <w:pPr>
              <w:rPr>
                <w:rFonts w:ascii="Arial" w:eastAsia="Calibri" w:hAnsi="Arial" w:cs="Arial"/>
                <w:sz w:val="18"/>
                <w:szCs w:val="18"/>
              </w:rPr>
            </w:pPr>
          </w:p>
        </w:tc>
        <w:tc>
          <w:tcPr>
            <w:tcW w:w="941" w:type="dxa"/>
          </w:tcPr>
          <w:p w14:paraId="55F456D6" w14:textId="77777777" w:rsidR="00AB4392" w:rsidRPr="00A87D70" w:rsidRDefault="00AB4392" w:rsidP="00C03487">
            <w:pPr>
              <w:rPr>
                <w:rFonts w:ascii="Arial" w:eastAsia="Calibri" w:hAnsi="Arial" w:cs="Arial"/>
                <w:sz w:val="18"/>
                <w:szCs w:val="18"/>
              </w:rPr>
            </w:pPr>
          </w:p>
        </w:tc>
      </w:tr>
      <w:tr w:rsidR="00AB4392" w:rsidRPr="00A87D70" w14:paraId="4E59735B" w14:textId="77777777" w:rsidTr="00C03487">
        <w:tc>
          <w:tcPr>
            <w:tcW w:w="2972" w:type="dxa"/>
          </w:tcPr>
          <w:p w14:paraId="31FF1008"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Draft standards and protocols </w:t>
            </w:r>
          </w:p>
        </w:tc>
        <w:tc>
          <w:tcPr>
            <w:tcW w:w="1134" w:type="dxa"/>
          </w:tcPr>
          <w:p w14:paraId="2116D33B"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03B24D7D" w14:textId="77777777" w:rsidR="00AB4392" w:rsidRPr="00A87D70" w:rsidRDefault="00AB4392" w:rsidP="00C03487">
            <w:pPr>
              <w:rPr>
                <w:rFonts w:ascii="Arial" w:eastAsia="Calibri" w:hAnsi="Arial" w:cs="Arial"/>
                <w:sz w:val="18"/>
                <w:szCs w:val="18"/>
              </w:rPr>
            </w:pPr>
          </w:p>
        </w:tc>
        <w:tc>
          <w:tcPr>
            <w:tcW w:w="993" w:type="dxa"/>
          </w:tcPr>
          <w:p w14:paraId="6A5359B9" w14:textId="77777777" w:rsidR="00AB4392" w:rsidRPr="00A87D70" w:rsidRDefault="00AB4392" w:rsidP="00C03487">
            <w:pPr>
              <w:rPr>
                <w:rFonts w:ascii="Arial" w:eastAsia="Calibri" w:hAnsi="Arial" w:cs="Arial"/>
                <w:sz w:val="18"/>
                <w:szCs w:val="18"/>
              </w:rPr>
            </w:pPr>
          </w:p>
        </w:tc>
        <w:tc>
          <w:tcPr>
            <w:tcW w:w="992" w:type="dxa"/>
          </w:tcPr>
          <w:p w14:paraId="1AA5F995"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60K</w:t>
            </w:r>
          </w:p>
        </w:tc>
        <w:tc>
          <w:tcPr>
            <w:tcW w:w="992" w:type="dxa"/>
          </w:tcPr>
          <w:p w14:paraId="6C6487C4"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15K</w:t>
            </w:r>
          </w:p>
        </w:tc>
        <w:tc>
          <w:tcPr>
            <w:tcW w:w="941" w:type="dxa"/>
          </w:tcPr>
          <w:p w14:paraId="67B964B5"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15K</w:t>
            </w:r>
          </w:p>
        </w:tc>
      </w:tr>
      <w:tr w:rsidR="00AB4392" w:rsidRPr="00A87D70" w14:paraId="66693B1F" w14:textId="77777777" w:rsidTr="005F6A9B">
        <w:trPr>
          <w:trHeight w:val="440"/>
        </w:trPr>
        <w:tc>
          <w:tcPr>
            <w:tcW w:w="2972" w:type="dxa"/>
          </w:tcPr>
          <w:p w14:paraId="58AB50B6"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Coordinate a pilot laboratory network </w:t>
            </w:r>
          </w:p>
        </w:tc>
        <w:tc>
          <w:tcPr>
            <w:tcW w:w="1134" w:type="dxa"/>
          </w:tcPr>
          <w:p w14:paraId="3F442A1D" w14:textId="77777777" w:rsidR="00AB4392" w:rsidRPr="005F6A9B" w:rsidRDefault="005F6A9B" w:rsidP="00C03487">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351065C4" w14:textId="77777777" w:rsidR="00AB4392" w:rsidRPr="00A87D70" w:rsidRDefault="00AB4392" w:rsidP="00C03487">
            <w:pPr>
              <w:rPr>
                <w:rFonts w:ascii="Arial" w:eastAsia="Calibri" w:hAnsi="Arial" w:cs="Arial"/>
                <w:sz w:val="18"/>
                <w:szCs w:val="18"/>
              </w:rPr>
            </w:pPr>
          </w:p>
        </w:tc>
        <w:tc>
          <w:tcPr>
            <w:tcW w:w="993" w:type="dxa"/>
          </w:tcPr>
          <w:p w14:paraId="511CD1C4" w14:textId="77777777" w:rsidR="00AB4392" w:rsidRPr="00A87D70" w:rsidRDefault="00AB4392" w:rsidP="00C03487">
            <w:pPr>
              <w:rPr>
                <w:rFonts w:ascii="Arial" w:eastAsia="Calibri" w:hAnsi="Arial" w:cs="Arial"/>
                <w:sz w:val="18"/>
                <w:szCs w:val="18"/>
              </w:rPr>
            </w:pPr>
          </w:p>
        </w:tc>
        <w:tc>
          <w:tcPr>
            <w:tcW w:w="992" w:type="dxa"/>
          </w:tcPr>
          <w:p w14:paraId="59A82391"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15K</w:t>
            </w:r>
          </w:p>
        </w:tc>
        <w:tc>
          <w:tcPr>
            <w:tcW w:w="992" w:type="dxa"/>
          </w:tcPr>
          <w:p w14:paraId="226969F0" w14:textId="77777777" w:rsidR="00AB4392" w:rsidRPr="00A87D70" w:rsidRDefault="005F6A9B" w:rsidP="00C03487">
            <w:pPr>
              <w:rPr>
                <w:rFonts w:ascii="Arial" w:eastAsia="Calibri" w:hAnsi="Arial" w:cs="Arial"/>
                <w:sz w:val="18"/>
                <w:szCs w:val="18"/>
              </w:rPr>
            </w:pPr>
            <w:r>
              <w:rPr>
                <w:rFonts w:ascii="Arial" w:eastAsia="Calibri" w:hAnsi="Arial" w:cs="Arial"/>
                <w:sz w:val="18"/>
                <w:szCs w:val="18"/>
              </w:rPr>
              <w:t>30K</w:t>
            </w:r>
          </w:p>
        </w:tc>
        <w:tc>
          <w:tcPr>
            <w:tcW w:w="941" w:type="dxa"/>
          </w:tcPr>
          <w:p w14:paraId="4111E41E" w14:textId="77777777" w:rsidR="00AB4392" w:rsidRPr="00A87D70" w:rsidRDefault="00AB4392" w:rsidP="00C03487">
            <w:pPr>
              <w:rPr>
                <w:rFonts w:ascii="Arial" w:eastAsia="Calibri" w:hAnsi="Arial" w:cs="Arial"/>
                <w:sz w:val="18"/>
                <w:szCs w:val="18"/>
              </w:rPr>
            </w:pPr>
          </w:p>
        </w:tc>
      </w:tr>
      <w:tr w:rsidR="005F6A9B" w:rsidRPr="00A87D70" w14:paraId="12B6FB61" w14:textId="77777777" w:rsidTr="00C03487">
        <w:tc>
          <w:tcPr>
            <w:tcW w:w="2972" w:type="dxa"/>
          </w:tcPr>
          <w:p w14:paraId="6E0E0780" w14:textId="77777777" w:rsidR="005F6A9B" w:rsidRPr="00A87D70" w:rsidRDefault="005F6A9B" w:rsidP="005F6A9B">
            <w:pPr>
              <w:rPr>
                <w:rFonts w:ascii="Arial" w:eastAsia="Calibri" w:hAnsi="Arial" w:cs="Arial"/>
                <w:b/>
                <w:sz w:val="18"/>
                <w:szCs w:val="18"/>
              </w:rPr>
            </w:pPr>
            <w:r w:rsidRPr="00A87D70">
              <w:rPr>
                <w:rFonts w:ascii="Arial" w:hAnsi="Arial" w:cs="Arial"/>
                <w:b/>
                <w:bCs/>
                <w:sz w:val="18"/>
                <w:szCs w:val="18"/>
              </w:rPr>
              <w:t xml:space="preserve">Total </w:t>
            </w:r>
          </w:p>
        </w:tc>
        <w:tc>
          <w:tcPr>
            <w:tcW w:w="1134" w:type="dxa"/>
          </w:tcPr>
          <w:p w14:paraId="2B42A147" w14:textId="6579D55B" w:rsidR="005F6A9B" w:rsidRPr="005F6A9B" w:rsidRDefault="005F6A9B" w:rsidP="005F6A9B">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3631EA4C" w14:textId="77777777" w:rsidR="005F6A9B" w:rsidRDefault="005F6A9B" w:rsidP="005F6A9B">
            <w:pPr>
              <w:pStyle w:val="Default"/>
              <w:rPr>
                <w:sz w:val="18"/>
                <w:szCs w:val="18"/>
              </w:rPr>
            </w:pPr>
            <w:r>
              <w:rPr>
                <w:b/>
                <w:bCs/>
                <w:sz w:val="18"/>
                <w:szCs w:val="18"/>
              </w:rPr>
              <w:t xml:space="preserve">30 K </w:t>
            </w:r>
          </w:p>
        </w:tc>
        <w:tc>
          <w:tcPr>
            <w:tcW w:w="993" w:type="dxa"/>
          </w:tcPr>
          <w:p w14:paraId="33F646B8" w14:textId="77777777" w:rsidR="005F6A9B" w:rsidRDefault="005F6A9B" w:rsidP="005F6A9B">
            <w:pPr>
              <w:pStyle w:val="Default"/>
              <w:rPr>
                <w:sz w:val="18"/>
                <w:szCs w:val="18"/>
              </w:rPr>
            </w:pPr>
            <w:r>
              <w:rPr>
                <w:b/>
                <w:bCs/>
                <w:sz w:val="18"/>
                <w:szCs w:val="18"/>
              </w:rPr>
              <w:t xml:space="preserve">100 K </w:t>
            </w:r>
          </w:p>
        </w:tc>
        <w:tc>
          <w:tcPr>
            <w:tcW w:w="992" w:type="dxa"/>
          </w:tcPr>
          <w:p w14:paraId="0A03C3E8" w14:textId="77777777" w:rsidR="005F6A9B" w:rsidRDefault="005F6A9B" w:rsidP="005F6A9B">
            <w:pPr>
              <w:pStyle w:val="Default"/>
              <w:rPr>
                <w:sz w:val="18"/>
                <w:szCs w:val="18"/>
              </w:rPr>
            </w:pPr>
            <w:r>
              <w:rPr>
                <w:b/>
                <w:bCs/>
                <w:sz w:val="18"/>
                <w:szCs w:val="18"/>
              </w:rPr>
              <w:t xml:space="preserve">145 K </w:t>
            </w:r>
          </w:p>
        </w:tc>
        <w:tc>
          <w:tcPr>
            <w:tcW w:w="992" w:type="dxa"/>
          </w:tcPr>
          <w:p w14:paraId="4D7F6490" w14:textId="77777777" w:rsidR="005F6A9B" w:rsidRDefault="005F6A9B" w:rsidP="005F6A9B">
            <w:pPr>
              <w:pStyle w:val="Default"/>
              <w:rPr>
                <w:sz w:val="18"/>
                <w:szCs w:val="18"/>
              </w:rPr>
            </w:pPr>
            <w:r>
              <w:rPr>
                <w:b/>
                <w:bCs/>
                <w:sz w:val="18"/>
                <w:szCs w:val="18"/>
              </w:rPr>
              <w:t xml:space="preserve">45 K </w:t>
            </w:r>
          </w:p>
        </w:tc>
        <w:tc>
          <w:tcPr>
            <w:tcW w:w="941" w:type="dxa"/>
          </w:tcPr>
          <w:p w14:paraId="2B41B484" w14:textId="77777777" w:rsidR="005F6A9B" w:rsidRDefault="005F6A9B" w:rsidP="005F6A9B">
            <w:pPr>
              <w:pStyle w:val="Default"/>
              <w:rPr>
                <w:sz w:val="18"/>
                <w:szCs w:val="18"/>
              </w:rPr>
            </w:pPr>
            <w:r>
              <w:rPr>
                <w:b/>
                <w:bCs/>
                <w:sz w:val="18"/>
                <w:szCs w:val="18"/>
              </w:rPr>
              <w:t xml:space="preserve">15 K </w:t>
            </w:r>
          </w:p>
        </w:tc>
      </w:tr>
      <w:tr w:rsidR="005F6A9B" w:rsidRPr="00A87D70" w14:paraId="7E2AEB31" w14:textId="77777777" w:rsidTr="00C03487">
        <w:tc>
          <w:tcPr>
            <w:tcW w:w="2972" w:type="dxa"/>
          </w:tcPr>
          <w:p w14:paraId="10D68066" w14:textId="77777777" w:rsidR="005F6A9B" w:rsidRPr="00A87D70" w:rsidRDefault="005F6A9B" w:rsidP="005F6A9B">
            <w:pPr>
              <w:rPr>
                <w:rFonts w:ascii="Arial" w:eastAsia="Calibri" w:hAnsi="Arial" w:cs="Arial"/>
                <w:sz w:val="18"/>
                <w:szCs w:val="18"/>
              </w:rPr>
            </w:pPr>
            <w:r w:rsidRPr="00A87D70">
              <w:rPr>
                <w:rFonts w:ascii="Arial" w:hAnsi="Arial" w:cs="Arial"/>
                <w:sz w:val="18"/>
                <w:szCs w:val="18"/>
              </w:rPr>
              <w:t xml:space="preserve">FTE (estimate) </w:t>
            </w:r>
          </w:p>
        </w:tc>
        <w:tc>
          <w:tcPr>
            <w:tcW w:w="1134" w:type="dxa"/>
          </w:tcPr>
          <w:p w14:paraId="10087976" w14:textId="0DFAE4A5" w:rsidR="005F6A9B" w:rsidRPr="005F6A9B" w:rsidRDefault="005F6A9B" w:rsidP="005F6A9B">
            <w:pPr>
              <w:pStyle w:val="Default"/>
              <w:numPr>
                <w:ilvl w:val="0"/>
                <w:numId w:val="1"/>
              </w:numPr>
              <w:rPr>
                <w:rFonts w:eastAsia="Times New Roman" w:cs="Times New Roman"/>
                <w:i/>
                <w:color w:val="0000FF"/>
                <w:sz w:val="18"/>
                <w:szCs w:val="18"/>
                <w:lang w:eastAsia="en-GB"/>
              </w:rPr>
            </w:pPr>
            <w:r>
              <w:rPr>
                <w:sz w:val="18"/>
                <w:szCs w:val="18"/>
              </w:rPr>
              <w:t xml:space="preserve">ExtP </w:t>
            </w:r>
          </w:p>
        </w:tc>
        <w:tc>
          <w:tcPr>
            <w:tcW w:w="992" w:type="dxa"/>
          </w:tcPr>
          <w:p w14:paraId="30286462" w14:textId="77777777" w:rsidR="005F6A9B" w:rsidRDefault="005F6A9B" w:rsidP="005F6A9B">
            <w:pPr>
              <w:pStyle w:val="Default"/>
              <w:rPr>
                <w:sz w:val="18"/>
                <w:szCs w:val="18"/>
              </w:rPr>
            </w:pPr>
            <w:r>
              <w:rPr>
                <w:sz w:val="18"/>
                <w:szCs w:val="18"/>
              </w:rPr>
              <w:t xml:space="preserve">0.25 </w:t>
            </w:r>
          </w:p>
        </w:tc>
        <w:tc>
          <w:tcPr>
            <w:tcW w:w="993" w:type="dxa"/>
          </w:tcPr>
          <w:p w14:paraId="189FC624" w14:textId="77777777" w:rsidR="005F6A9B" w:rsidRDefault="005F6A9B" w:rsidP="005F6A9B">
            <w:pPr>
              <w:pStyle w:val="Default"/>
              <w:rPr>
                <w:sz w:val="18"/>
                <w:szCs w:val="18"/>
              </w:rPr>
            </w:pPr>
            <w:r>
              <w:rPr>
                <w:sz w:val="18"/>
                <w:szCs w:val="18"/>
              </w:rPr>
              <w:t xml:space="preserve">0.5 </w:t>
            </w:r>
          </w:p>
        </w:tc>
        <w:tc>
          <w:tcPr>
            <w:tcW w:w="992" w:type="dxa"/>
          </w:tcPr>
          <w:p w14:paraId="448111F1" w14:textId="77777777" w:rsidR="005F6A9B" w:rsidRDefault="005F6A9B" w:rsidP="005F6A9B">
            <w:pPr>
              <w:pStyle w:val="Default"/>
              <w:rPr>
                <w:sz w:val="18"/>
                <w:szCs w:val="18"/>
              </w:rPr>
            </w:pPr>
            <w:r>
              <w:rPr>
                <w:sz w:val="18"/>
                <w:szCs w:val="18"/>
              </w:rPr>
              <w:t xml:space="preserve">1.25 </w:t>
            </w:r>
          </w:p>
        </w:tc>
        <w:tc>
          <w:tcPr>
            <w:tcW w:w="992" w:type="dxa"/>
          </w:tcPr>
          <w:p w14:paraId="269A339A" w14:textId="77777777" w:rsidR="005F6A9B" w:rsidRDefault="005F6A9B" w:rsidP="005F6A9B">
            <w:pPr>
              <w:pStyle w:val="Default"/>
              <w:rPr>
                <w:sz w:val="18"/>
                <w:szCs w:val="18"/>
              </w:rPr>
            </w:pPr>
            <w:r>
              <w:rPr>
                <w:sz w:val="18"/>
                <w:szCs w:val="18"/>
              </w:rPr>
              <w:t xml:space="preserve">0.5 </w:t>
            </w:r>
          </w:p>
        </w:tc>
        <w:tc>
          <w:tcPr>
            <w:tcW w:w="941" w:type="dxa"/>
          </w:tcPr>
          <w:p w14:paraId="04BA67C0" w14:textId="77777777" w:rsidR="005F6A9B" w:rsidRDefault="005F6A9B" w:rsidP="005F6A9B">
            <w:pPr>
              <w:pStyle w:val="Default"/>
              <w:rPr>
                <w:sz w:val="18"/>
                <w:szCs w:val="18"/>
              </w:rPr>
            </w:pPr>
            <w:r>
              <w:rPr>
                <w:sz w:val="18"/>
                <w:szCs w:val="18"/>
              </w:rPr>
              <w:t xml:space="preserve">0.1 </w:t>
            </w:r>
          </w:p>
        </w:tc>
      </w:tr>
    </w:tbl>
    <w:p w14:paraId="4F8DAAB7" w14:textId="77777777" w:rsidR="00AB4392" w:rsidRDefault="00AB4392" w:rsidP="00AB4392">
      <w:pPr>
        <w:pStyle w:val="IPPParagraphnumbering"/>
        <w:numPr>
          <w:ilvl w:val="0"/>
          <w:numId w:val="0"/>
        </w:numPr>
      </w:pPr>
    </w:p>
    <w:p w14:paraId="08DB0853" w14:textId="77777777" w:rsidR="00AB4392" w:rsidRDefault="00AB4392" w:rsidP="00AB4392">
      <w:pPr>
        <w:pStyle w:val="IPPHeading1"/>
      </w:pPr>
      <w:r>
        <w:t>Recommendation</w:t>
      </w:r>
    </w:p>
    <w:p w14:paraId="55DB0376" w14:textId="77777777" w:rsidR="00AB4392" w:rsidRPr="00073887" w:rsidRDefault="00AB4392" w:rsidP="004B0ACD">
      <w:pPr>
        <w:pStyle w:val="IPPParagraphnumbering"/>
      </w:pPr>
      <w:r w:rsidRPr="00073887">
        <w:t>The SPG is invited to:</w:t>
      </w:r>
    </w:p>
    <w:p w14:paraId="4E209F42" w14:textId="77777777" w:rsidR="00AB4392" w:rsidRPr="00073887" w:rsidRDefault="00AB4392" w:rsidP="00AB4392">
      <w:pPr>
        <w:pStyle w:val="IPPNumberedList"/>
        <w:rPr>
          <w:rFonts w:cs="Times New Roman"/>
        </w:rPr>
      </w:pPr>
      <w:r w:rsidRPr="00073887">
        <w:rPr>
          <w:i/>
        </w:rPr>
        <w:t>note</w:t>
      </w:r>
      <w:r>
        <w:t xml:space="preserve"> the document;</w:t>
      </w:r>
    </w:p>
    <w:p w14:paraId="548A7533" w14:textId="77777777" w:rsidR="00AB4392" w:rsidRPr="00073887" w:rsidRDefault="00AB4392" w:rsidP="004B0ACD">
      <w:pPr>
        <w:pStyle w:val="IPPNumberedList"/>
        <w:rPr>
          <w:rFonts w:cs="Times New Roman"/>
        </w:rPr>
      </w:pPr>
      <w:r>
        <w:rPr>
          <w:rFonts w:cs="Times New Roman"/>
          <w:i/>
          <w:lang w:val="en-GB"/>
        </w:rPr>
        <w:t>d</w:t>
      </w:r>
      <w:r w:rsidRPr="00151661">
        <w:rPr>
          <w:rFonts w:cs="Times New Roman"/>
          <w:i/>
          <w:lang w:val="en-GB"/>
        </w:rPr>
        <w:t>iscuss</w:t>
      </w:r>
      <w:r>
        <w:t xml:space="preserve"> possible next steps on the development of </w:t>
      </w:r>
      <w:r w:rsidR="004B0ACD">
        <w:t xml:space="preserve">an international </w:t>
      </w:r>
      <w:r w:rsidR="004B0ACD" w:rsidRPr="004B0ACD">
        <w:t>diagnostic laboratory networking</w:t>
      </w:r>
      <w:r>
        <w:t>;</w:t>
      </w:r>
    </w:p>
    <w:p w14:paraId="5EBF17A4" w14:textId="77777777" w:rsidR="00AB4392" w:rsidRPr="00073887" w:rsidRDefault="00AB4392" w:rsidP="00AB4392">
      <w:pPr>
        <w:pStyle w:val="IPPNumberedList"/>
        <w:rPr>
          <w:rFonts w:cs="Times New Roman"/>
        </w:rPr>
      </w:pPr>
      <w:r>
        <w:rPr>
          <w:rFonts w:cs="Times New Roman"/>
          <w:i/>
        </w:rPr>
        <w:t>discuss</w:t>
      </w:r>
      <w:r>
        <w:rPr>
          <w:rFonts w:cs="Times New Roman"/>
        </w:rPr>
        <w:t xml:space="preserve">, </w:t>
      </w:r>
      <w:r>
        <w:rPr>
          <w:rFonts w:cs="Times New Roman"/>
          <w:i/>
        </w:rPr>
        <w:t xml:space="preserve">and if possible, provide advice </w:t>
      </w:r>
      <w:r>
        <w:rPr>
          <w:rFonts w:cs="Times New Roman"/>
        </w:rPr>
        <w:t xml:space="preserve">on the finances and possible ways to mobilize resources. </w:t>
      </w:r>
    </w:p>
    <w:p w14:paraId="63FAE0EB" w14:textId="77777777" w:rsidR="00DE2672" w:rsidRPr="00DE2672" w:rsidRDefault="00DE2672" w:rsidP="00DE2672">
      <w:pPr>
        <w:jc w:val="center"/>
        <w:rPr>
          <w:rFonts w:cs="Times New Roman"/>
        </w:rPr>
      </w:pPr>
    </w:p>
    <w:sectPr w:rsidR="00DE2672" w:rsidRPr="00DE2672" w:rsidSect="00013E9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92A21" w16cid:durableId="231DD6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39A9" w14:textId="77777777" w:rsidR="00A812DC" w:rsidRDefault="00A812DC" w:rsidP="00DE2672">
      <w:r>
        <w:separator/>
      </w:r>
    </w:p>
  </w:endnote>
  <w:endnote w:type="continuationSeparator" w:id="0">
    <w:p w14:paraId="0DC94E21" w14:textId="77777777" w:rsidR="00A812DC" w:rsidRDefault="00A812DC" w:rsidP="00DE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A258" w14:textId="2CCCF952" w:rsidR="00013E90" w:rsidRPr="00013E90" w:rsidRDefault="00013E90" w:rsidP="00013E90">
    <w:pPr>
      <w:pStyle w:val="IPPFooter"/>
      <w:tabs>
        <w:tab w:val="clear" w:pos="9072"/>
        <w:tab w:val="right" w:pos="9360"/>
      </w:tabs>
      <w:jc w:val="left"/>
      <w:rPr>
        <w:b w:val="0"/>
      </w:rPr>
    </w:pPr>
    <w:r w:rsidRPr="00013E90">
      <w:rPr>
        <w:rStyle w:val="PageNumber"/>
        <w:b/>
      </w:rPr>
      <w:t xml:space="preserve">Page </w:t>
    </w:r>
    <w:r w:rsidRPr="00013E90">
      <w:rPr>
        <w:rStyle w:val="PageNumber"/>
        <w:b/>
      </w:rPr>
      <w:fldChar w:fldCharType="begin"/>
    </w:r>
    <w:r w:rsidRPr="00013E90">
      <w:rPr>
        <w:rStyle w:val="PageNumber"/>
        <w:b/>
      </w:rPr>
      <w:instrText xml:space="preserve"> PAGE </w:instrText>
    </w:r>
    <w:r w:rsidRPr="00013E90">
      <w:rPr>
        <w:rStyle w:val="PageNumber"/>
        <w:b/>
      </w:rPr>
      <w:fldChar w:fldCharType="separate"/>
    </w:r>
    <w:r>
      <w:rPr>
        <w:rStyle w:val="PageNumber"/>
        <w:b/>
        <w:noProof/>
      </w:rPr>
      <w:t>4</w:t>
    </w:r>
    <w:r w:rsidRPr="00013E90">
      <w:rPr>
        <w:rStyle w:val="PageNumber"/>
        <w:b/>
      </w:rPr>
      <w:fldChar w:fldCharType="end"/>
    </w:r>
    <w:r w:rsidRPr="00013E90">
      <w:rPr>
        <w:rStyle w:val="PageNumber"/>
        <w:b/>
      </w:rPr>
      <w:t xml:space="preserve"> of </w:t>
    </w:r>
    <w:r w:rsidRPr="00013E90">
      <w:rPr>
        <w:rStyle w:val="PageNumber"/>
        <w:b/>
      </w:rPr>
      <w:fldChar w:fldCharType="begin"/>
    </w:r>
    <w:r w:rsidRPr="00013E90">
      <w:rPr>
        <w:rStyle w:val="PageNumber"/>
        <w:b/>
      </w:rPr>
      <w:instrText xml:space="preserve"> NUMPAGES </w:instrText>
    </w:r>
    <w:r w:rsidRPr="00013E90">
      <w:rPr>
        <w:rStyle w:val="PageNumber"/>
        <w:b/>
      </w:rPr>
      <w:fldChar w:fldCharType="separate"/>
    </w:r>
    <w:r>
      <w:rPr>
        <w:rStyle w:val="PageNumber"/>
        <w:b/>
        <w:noProof/>
      </w:rPr>
      <w:t>4</w:t>
    </w:r>
    <w:r w:rsidRPr="00013E90">
      <w:rPr>
        <w:rStyle w:val="PageNumber"/>
        <w:b/>
      </w:rPr>
      <w:fldChar w:fldCharType="end"/>
    </w:r>
    <w:r>
      <w:rPr>
        <w:b w:val="0"/>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56C3" w14:textId="2C5D3686" w:rsidR="00DE2672" w:rsidRPr="00DE2672" w:rsidRDefault="00DE2672" w:rsidP="00013E90">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13E90">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13E90">
      <w:rPr>
        <w:rFonts w:cs="Arial"/>
        <w:noProof/>
        <w:szCs w:val="18"/>
      </w:rPr>
      <w:t>4</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B2C6" w14:textId="1AF35698" w:rsidR="00013E90" w:rsidRPr="00013E90" w:rsidRDefault="00013E90" w:rsidP="00013E90">
    <w:pPr>
      <w:pStyle w:val="IPPFooter"/>
      <w:tabs>
        <w:tab w:val="clear" w:pos="9072"/>
        <w:tab w:val="right" w:pos="9360"/>
      </w:tabs>
      <w:jc w:val="left"/>
      <w:rPr>
        <w:b w:val="0"/>
      </w:rPr>
    </w:pPr>
    <w:r w:rsidRPr="00A62A0E">
      <w:t>International Plant Protection Convention</w:t>
    </w:r>
    <w:r w:rsidRPr="00A62A0E">
      <w:tab/>
    </w:r>
    <w:r w:rsidRPr="00013E90">
      <w:rPr>
        <w:rStyle w:val="PageNumber"/>
        <w:b/>
      </w:rPr>
      <w:t xml:space="preserve">Page </w:t>
    </w:r>
    <w:r w:rsidRPr="00013E90">
      <w:rPr>
        <w:rStyle w:val="PageNumber"/>
        <w:b/>
      </w:rPr>
      <w:fldChar w:fldCharType="begin"/>
    </w:r>
    <w:r w:rsidRPr="00013E90">
      <w:rPr>
        <w:rStyle w:val="PageNumber"/>
        <w:b/>
      </w:rPr>
      <w:instrText xml:space="preserve"> PAGE </w:instrText>
    </w:r>
    <w:r w:rsidRPr="00013E90">
      <w:rPr>
        <w:rStyle w:val="PageNumber"/>
        <w:b/>
      </w:rPr>
      <w:fldChar w:fldCharType="separate"/>
    </w:r>
    <w:r w:rsidR="00A812DC">
      <w:rPr>
        <w:rStyle w:val="PageNumber"/>
        <w:b/>
        <w:noProof/>
      </w:rPr>
      <w:t>1</w:t>
    </w:r>
    <w:r w:rsidRPr="00013E90">
      <w:rPr>
        <w:rStyle w:val="PageNumber"/>
        <w:b/>
      </w:rPr>
      <w:fldChar w:fldCharType="end"/>
    </w:r>
    <w:r w:rsidRPr="00013E90">
      <w:rPr>
        <w:rStyle w:val="PageNumber"/>
        <w:b/>
      </w:rPr>
      <w:t xml:space="preserve"> of </w:t>
    </w:r>
    <w:r w:rsidRPr="00013E90">
      <w:rPr>
        <w:rStyle w:val="PageNumber"/>
        <w:b/>
      </w:rPr>
      <w:fldChar w:fldCharType="begin"/>
    </w:r>
    <w:r w:rsidRPr="00013E90">
      <w:rPr>
        <w:rStyle w:val="PageNumber"/>
        <w:b/>
      </w:rPr>
      <w:instrText xml:space="preserve"> NUMPAGES </w:instrText>
    </w:r>
    <w:r w:rsidRPr="00013E90">
      <w:rPr>
        <w:rStyle w:val="PageNumber"/>
        <w:b/>
      </w:rPr>
      <w:fldChar w:fldCharType="separate"/>
    </w:r>
    <w:r w:rsidR="00A812DC">
      <w:rPr>
        <w:rStyle w:val="PageNumber"/>
        <w:b/>
        <w:noProof/>
      </w:rPr>
      <w:t>1</w:t>
    </w:r>
    <w:r w:rsidRPr="00013E90">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E18A" w14:textId="77777777" w:rsidR="00A812DC" w:rsidRDefault="00A812DC" w:rsidP="00DE2672">
      <w:r>
        <w:separator/>
      </w:r>
    </w:p>
  </w:footnote>
  <w:footnote w:type="continuationSeparator" w:id="0">
    <w:p w14:paraId="5853C381" w14:textId="77777777" w:rsidR="00A812DC" w:rsidRDefault="00A812DC" w:rsidP="00DE2672">
      <w:r>
        <w:continuationSeparator/>
      </w:r>
    </w:p>
  </w:footnote>
  <w:footnote w:id="1">
    <w:p w14:paraId="0EEC55CE" w14:textId="6D225439" w:rsidR="00C47E10" w:rsidRPr="00590DB0" w:rsidRDefault="00C47E10" w:rsidP="00C47E10">
      <w:pPr>
        <w:pStyle w:val="FootnoteText"/>
        <w:rPr>
          <w:rFonts w:cs="Times New Roman"/>
        </w:rPr>
      </w:pPr>
      <w:r w:rsidRPr="00590DB0">
        <w:rPr>
          <w:rStyle w:val="FootnoteReference"/>
          <w:rFonts w:cs="Times New Roman"/>
        </w:rPr>
        <w:footnoteRef/>
      </w:r>
      <w:r w:rsidRPr="00590DB0">
        <w:rPr>
          <w:rFonts w:cs="Times New Roman"/>
        </w:rPr>
        <w:t xml:space="preserve"> Link to the IPPC Strategic Framework 2020-2030, as to be presented to CPM-15 (CPM 2020/08): </w:t>
      </w:r>
      <w:hyperlink r:id="rId1" w:history="1">
        <w:r w:rsidRPr="00590DB0">
          <w:rPr>
            <w:rStyle w:val="Hyperlink"/>
            <w:rFonts w:cs="Times New Roman"/>
          </w:rPr>
          <w:t>https://www.ippc.int/en/publications/88125/</w:t>
        </w:r>
      </w:hyperlink>
    </w:p>
  </w:footnote>
  <w:footnote w:id="2">
    <w:p w14:paraId="1BA46694" w14:textId="77777777" w:rsidR="00590DB0" w:rsidRPr="00590DB0" w:rsidRDefault="00590DB0">
      <w:pPr>
        <w:pStyle w:val="FootnoteText"/>
      </w:pPr>
      <w:r w:rsidRPr="00590DB0">
        <w:rPr>
          <w:rStyle w:val="FootnoteReference"/>
          <w:rFonts w:cs="Times New Roman"/>
        </w:rPr>
        <w:footnoteRef/>
      </w:r>
      <w:r w:rsidRPr="00590DB0">
        <w:rPr>
          <w:rFonts w:cs="Times New Roman"/>
        </w:rPr>
        <w:t xml:space="preserve"> 2019-08 TPDP Meeting Report (Melbourne, Australia): </w:t>
      </w:r>
      <w:hyperlink r:id="rId2" w:history="1">
        <w:r w:rsidRPr="00590DB0">
          <w:rPr>
            <w:rStyle w:val="Hyperlink"/>
            <w:rFonts w:cs="Times New Roman"/>
          </w:rPr>
          <w:t>https://www.ippc.int/en/publications/88295/</w:t>
        </w:r>
      </w:hyperlink>
      <w:r>
        <w:t xml:space="preserve"> </w:t>
      </w:r>
    </w:p>
  </w:footnote>
  <w:footnote w:id="3">
    <w:p w14:paraId="3DF4841D" w14:textId="77777777" w:rsidR="00CB2091" w:rsidRPr="005147F0" w:rsidRDefault="00CB2091" w:rsidP="00CB2091">
      <w:pPr>
        <w:pStyle w:val="FootnoteText"/>
        <w:rPr>
          <w:rFonts w:cs="Times New Roman"/>
        </w:rPr>
      </w:pPr>
      <w:r w:rsidRPr="005147F0">
        <w:rPr>
          <w:rStyle w:val="FootnoteReference"/>
          <w:rFonts w:cs="Times New Roman"/>
        </w:rPr>
        <w:footnoteRef/>
      </w:r>
      <w:r w:rsidRPr="005147F0">
        <w:rPr>
          <w:rFonts w:cs="Times New Roman"/>
        </w:rPr>
        <w:t xml:space="preserve"> Specification TP 1 - Technical Panel on Diagnostic Protocols: </w:t>
      </w:r>
      <w:hyperlink r:id="rId3" w:history="1">
        <w:r w:rsidRPr="005147F0">
          <w:rPr>
            <w:rStyle w:val="Hyperlink"/>
            <w:rFonts w:cs="Times New Roman"/>
          </w:rPr>
          <w:t>https://www.ippc.int/en/publications/1297/</w:t>
        </w:r>
      </w:hyperlink>
      <w:r w:rsidRPr="005147F0">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3BC4" w14:textId="50D88ED9" w:rsidR="00013E90" w:rsidRPr="00013E90" w:rsidRDefault="00013E90" w:rsidP="00013E90">
    <w:pPr>
      <w:pStyle w:val="IPPHeader"/>
      <w:tabs>
        <w:tab w:val="clear" w:pos="9072"/>
        <w:tab w:val="right" w:pos="9360"/>
      </w:tabs>
    </w:pPr>
    <w:r w:rsidRPr="00013E90">
      <w:t>17_SPG_2020_Oct</w:t>
    </w:r>
    <w:r w:rsidRPr="00013E90">
      <w:t xml:space="preserve"> </w:t>
    </w:r>
    <w:r>
      <w:tab/>
    </w:r>
    <w:r w:rsidRPr="00013E90">
      <w:t>Diagnostic laboratory networking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A718" w14:textId="2B4D8D85" w:rsidR="00013E90" w:rsidRDefault="00013E90" w:rsidP="00013E90">
    <w:pPr>
      <w:pStyle w:val="IPPHeader"/>
      <w:tabs>
        <w:tab w:val="clear" w:pos="9072"/>
        <w:tab w:val="right" w:pos="9360"/>
      </w:tabs>
    </w:pPr>
    <w:r w:rsidRPr="00013E90">
      <w:t>Diagnostic laboratory networking</w:t>
    </w:r>
    <w:r w:rsidRPr="00013E90">
      <w:t xml:space="preserve"> </w:t>
    </w:r>
    <w:r>
      <w:tab/>
    </w:r>
    <w:r w:rsidRPr="00013E90">
      <w:t xml:space="preserve">17_SPG_2020_Oct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0728" w14:textId="088CDBAA" w:rsidR="00013E90" w:rsidRPr="00FE6905" w:rsidRDefault="00013E90" w:rsidP="00013E90">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7E9B7B2" wp14:editId="0B09F241">
          <wp:simplePos x="0" y="0"/>
          <wp:positionH relativeFrom="margin">
            <wp:align>left</wp:align>
          </wp:positionH>
          <wp:positionV relativeFrom="margin">
            <wp:posOffset>-510015</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4C38FF68" wp14:editId="0C5CF986">
          <wp:simplePos x="0" y="0"/>
          <wp:positionH relativeFrom="column">
            <wp:posOffset>-941070</wp:posOffset>
          </wp:positionH>
          <wp:positionV relativeFrom="paragraph">
            <wp:posOffset>-647700</wp:posOffset>
          </wp:positionV>
          <wp:extent cx="8206740" cy="5232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17</w:t>
    </w:r>
    <w:r>
      <w:t>_SPG_2020_Oct</w:t>
    </w:r>
  </w:p>
  <w:p w14:paraId="700A4369" w14:textId="659BE2E7" w:rsidR="00013E90" w:rsidRPr="00013E90" w:rsidRDefault="00013E90" w:rsidP="00013E90">
    <w:pPr>
      <w:pStyle w:val="IPPHeader"/>
      <w:tabs>
        <w:tab w:val="clear" w:pos="9072"/>
        <w:tab w:val="right" w:pos="9360"/>
      </w:tabs>
      <w:rPr>
        <w:i/>
      </w:rPr>
    </w:pPr>
    <w:r w:rsidRPr="00606019">
      <w:tab/>
    </w:r>
    <w:r>
      <w:rPr>
        <w:i/>
      </w:rPr>
      <w:t>Diagnostic laboratory networking</w:t>
    </w:r>
    <w:r w:rsidRPr="00606019">
      <w:rPr>
        <w:i/>
      </w:rPr>
      <w:tab/>
    </w:r>
    <w:r>
      <w:rPr>
        <w:i/>
      </w:rPr>
      <w:t xml:space="preserve">Agenda item: </w:t>
    </w:r>
    <w:r>
      <w:rPr>
        <w:i/>
      </w:rPr>
      <w:t>04.3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E34F18"/>
    <w:multiLevelType w:val="hybridMultilevel"/>
    <w:tmpl w:val="6252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4EC333B"/>
    <w:multiLevelType w:val="hybridMultilevel"/>
    <w:tmpl w:val="3B5EE0B4"/>
    <w:lvl w:ilvl="0" w:tplc="3CEA2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CC0F0E"/>
    <w:multiLevelType w:val="multilevel"/>
    <w:tmpl w:val="8C3A2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62867"/>
    <w:multiLevelType w:val="hybridMultilevel"/>
    <w:tmpl w:val="89506412"/>
    <w:lvl w:ilvl="0" w:tplc="3CEA29C4">
      <w:numFmt w:val="bullet"/>
      <w:lvlText w:val="•"/>
      <w:lvlJc w:val="left"/>
      <w:pPr>
        <w:ind w:left="720" w:hanging="360"/>
      </w:pPr>
      <w:rPr>
        <w:rFonts w:ascii="Calibri" w:eastAsiaTheme="minorHAnsi" w:hAnsi="Calibri" w:cs="Calibri"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B7D22"/>
    <w:multiLevelType w:val="hybridMultilevel"/>
    <w:tmpl w:val="6252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5"/>
  </w:num>
  <w:num w:numId="4">
    <w:abstractNumId w:val="0"/>
  </w:num>
  <w:num w:numId="5">
    <w:abstractNumId w:val="14"/>
  </w:num>
  <w:num w:numId="6">
    <w:abstractNumId w:val="5"/>
  </w:num>
  <w:num w:numId="7">
    <w:abstractNumId w:val="13"/>
  </w:num>
  <w:num w:numId="8">
    <w:abstractNumId w:val="10"/>
  </w:num>
  <w:num w:numId="9">
    <w:abstractNumId w:val="3"/>
  </w:num>
  <w:num w:numId="10">
    <w:abstractNumId w:val="8"/>
  </w:num>
  <w:num w:numId="11">
    <w:abstractNumId w:val="11"/>
  </w:num>
  <w:num w:numId="12">
    <w:abstractNumId w:val="2"/>
  </w:num>
  <w:num w:numId="13">
    <w:abstractNumId w:val="1"/>
  </w:num>
  <w:num w:numId="14">
    <w:abstractNumId w:val="7"/>
  </w:num>
  <w:num w:numId="15">
    <w:abstractNumId w:val="16"/>
  </w:num>
  <w:num w:numId="16">
    <w:abstractNumId w:val="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72"/>
    <w:rsid w:val="00013E90"/>
    <w:rsid w:val="0006745D"/>
    <w:rsid w:val="00094BE0"/>
    <w:rsid w:val="00096A6A"/>
    <w:rsid w:val="001025A2"/>
    <w:rsid w:val="001029D3"/>
    <w:rsid w:val="00192883"/>
    <w:rsid w:val="00217F8B"/>
    <w:rsid w:val="002358C8"/>
    <w:rsid w:val="00243FCA"/>
    <w:rsid w:val="002C63B0"/>
    <w:rsid w:val="003D3E6E"/>
    <w:rsid w:val="004065B7"/>
    <w:rsid w:val="004151A3"/>
    <w:rsid w:val="004B0ACD"/>
    <w:rsid w:val="005147F0"/>
    <w:rsid w:val="00521531"/>
    <w:rsid w:val="00590DB0"/>
    <w:rsid w:val="005D478B"/>
    <w:rsid w:val="005F6A9B"/>
    <w:rsid w:val="00653D8B"/>
    <w:rsid w:val="00686BC9"/>
    <w:rsid w:val="006A2108"/>
    <w:rsid w:val="006B45C3"/>
    <w:rsid w:val="007D7532"/>
    <w:rsid w:val="008212C7"/>
    <w:rsid w:val="00896A29"/>
    <w:rsid w:val="00A061EE"/>
    <w:rsid w:val="00A755DE"/>
    <w:rsid w:val="00A812DC"/>
    <w:rsid w:val="00AB4392"/>
    <w:rsid w:val="00AC0F1D"/>
    <w:rsid w:val="00C13F3B"/>
    <w:rsid w:val="00C47E10"/>
    <w:rsid w:val="00C556F6"/>
    <w:rsid w:val="00C924FF"/>
    <w:rsid w:val="00CB2091"/>
    <w:rsid w:val="00CC4A99"/>
    <w:rsid w:val="00D05D6D"/>
    <w:rsid w:val="00D45670"/>
    <w:rsid w:val="00D52444"/>
    <w:rsid w:val="00DA5B6A"/>
    <w:rsid w:val="00DE2672"/>
    <w:rsid w:val="00DF278E"/>
    <w:rsid w:val="00E238B1"/>
    <w:rsid w:val="00E42F94"/>
    <w:rsid w:val="00EF07DB"/>
    <w:rsid w:val="00F44722"/>
    <w:rsid w:val="00FA6313"/>
    <w:rsid w:val="00FC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9E49"/>
  <w15:chartTrackingRefBased/>
  <w15:docId w15:val="{C7E215D3-8E4F-43F1-B4BC-83C7783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9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013E9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13E9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13E9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13E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E90"/>
  </w:style>
  <w:style w:type="numbering" w:customStyle="1" w:styleId="IPPParagraphnumberedlist">
    <w:name w:val="IPP Paragraph numbered list"/>
    <w:rsid w:val="00013E90"/>
    <w:pPr>
      <w:numPr>
        <w:numId w:val="1"/>
      </w:numPr>
    </w:pPr>
  </w:style>
  <w:style w:type="paragraph" w:customStyle="1" w:styleId="IPPParagraphnumbering">
    <w:name w:val="IPP Paragraph numbering"/>
    <w:basedOn w:val="IPPNormal"/>
    <w:qFormat/>
    <w:rsid w:val="00013E90"/>
    <w:pPr>
      <w:numPr>
        <w:numId w:val="2"/>
      </w:numPr>
    </w:pPr>
    <w:rPr>
      <w:lang w:val="en-US"/>
    </w:rPr>
  </w:style>
  <w:style w:type="paragraph" w:styleId="FootnoteText">
    <w:name w:val="footnote text"/>
    <w:aliases w:val="FOOTNOTES,fn,single space,Footnote Text Char1,Footnote Text Char Char,Char,Char Char,Char Char Char Char,Char Char Char Char Char Char"/>
    <w:basedOn w:val="Normal"/>
    <w:link w:val="FootnoteTextChar"/>
    <w:semiHidden/>
    <w:rsid w:val="00013E90"/>
    <w:pPr>
      <w:spacing w:before="60"/>
    </w:pPr>
    <w:rPr>
      <w:sz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
    <w:basedOn w:val="DefaultParagraphFont"/>
    <w:link w:val="FootnoteText"/>
    <w:semiHidden/>
    <w:rsid w:val="00013E90"/>
    <w:rPr>
      <w:rFonts w:ascii="Times New Roman" w:eastAsia="MS Mincho" w:hAnsi="Times New Roman"/>
      <w:sz w:val="20"/>
      <w:szCs w:val="24"/>
      <w:lang w:val="en-GB" w:eastAsia="zh-CN"/>
    </w:rPr>
  </w:style>
  <w:style w:type="character" w:styleId="FootnoteReference">
    <w:name w:val="footnote reference"/>
    <w:aliases w:val="BVI fnr Carattere Char Char Char Carattere Char Char Char Char Char Char1 Char Char Char Carattere Char Char"/>
    <w:basedOn w:val="DefaultParagraphFont"/>
    <w:link w:val="BVIfnrCarattereCharCharCharCarattereCharCharCharCharCharChar1CharCharCharCarattereChar"/>
    <w:rsid w:val="00013E90"/>
    <w:rPr>
      <w:vertAlign w:val="superscript"/>
    </w:rPr>
  </w:style>
  <w:style w:type="character" w:styleId="Hyperlink">
    <w:name w:val="Hyperlink"/>
    <w:basedOn w:val="DefaultParagraphFont"/>
    <w:uiPriority w:val="99"/>
    <w:unhideWhenUsed/>
    <w:rsid w:val="00DE2672"/>
    <w:rPr>
      <w:color w:val="0563C1" w:themeColor="hyperlink"/>
      <w:u w:val="single"/>
    </w:rPr>
  </w:style>
  <w:style w:type="paragraph" w:styleId="Header">
    <w:name w:val="header"/>
    <w:basedOn w:val="Normal"/>
    <w:link w:val="HeaderChar"/>
    <w:rsid w:val="00013E90"/>
    <w:pPr>
      <w:tabs>
        <w:tab w:val="center" w:pos="4680"/>
        <w:tab w:val="right" w:pos="9360"/>
      </w:tabs>
    </w:pPr>
  </w:style>
  <w:style w:type="character" w:customStyle="1" w:styleId="HeaderChar">
    <w:name w:val="Header Char"/>
    <w:basedOn w:val="DefaultParagraphFont"/>
    <w:link w:val="Header"/>
    <w:rsid w:val="00013E90"/>
    <w:rPr>
      <w:rFonts w:ascii="Times New Roman" w:eastAsia="MS Mincho" w:hAnsi="Times New Roman"/>
      <w:szCs w:val="24"/>
      <w:lang w:val="en-GB" w:eastAsia="zh-CN"/>
    </w:rPr>
  </w:style>
  <w:style w:type="paragraph" w:styleId="Footer">
    <w:name w:val="footer"/>
    <w:basedOn w:val="Normal"/>
    <w:link w:val="FooterChar"/>
    <w:rsid w:val="00013E90"/>
    <w:pPr>
      <w:tabs>
        <w:tab w:val="center" w:pos="4680"/>
        <w:tab w:val="right" w:pos="9360"/>
      </w:tabs>
    </w:pPr>
  </w:style>
  <w:style w:type="character" w:customStyle="1" w:styleId="FooterChar">
    <w:name w:val="Footer Char"/>
    <w:basedOn w:val="DefaultParagraphFont"/>
    <w:link w:val="Footer"/>
    <w:rsid w:val="00013E90"/>
    <w:rPr>
      <w:rFonts w:ascii="Times New Roman" w:eastAsia="MS Mincho" w:hAnsi="Times New Roman"/>
      <w:szCs w:val="24"/>
      <w:lang w:val="en-GB" w:eastAsia="zh-CN"/>
    </w:rPr>
  </w:style>
  <w:style w:type="paragraph" w:customStyle="1" w:styleId="IPPFooter">
    <w:name w:val="IPP Footer"/>
    <w:basedOn w:val="IPPHeader"/>
    <w:next w:val="PlainText"/>
    <w:qFormat/>
    <w:rsid w:val="00013E90"/>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013E9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13E90"/>
    <w:rPr>
      <w:rFonts w:ascii="Courier" w:eastAsia="Times" w:hAnsi="Courier"/>
      <w:sz w:val="21"/>
      <w:szCs w:val="21"/>
      <w:lang w:val="en-AU" w:eastAsia="zh-CN"/>
    </w:rPr>
  </w:style>
  <w:style w:type="paragraph" w:styleId="ListParagraph">
    <w:name w:val="List Paragraph"/>
    <w:basedOn w:val="Normal"/>
    <w:uiPriority w:val="34"/>
    <w:qFormat/>
    <w:rsid w:val="00013E90"/>
    <w:pPr>
      <w:spacing w:line="240" w:lineRule="atLeast"/>
      <w:ind w:leftChars="400" w:left="800"/>
    </w:pPr>
    <w:rPr>
      <w:rFonts w:ascii="Verdana" w:eastAsia="Times New Roman" w:hAnsi="Verdana"/>
      <w:sz w:val="20"/>
      <w:lang w:val="nl-NL" w:eastAsia="nl-NL"/>
    </w:rPr>
  </w:style>
  <w:style w:type="character" w:styleId="CommentReference">
    <w:name w:val="annotation reference"/>
    <w:rsid w:val="00AB4392"/>
    <w:rPr>
      <w:sz w:val="16"/>
      <w:szCs w:val="16"/>
    </w:rPr>
  </w:style>
  <w:style w:type="paragraph" w:styleId="CommentText">
    <w:name w:val="annotation text"/>
    <w:basedOn w:val="Normal"/>
    <w:link w:val="CommentTextChar"/>
    <w:rsid w:val="00AB4392"/>
    <w:rPr>
      <w:rFonts w:cs="Times New Roman"/>
      <w:sz w:val="20"/>
      <w:szCs w:val="20"/>
    </w:rPr>
  </w:style>
  <w:style w:type="character" w:customStyle="1" w:styleId="CommentTextChar">
    <w:name w:val="Comment Text Char"/>
    <w:basedOn w:val="DefaultParagraphFont"/>
    <w:link w:val="CommentText"/>
    <w:rsid w:val="00AB4392"/>
    <w:rPr>
      <w:rFonts w:ascii="Times New Roman" w:eastAsia="MS Mincho" w:hAnsi="Times New Roman" w:cs="Times New Roman"/>
      <w:sz w:val="20"/>
      <w:szCs w:val="20"/>
      <w:lang w:val="en-GB"/>
    </w:rPr>
  </w:style>
  <w:style w:type="paragraph" w:customStyle="1" w:styleId="IPPHeading1">
    <w:name w:val="IPP Heading1"/>
    <w:basedOn w:val="IPPNormal"/>
    <w:next w:val="IPPNormal"/>
    <w:qFormat/>
    <w:rsid w:val="00013E90"/>
    <w:pPr>
      <w:keepNext/>
      <w:tabs>
        <w:tab w:val="left" w:pos="567"/>
      </w:tabs>
      <w:spacing w:before="240" w:after="120"/>
      <w:ind w:left="567" w:hanging="567"/>
      <w:jc w:val="left"/>
      <w:outlineLvl w:val="1"/>
    </w:pPr>
    <w:rPr>
      <w:b/>
      <w:sz w:val="24"/>
      <w:szCs w:val="22"/>
    </w:rPr>
  </w:style>
  <w:style w:type="paragraph" w:customStyle="1" w:styleId="IPPNumberedList">
    <w:name w:val="IPP NumberedList"/>
    <w:basedOn w:val="IPPBullet1"/>
    <w:qFormat/>
    <w:rsid w:val="00013E90"/>
    <w:pPr>
      <w:numPr>
        <w:numId w:val="4"/>
      </w:numPr>
    </w:pPr>
  </w:style>
  <w:style w:type="table" w:customStyle="1" w:styleId="TableGrid2">
    <w:name w:val="Table Grid2"/>
    <w:basedOn w:val="TableNormal"/>
    <w:next w:val="TableGrid"/>
    <w:rsid w:val="00AB4392"/>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4392"/>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rsid w:val="00013E90"/>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3E90"/>
    <w:rPr>
      <w:rFonts w:ascii="Tahoma" w:hAnsi="Tahoma" w:cs="Tahoma"/>
      <w:sz w:val="16"/>
      <w:szCs w:val="16"/>
    </w:rPr>
  </w:style>
  <w:style w:type="character" w:customStyle="1" w:styleId="BalloonTextChar">
    <w:name w:val="Balloon Text Char"/>
    <w:basedOn w:val="DefaultParagraphFont"/>
    <w:link w:val="BalloonText"/>
    <w:rsid w:val="00013E90"/>
    <w:rPr>
      <w:rFonts w:ascii="Tahoma" w:eastAsia="MS Mincho" w:hAnsi="Tahoma" w:cs="Tahoma"/>
      <w:sz w:val="16"/>
      <w:szCs w:val="16"/>
      <w:lang w:val="en-GB" w:eastAsia="zh-CN"/>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C47E10"/>
    <w:pPr>
      <w:spacing w:line="240" w:lineRule="exact"/>
    </w:pPr>
    <w:rPr>
      <w:rFonts w:asciiTheme="minorHAnsi" w:eastAsiaTheme="minorHAnsi" w:hAnsiTheme="minorHAnsi"/>
      <w:szCs w:val="22"/>
      <w:vertAlign w:val="superscript"/>
      <w:lang w:val="en-US" w:eastAsia="en-US"/>
    </w:rPr>
  </w:style>
  <w:style w:type="paragraph" w:customStyle="1" w:styleId="IPPBullet2">
    <w:name w:val="IPP Bullet2"/>
    <w:basedOn w:val="IPPNormal"/>
    <w:next w:val="IPPBullet1"/>
    <w:qFormat/>
    <w:rsid w:val="00013E90"/>
    <w:pPr>
      <w:numPr>
        <w:numId w:val="7"/>
      </w:numPr>
      <w:tabs>
        <w:tab w:val="left" w:pos="1134"/>
      </w:tabs>
      <w:spacing w:after="60"/>
    </w:pPr>
  </w:style>
  <w:style w:type="paragraph" w:customStyle="1" w:styleId="IPPBullet1Last">
    <w:name w:val="IPP Bullet1Last"/>
    <w:basedOn w:val="IPPNormal"/>
    <w:next w:val="IPPNormal"/>
    <w:autoRedefine/>
    <w:qFormat/>
    <w:rsid w:val="00013E90"/>
    <w:pPr>
      <w:numPr>
        <w:numId w:val="8"/>
      </w:numPr>
    </w:pPr>
  </w:style>
  <w:style w:type="paragraph" w:customStyle="1" w:styleId="IPPParagraphnumberingclose">
    <w:name w:val="IPP Paragraph numbering close"/>
    <w:basedOn w:val="IPPParagraphnumbering"/>
    <w:qFormat/>
    <w:rsid w:val="00013E90"/>
    <w:pPr>
      <w:keepNext/>
      <w:numPr>
        <w:numId w:val="0"/>
      </w:numPr>
      <w:spacing w:after="60"/>
    </w:pPr>
  </w:style>
  <w:style w:type="paragraph" w:customStyle="1" w:styleId="IPPIndent">
    <w:name w:val="IPP Indent"/>
    <w:basedOn w:val="IPPIndentClose"/>
    <w:qFormat/>
    <w:rsid w:val="00013E90"/>
    <w:pPr>
      <w:spacing w:after="180"/>
    </w:pPr>
  </w:style>
  <w:style w:type="paragraph" w:customStyle="1" w:styleId="IPPHeading3">
    <w:name w:val="IPP Heading3"/>
    <w:basedOn w:val="IPPNormal"/>
    <w:qFormat/>
    <w:rsid w:val="00013E90"/>
    <w:pPr>
      <w:keepNext/>
      <w:tabs>
        <w:tab w:val="left" w:pos="567"/>
      </w:tabs>
      <w:spacing w:before="120" w:after="120"/>
      <w:ind w:left="567" w:hanging="567"/>
    </w:pPr>
    <w:rPr>
      <w:b/>
      <w:i/>
    </w:rPr>
  </w:style>
  <w:style w:type="paragraph" w:customStyle="1" w:styleId="IPPNumberedListLast">
    <w:name w:val="IPP NumberedListLast"/>
    <w:basedOn w:val="IPPNumberedList"/>
    <w:qFormat/>
    <w:rsid w:val="00013E90"/>
    <w:pPr>
      <w:numPr>
        <w:numId w:val="0"/>
      </w:numPr>
      <w:spacing w:after="180"/>
    </w:pPr>
  </w:style>
  <w:style w:type="paragraph" w:styleId="CommentSubject">
    <w:name w:val="annotation subject"/>
    <w:basedOn w:val="CommentText"/>
    <w:next w:val="CommentText"/>
    <w:link w:val="CommentSubjectChar"/>
    <w:uiPriority w:val="99"/>
    <w:semiHidden/>
    <w:unhideWhenUsed/>
    <w:rsid w:val="00E42F94"/>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42F94"/>
    <w:rPr>
      <w:rFonts w:ascii="Times New Roman" w:eastAsia="MS Mincho" w:hAnsi="Times New Roman" w:cs="Times New Roman"/>
      <w:b/>
      <w:bCs/>
      <w:sz w:val="20"/>
      <w:szCs w:val="20"/>
      <w:lang w:val="en-GB"/>
    </w:rPr>
  </w:style>
  <w:style w:type="character" w:styleId="FollowedHyperlink">
    <w:name w:val="FollowedHyperlink"/>
    <w:basedOn w:val="DefaultParagraphFont"/>
    <w:uiPriority w:val="99"/>
    <w:semiHidden/>
    <w:unhideWhenUsed/>
    <w:rsid w:val="00AC0F1D"/>
    <w:rPr>
      <w:color w:val="954F72" w:themeColor="followedHyperlink"/>
      <w:u w:val="single"/>
    </w:rPr>
  </w:style>
  <w:style w:type="character" w:customStyle="1" w:styleId="Heading1Char">
    <w:name w:val="Heading 1 Char"/>
    <w:basedOn w:val="DefaultParagraphFont"/>
    <w:link w:val="Heading1"/>
    <w:rsid w:val="00013E90"/>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013E9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013E90"/>
    <w:rPr>
      <w:rFonts w:ascii="Calibri" w:eastAsia="MS Mincho" w:hAnsi="Calibri"/>
      <w:b/>
      <w:bCs/>
      <w:sz w:val="26"/>
      <w:szCs w:val="26"/>
      <w:lang w:val="en-GB" w:eastAsia="zh-CN"/>
    </w:rPr>
  </w:style>
  <w:style w:type="paragraph" w:customStyle="1" w:styleId="Style">
    <w:name w:val="Style"/>
    <w:basedOn w:val="Footer"/>
    <w:autoRedefine/>
    <w:qFormat/>
    <w:rsid w:val="00013E9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13E90"/>
    <w:rPr>
      <w:rFonts w:ascii="Arial" w:hAnsi="Arial"/>
      <w:b/>
      <w:sz w:val="18"/>
    </w:rPr>
  </w:style>
  <w:style w:type="paragraph" w:customStyle="1" w:styleId="IPPArialFootnote">
    <w:name w:val="IPP Arial Footnote"/>
    <w:basedOn w:val="IPPArialTable"/>
    <w:qFormat/>
    <w:rsid w:val="00013E90"/>
    <w:pPr>
      <w:tabs>
        <w:tab w:val="left" w:pos="28"/>
      </w:tabs>
      <w:ind w:left="284" w:hanging="284"/>
    </w:pPr>
    <w:rPr>
      <w:sz w:val="16"/>
    </w:rPr>
  </w:style>
  <w:style w:type="paragraph" w:customStyle="1" w:styleId="IPPContentsHead">
    <w:name w:val="IPP ContentsHead"/>
    <w:basedOn w:val="IPPSubhead"/>
    <w:next w:val="IPPNormal"/>
    <w:qFormat/>
    <w:rsid w:val="00013E90"/>
    <w:pPr>
      <w:spacing w:after="240"/>
    </w:pPr>
    <w:rPr>
      <w:sz w:val="24"/>
    </w:rPr>
  </w:style>
  <w:style w:type="paragraph" w:customStyle="1" w:styleId="IPPQuote">
    <w:name w:val="IPP Quote"/>
    <w:basedOn w:val="IPPNormal"/>
    <w:qFormat/>
    <w:rsid w:val="00013E90"/>
    <w:pPr>
      <w:ind w:left="851" w:right="851"/>
    </w:pPr>
    <w:rPr>
      <w:sz w:val="18"/>
    </w:rPr>
  </w:style>
  <w:style w:type="paragraph" w:customStyle="1" w:styleId="IPPNormal">
    <w:name w:val="IPP Normal"/>
    <w:basedOn w:val="Normal"/>
    <w:link w:val="IPPNormalChar"/>
    <w:qFormat/>
    <w:rsid w:val="00013E90"/>
    <w:pPr>
      <w:spacing w:after="180"/>
    </w:pPr>
    <w:rPr>
      <w:rFonts w:eastAsia="Times"/>
    </w:rPr>
  </w:style>
  <w:style w:type="paragraph" w:customStyle="1" w:styleId="IPPIndentClose">
    <w:name w:val="IPP Indent Close"/>
    <w:basedOn w:val="IPPNormal"/>
    <w:qFormat/>
    <w:rsid w:val="00013E90"/>
    <w:pPr>
      <w:tabs>
        <w:tab w:val="left" w:pos="2835"/>
      </w:tabs>
      <w:spacing w:after="60"/>
      <w:ind w:left="567"/>
    </w:pPr>
  </w:style>
  <w:style w:type="paragraph" w:customStyle="1" w:styleId="IPPFootnote">
    <w:name w:val="IPP Footnote"/>
    <w:basedOn w:val="IPPArialFootnote"/>
    <w:qFormat/>
    <w:rsid w:val="00013E90"/>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013E90"/>
    <w:rPr>
      <w:rFonts w:ascii="Times New Roman" w:hAnsi="Times New Roman"/>
      <w:i/>
      <w:sz w:val="22"/>
      <w:lang w:val="en-US"/>
    </w:rPr>
  </w:style>
  <w:style w:type="character" w:customStyle="1" w:styleId="IPPNormalbold">
    <w:name w:val="IPP Normal bold"/>
    <w:basedOn w:val="PlainTextChar"/>
    <w:rsid w:val="00013E9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013E90"/>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013E90"/>
    <w:pPr>
      <w:keepNext/>
      <w:ind w:left="567" w:hanging="567"/>
      <w:jc w:val="left"/>
    </w:pPr>
    <w:rPr>
      <w:b/>
      <w:bCs/>
      <w:iCs/>
      <w:szCs w:val="22"/>
    </w:rPr>
  </w:style>
  <w:style w:type="character" w:customStyle="1" w:styleId="IPPNormalunderlined">
    <w:name w:val="IPP Normal underlined"/>
    <w:basedOn w:val="DefaultParagraphFont"/>
    <w:rsid w:val="00013E90"/>
    <w:rPr>
      <w:rFonts w:ascii="Times New Roman" w:hAnsi="Times New Roman"/>
      <w:sz w:val="22"/>
      <w:u w:val="single"/>
      <w:lang w:val="en-US"/>
    </w:rPr>
  </w:style>
  <w:style w:type="paragraph" w:customStyle="1" w:styleId="IPPBullet1">
    <w:name w:val="IPP Bullet1"/>
    <w:basedOn w:val="IPPBullet1Last"/>
    <w:qFormat/>
    <w:rsid w:val="00013E90"/>
    <w:pPr>
      <w:numPr>
        <w:numId w:val="18"/>
      </w:numPr>
      <w:spacing w:after="60"/>
    </w:pPr>
    <w:rPr>
      <w:lang w:val="en-US"/>
    </w:rPr>
  </w:style>
  <w:style w:type="character" w:customStyle="1" w:styleId="IPPNormalstrikethrough">
    <w:name w:val="IPP Normal strikethrough"/>
    <w:rsid w:val="00013E90"/>
    <w:rPr>
      <w:rFonts w:ascii="Times New Roman" w:hAnsi="Times New Roman"/>
      <w:strike/>
      <w:dstrike w:val="0"/>
      <w:sz w:val="22"/>
    </w:rPr>
  </w:style>
  <w:style w:type="paragraph" w:customStyle="1" w:styleId="IPPTitle16pt">
    <w:name w:val="IPP Title16pt"/>
    <w:basedOn w:val="Normal"/>
    <w:qFormat/>
    <w:rsid w:val="00013E9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13E90"/>
    <w:pPr>
      <w:spacing w:after="360"/>
      <w:jc w:val="center"/>
    </w:pPr>
    <w:rPr>
      <w:rFonts w:ascii="Arial" w:hAnsi="Arial" w:cs="Arial"/>
      <w:b/>
      <w:bCs/>
      <w:sz w:val="36"/>
      <w:szCs w:val="36"/>
    </w:rPr>
  </w:style>
  <w:style w:type="paragraph" w:customStyle="1" w:styleId="IPPHeader">
    <w:name w:val="IPP Header"/>
    <w:basedOn w:val="Normal"/>
    <w:qFormat/>
    <w:rsid w:val="00013E9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13E90"/>
    <w:pPr>
      <w:keepNext/>
      <w:tabs>
        <w:tab w:val="left" w:pos="567"/>
      </w:tabs>
      <w:spacing w:before="120"/>
      <w:jc w:val="left"/>
      <w:outlineLvl w:val="1"/>
    </w:pPr>
    <w:rPr>
      <w:b/>
      <w:sz w:val="24"/>
    </w:rPr>
  </w:style>
  <w:style w:type="paragraph" w:customStyle="1" w:styleId="IPPNormalCloseSpace">
    <w:name w:val="IPP NormalCloseSpace"/>
    <w:basedOn w:val="Normal"/>
    <w:qFormat/>
    <w:rsid w:val="00013E90"/>
    <w:pPr>
      <w:keepNext/>
      <w:spacing w:after="60"/>
    </w:pPr>
  </w:style>
  <w:style w:type="paragraph" w:customStyle="1" w:styleId="IPPHeading2">
    <w:name w:val="IPP Heading2"/>
    <w:basedOn w:val="IPPNormal"/>
    <w:next w:val="IPPNormal"/>
    <w:qFormat/>
    <w:rsid w:val="00013E90"/>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013E90"/>
    <w:pPr>
      <w:tabs>
        <w:tab w:val="right" w:leader="dot" w:pos="9072"/>
      </w:tabs>
      <w:spacing w:before="240"/>
      <w:ind w:left="567" w:hanging="567"/>
    </w:pPr>
  </w:style>
  <w:style w:type="paragraph" w:styleId="TOC2">
    <w:name w:val="toc 2"/>
    <w:basedOn w:val="TOC1"/>
    <w:next w:val="Normal"/>
    <w:autoRedefine/>
    <w:uiPriority w:val="39"/>
    <w:rsid w:val="00013E90"/>
    <w:pPr>
      <w:keepNext w:val="0"/>
      <w:tabs>
        <w:tab w:val="left" w:pos="425"/>
      </w:tabs>
      <w:spacing w:before="120" w:after="0"/>
      <w:ind w:left="425" w:right="284" w:hanging="425"/>
    </w:pPr>
  </w:style>
  <w:style w:type="paragraph" w:styleId="TOC3">
    <w:name w:val="toc 3"/>
    <w:basedOn w:val="TOC2"/>
    <w:next w:val="Normal"/>
    <w:autoRedefine/>
    <w:uiPriority w:val="39"/>
    <w:rsid w:val="00013E90"/>
    <w:pPr>
      <w:tabs>
        <w:tab w:val="left" w:pos="1276"/>
      </w:tabs>
      <w:spacing w:before="60"/>
      <w:ind w:left="1276" w:hanging="851"/>
    </w:pPr>
    <w:rPr>
      <w:rFonts w:eastAsia="Times"/>
    </w:rPr>
  </w:style>
  <w:style w:type="paragraph" w:styleId="TOC4">
    <w:name w:val="toc 4"/>
    <w:basedOn w:val="Normal"/>
    <w:next w:val="Normal"/>
    <w:autoRedefine/>
    <w:uiPriority w:val="39"/>
    <w:rsid w:val="00013E90"/>
    <w:pPr>
      <w:spacing w:after="120"/>
      <w:ind w:left="660"/>
    </w:pPr>
    <w:rPr>
      <w:rFonts w:eastAsia="Times"/>
      <w:lang w:val="en-AU"/>
    </w:rPr>
  </w:style>
  <w:style w:type="paragraph" w:styleId="TOC5">
    <w:name w:val="toc 5"/>
    <w:basedOn w:val="Normal"/>
    <w:next w:val="Normal"/>
    <w:autoRedefine/>
    <w:uiPriority w:val="39"/>
    <w:rsid w:val="00013E90"/>
    <w:pPr>
      <w:spacing w:after="120"/>
      <w:ind w:left="880"/>
    </w:pPr>
    <w:rPr>
      <w:rFonts w:eastAsia="Times"/>
      <w:lang w:val="en-AU"/>
    </w:rPr>
  </w:style>
  <w:style w:type="paragraph" w:styleId="TOC6">
    <w:name w:val="toc 6"/>
    <w:basedOn w:val="Normal"/>
    <w:next w:val="Normal"/>
    <w:autoRedefine/>
    <w:uiPriority w:val="39"/>
    <w:rsid w:val="00013E90"/>
    <w:pPr>
      <w:spacing w:after="120"/>
      <w:ind w:left="1100"/>
    </w:pPr>
    <w:rPr>
      <w:rFonts w:eastAsia="Times"/>
      <w:lang w:val="en-AU"/>
    </w:rPr>
  </w:style>
  <w:style w:type="paragraph" w:styleId="TOC7">
    <w:name w:val="toc 7"/>
    <w:basedOn w:val="Normal"/>
    <w:next w:val="Normal"/>
    <w:autoRedefine/>
    <w:uiPriority w:val="39"/>
    <w:rsid w:val="00013E90"/>
    <w:pPr>
      <w:spacing w:after="120"/>
      <w:ind w:left="1320"/>
    </w:pPr>
    <w:rPr>
      <w:rFonts w:eastAsia="Times"/>
      <w:lang w:val="en-AU"/>
    </w:rPr>
  </w:style>
  <w:style w:type="paragraph" w:styleId="TOC8">
    <w:name w:val="toc 8"/>
    <w:basedOn w:val="Normal"/>
    <w:next w:val="Normal"/>
    <w:autoRedefine/>
    <w:uiPriority w:val="39"/>
    <w:rsid w:val="00013E90"/>
    <w:pPr>
      <w:spacing w:after="120"/>
      <w:ind w:left="1540"/>
    </w:pPr>
    <w:rPr>
      <w:rFonts w:eastAsia="Times"/>
      <w:lang w:val="en-AU"/>
    </w:rPr>
  </w:style>
  <w:style w:type="paragraph" w:styleId="TOC9">
    <w:name w:val="toc 9"/>
    <w:basedOn w:val="Normal"/>
    <w:next w:val="Normal"/>
    <w:autoRedefine/>
    <w:uiPriority w:val="39"/>
    <w:rsid w:val="00013E90"/>
    <w:pPr>
      <w:spacing w:after="120"/>
      <w:ind w:left="1760"/>
    </w:pPr>
    <w:rPr>
      <w:rFonts w:eastAsia="Times"/>
      <w:lang w:val="en-AU"/>
    </w:rPr>
  </w:style>
  <w:style w:type="paragraph" w:customStyle="1" w:styleId="IPPReferences">
    <w:name w:val="IPP References"/>
    <w:basedOn w:val="IPPNormal"/>
    <w:qFormat/>
    <w:rsid w:val="00013E90"/>
    <w:pPr>
      <w:spacing w:after="60"/>
      <w:ind w:left="567" w:hanging="567"/>
    </w:pPr>
  </w:style>
  <w:style w:type="paragraph" w:customStyle="1" w:styleId="IPPArial">
    <w:name w:val="IPP Arial"/>
    <w:basedOn w:val="IPPNormal"/>
    <w:qFormat/>
    <w:rsid w:val="00013E90"/>
    <w:pPr>
      <w:spacing w:after="0"/>
    </w:pPr>
    <w:rPr>
      <w:rFonts w:ascii="Arial" w:hAnsi="Arial"/>
      <w:sz w:val="18"/>
    </w:rPr>
  </w:style>
  <w:style w:type="paragraph" w:customStyle="1" w:styleId="IPPArialTable">
    <w:name w:val="IPP Arial Table"/>
    <w:basedOn w:val="IPPArial"/>
    <w:qFormat/>
    <w:rsid w:val="00013E90"/>
    <w:pPr>
      <w:spacing w:before="60" w:after="60"/>
      <w:jc w:val="left"/>
    </w:pPr>
  </w:style>
  <w:style w:type="paragraph" w:customStyle="1" w:styleId="IPPHeaderlandscape">
    <w:name w:val="IPP Header landscape"/>
    <w:basedOn w:val="IPPHeader"/>
    <w:qFormat/>
    <w:rsid w:val="00013E90"/>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013E90"/>
    <w:pPr>
      <w:numPr>
        <w:numId w:val="11"/>
      </w:numPr>
      <w:jc w:val="left"/>
    </w:pPr>
  </w:style>
  <w:style w:type="paragraph" w:customStyle="1" w:styleId="IPPLetterListIndent">
    <w:name w:val="IPP LetterList Indent"/>
    <w:basedOn w:val="IPPLetterList"/>
    <w:qFormat/>
    <w:rsid w:val="00013E90"/>
    <w:pPr>
      <w:numPr>
        <w:numId w:val="12"/>
      </w:numPr>
    </w:pPr>
  </w:style>
  <w:style w:type="paragraph" w:customStyle="1" w:styleId="IPPFooterLandscape">
    <w:name w:val="IPP Footer Landscape"/>
    <w:basedOn w:val="IPPHeaderlandscape"/>
    <w:qFormat/>
    <w:rsid w:val="00013E90"/>
    <w:pPr>
      <w:pBdr>
        <w:top w:val="single" w:sz="4" w:space="1" w:color="auto"/>
        <w:bottom w:val="none" w:sz="0" w:space="0" w:color="auto"/>
      </w:pBdr>
      <w:jc w:val="right"/>
    </w:pPr>
    <w:rPr>
      <w:b/>
    </w:rPr>
  </w:style>
  <w:style w:type="paragraph" w:customStyle="1" w:styleId="IPPSubheadSpace">
    <w:name w:val="IPP Subhead Space"/>
    <w:basedOn w:val="IPPSubhead"/>
    <w:qFormat/>
    <w:rsid w:val="00013E90"/>
    <w:pPr>
      <w:tabs>
        <w:tab w:val="left" w:pos="567"/>
      </w:tabs>
      <w:spacing w:before="60" w:after="60"/>
    </w:pPr>
  </w:style>
  <w:style w:type="paragraph" w:customStyle="1" w:styleId="IPPSubheadSpaceAfter">
    <w:name w:val="IPP Subhead SpaceAfter"/>
    <w:basedOn w:val="IPPSubhead"/>
    <w:qFormat/>
    <w:rsid w:val="00013E90"/>
    <w:pPr>
      <w:spacing w:after="60"/>
    </w:pPr>
  </w:style>
  <w:style w:type="paragraph" w:customStyle="1" w:styleId="IPPHdg1Num">
    <w:name w:val="IPP Hdg1Num"/>
    <w:basedOn w:val="IPPHeading1"/>
    <w:next w:val="IPPNormal"/>
    <w:qFormat/>
    <w:rsid w:val="00013E90"/>
    <w:pPr>
      <w:numPr>
        <w:numId w:val="14"/>
      </w:numPr>
    </w:pPr>
  </w:style>
  <w:style w:type="paragraph" w:customStyle="1" w:styleId="IPPHdg2Num">
    <w:name w:val="IPP Hdg2Num"/>
    <w:basedOn w:val="IPPHeading2"/>
    <w:next w:val="IPPNormal"/>
    <w:qFormat/>
    <w:rsid w:val="00013E90"/>
    <w:pPr>
      <w:numPr>
        <w:ilvl w:val="1"/>
        <w:numId w:val="15"/>
      </w:numPr>
    </w:pPr>
  </w:style>
  <w:style w:type="character" w:styleId="Strong">
    <w:name w:val="Strong"/>
    <w:basedOn w:val="DefaultParagraphFont"/>
    <w:qFormat/>
    <w:rsid w:val="00013E90"/>
    <w:rPr>
      <w:b/>
      <w:bCs/>
    </w:rPr>
  </w:style>
  <w:style w:type="paragraph" w:customStyle="1" w:styleId="IPPPargraphnumbering">
    <w:name w:val="IPP Pargraph numbering"/>
    <w:basedOn w:val="IPPNormal"/>
    <w:qFormat/>
    <w:rsid w:val="00013E90"/>
    <w:pPr>
      <w:tabs>
        <w:tab w:val="num" w:pos="360"/>
      </w:tabs>
    </w:pPr>
    <w:rPr>
      <w:rFonts w:cs="Times New Roman"/>
      <w:lang w:val="en-US"/>
    </w:rPr>
  </w:style>
  <w:style w:type="character" w:customStyle="1" w:styleId="IPPNormalChar">
    <w:name w:val="IPP Normal Char"/>
    <w:link w:val="IPPNormal"/>
    <w:rsid w:val="00013E90"/>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246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ppc.int/en/publications/8607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static/media/files/publication/en/2020/04/Report_TPDP_2019_Aug_2020-04-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ppc.int/en/core-activities/standards-setting/standards-commit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core-activities/standards-setting/expert-drafting-groups/technical-panels/technical-panel-diagnostic-protocol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1297/" TargetMode="External"/><Relationship Id="rId2" Type="http://schemas.openxmlformats.org/officeDocument/2006/relationships/hyperlink" Target="https://www.ippc.int/en/publications/88295/" TargetMode="External"/><Relationship Id="rId1" Type="http://schemas.openxmlformats.org/officeDocument/2006/relationships/hyperlink" Target="https://www.ippc.int/en/publications/8812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90AE-39FC-41D5-AF3D-CEA34A05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(AGDD)</dc:creator>
  <cp:keywords/>
  <dc:description/>
  <cp:lastModifiedBy>Lahti, Tanja (AGDD)</cp:lastModifiedBy>
  <cp:revision>3</cp:revision>
  <dcterms:created xsi:type="dcterms:W3CDTF">2020-09-29T14:03:00Z</dcterms:created>
  <dcterms:modified xsi:type="dcterms:W3CDTF">2020-09-29T15:33:00Z</dcterms:modified>
</cp:coreProperties>
</file>