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F39" w:rsidRDefault="00962D3B" w:rsidP="00C25367">
      <w:pPr>
        <w:pStyle w:val="IPPHeadSection"/>
        <w:jc w:val="center"/>
      </w:pPr>
      <w:r w:rsidRPr="00962D3B">
        <w:t>Resource mobilization</w:t>
      </w:r>
    </w:p>
    <w:p w:rsidR="003227A1" w:rsidRDefault="003227A1" w:rsidP="003227A1">
      <w:pPr>
        <w:jc w:val="center"/>
        <w:rPr>
          <w:i/>
        </w:rPr>
      </w:pPr>
      <w:r>
        <w:rPr>
          <w:i/>
        </w:rPr>
        <w:t>Prepared by the IPPC Secretariat and the FC Chairperson</w:t>
      </w:r>
    </w:p>
    <w:p w:rsidR="003227A1" w:rsidRPr="003227A1" w:rsidRDefault="003227A1" w:rsidP="003227A1">
      <w:bookmarkStart w:id="0" w:name="_GoBack"/>
      <w:bookmarkEnd w:id="0"/>
    </w:p>
    <w:p w:rsidR="00962D3B" w:rsidRPr="00962D3B" w:rsidRDefault="00C25367" w:rsidP="00C25367">
      <w:pPr>
        <w:pStyle w:val="IPPHeading1"/>
      </w:pPr>
      <w:r>
        <w:t>1.</w:t>
      </w:r>
      <w:r>
        <w:tab/>
      </w:r>
      <w:r w:rsidR="00962D3B" w:rsidRPr="00962D3B">
        <w:t>Background and introduction</w:t>
      </w:r>
    </w:p>
    <w:p w:rsidR="006E2715" w:rsidRPr="00962D3B" w:rsidRDefault="00A52BA9" w:rsidP="00C25367">
      <w:pPr>
        <w:pStyle w:val="IPPParagraphnumbering"/>
      </w:pPr>
      <w:r w:rsidRPr="00962D3B">
        <w:t>Adopted by CPM-7 in March 2012, IPPC Resource mobilization strategy (</w:t>
      </w:r>
      <w:hyperlink r:id="rId7" w:history="1">
        <w:r w:rsidRPr="00962D3B">
          <w:rPr>
            <w:rStyle w:val="Hyperlink"/>
            <w:rFonts w:cs="Times New Roman"/>
            <w:sz w:val="24"/>
            <w:lang w:val="en-GB"/>
          </w:rPr>
          <w:t>https://www.ippc.int/en/publications/572/</w:t>
        </w:r>
      </w:hyperlink>
      <w:r w:rsidRPr="00962D3B">
        <w:t xml:space="preserve">) has guided IPPC Secretariat resource mobilization efforts ever since. </w:t>
      </w:r>
      <w:r w:rsidR="003E39A8" w:rsidRPr="003E39A8">
        <w:t>This resource strategy expires at the end of 2021.</w:t>
      </w:r>
    </w:p>
    <w:p w:rsidR="00A52BA9" w:rsidRPr="00962D3B" w:rsidRDefault="00A52BA9" w:rsidP="00C25367">
      <w:pPr>
        <w:pStyle w:val="IPPParagraphnumbering"/>
      </w:pPr>
      <w:r w:rsidRPr="00962D3B">
        <w:t>Since its adoption</w:t>
      </w:r>
      <w:r w:rsidR="00E1500E">
        <w:t>,</w:t>
      </w:r>
      <w:r w:rsidRPr="00962D3B">
        <w:t xml:space="preserve"> all source</w:t>
      </w:r>
      <w:r w:rsidR="00E1500E">
        <w:t>s</w:t>
      </w:r>
      <w:r w:rsidRPr="00962D3B">
        <w:t xml:space="preserve"> of funding for the IPPC Secretariat have increased. In 2019, FAO Council approved </w:t>
      </w:r>
      <w:r w:rsidR="003E39A8">
        <w:t xml:space="preserve">an </w:t>
      </w:r>
      <w:r w:rsidRPr="00962D3B">
        <w:t xml:space="preserve">increase of the Regular programme budget given by FAO to the IPPC Secretariat from USD 5.9 million to USD 6.9 for the 2020-2021 biennium. This came after enormous effort by IPPC Contracting parties to ensure sustainable funding of the IPPC Secretariat. </w:t>
      </w:r>
      <w:r w:rsidR="003E39A8" w:rsidRPr="003E39A8">
        <w:t xml:space="preserve">It is uncertain whether this increase will remain </w:t>
      </w:r>
      <w:r w:rsidR="003E39A8">
        <w:t>a permanent addition to future R</w:t>
      </w:r>
      <w:r w:rsidR="003E39A8" w:rsidRPr="003E39A8">
        <w:t>egular program</w:t>
      </w:r>
      <w:r w:rsidR="003E39A8">
        <w:t>me</w:t>
      </w:r>
      <w:r w:rsidR="003E39A8" w:rsidRPr="003E39A8">
        <w:t xml:space="preserve"> allocations to the </w:t>
      </w:r>
      <w:r w:rsidR="003E39A8">
        <w:t>IPPC</w:t>
      </w:r>
      <w:r w:rsidR="003E39A8" w:rsidRPr="003E39A8">
        <w:t>.</w:t>
      </w:r>
    </w:p>
    <w:p w:rsidR="00962D3B" w:rsidRDefault="00A52BA9" w:rsidP="00C25367">
      <w:pPr>
        <w:pStyle w:val="IPPParagraphnumbering"/>
      </w:pPr>
      <w:r w:rsidRPr="00962D3B">
        <w:t>Throughout the implementation of the strategy, IPPC Multi-donor trust fund annual contribution</w:t>
      </w:r>
      <w:r w:rsidR="00E1500E">
        <w:t>s</w:t>
      </w:r>
      <w:r w:rsidRPr="00962D3B">
        <w:t xml:space="preserve"> increased from approximately USD 300,000 in 2012 to USD 1.2 million in 2019</w:t>
      </w:r>
      <w:r w:rsidR="00984F39">
        <w:t>.</w:t>
      </w:r>
    </w:p>
    <w:p w:rsidR="00A52BA9" w:rsidRPr="00962D3B" w:rsidRDefault="00A52BA9" w:rsidP="00C25367">
      <w:pPr>
        <w:pStyle w:val="IPPParagraphnumbering"/>
      </w:pPr>
      <w:r w:rsidRPr="003E39A8">
        <w:t>IPPC Projects also increased from approximately USD 500,000 per annum in 2012 to almost USD 2 million per annum in 2019.</w:t>
      </w:r>
      <w:r w:rsidRPr="00962D3B">
        <w:t xml:space="preserve"> </w:t>
      </w:r>
      <w:r w:rsidR="003E39A8">
        <w:t xml:space="preserve">IPPC Projects play a key role in delivery of the IPPC Work programme by allowing Contracting parties and international organization to fund specific set of activities towards a certain goal (e.g. EU support to standard setting, capacity </w:t>
      </w:r>
      <w:r w:rsidR="00984F39">
        <w:t xml:space="preserve">development and ePhyto). Each project has its own logical framework, timeline and budget. </w:t>
      </w:r>
    </w:p>
    <w:p w:rsidR="00A52BA9" w:rsidRDefault="00A52BA9" w:rsidP="00C25367">
      <w:pPr>
        <w:pStyle w:val="IPPParagraphnumbering"/>
      </w:pPr>
      <w:r w:rsidRPr="00962D3B">
        <w:t>In-kind contribution</w:t>
      </w:r>
      <w:r w:rsidR="00E1500E">
        <w:t>s</w:t>
      </w:r>
      <w:r w:rsidRPr="00962D3B">
        <w:t xml:space="preserve">, while virtually non-existent in 2012, reached a level of USD 1 million in 2019. This includes contributions from Contracting parties in both staff time and support of various meetings and other programmes. </w:t>
      </w:r>
    </w:p>
    <w:p w:rsidR="00962D3B" w:rsidRDefault="003E39A8" w:rsidP="00C25367">
      <w:pPr>
        <w:pStyle w:val="IPPParagraphnumbering"/>
      </w:pPr>
      <w:r>
        <w:t>These</w:t>
      </w:r>
      <w:r w:rsidR="00962D3B">
        <w:t xml:space="preserve"> quantifiable achievements point out to a successful implementation of the IPPC </w:t>
      </w:r>
      <w:r w:rsidR="00962D3B" w:rsidRPr="00962D3B">
        <w:t>Resource mobilization strategy</w:t>
      </w:r>
      <w:r w:rsidR="00962D3B">
        <w:t xml:space="preserve"> for the last 10-year period (please see </w:t>
      </w:r>
      <w:r w:rsidR="00962D3B" w:rsidRPr="00E1500E">
        <w:rPr>
          <w:b/>
        </w:rPr>
        <w:t>Table 1</w:t>
      </w:r>
      <w:r w:rsidR="00962D3B">
        <w:t xml:space="preserve"> for more details on achievements). </w:t>
      </w:r>
    </w:p>
    <w:p w:rsidR="00962D3B" w:rsidRDefault="003E39A8" w:rsidP="00C25367">
      <w:pPr>
        <w:pStyle w:val="IPPParagraphnumbering"/>
      </w:pPr>
      <w:r>
        <w:t>As</w:t>
      </w:r>
      <w:r w:rsidRPr="003E39A8">
        <w:t xml:space="preserve"> IPPC approaches 2021 and the expiration of the current </w:t>
      </w:r>
      <w:r>
        <w:t>s</w:t>
      </w:r>
      <w:r w:rsidRPr="003E39A8">
        <w:t>trategy, funding realities and circumstances are not expected to be the same they were this past decade.</w:t>
      </w:r>
    </w:p>
    <w:p w:rsidR="003E39A8" w:rsidRDefault="003E39A8" w:rsidP="00C25367">
      <w:pPr>
        <w:pStyle w:val="IPPParagraphnumbering"/>
      </w:pPr>
      <w:r w:rsidRPr="003E39A8">
        <w:t xml:space="preserve">National governments are facing national challenges significantly heightened by the </w:t>
      </w:r>
      <w:r>
        <w:t>COVID-19 pandemic. In this “new world” the CPM and IPPC S</w:t>
      </w:r>
      <w:r w:rsidRPr="003E39A8">
        <w:t>ecretariat have to find alternative ways to secure funding for its core work (standard setting and implementation) and other strategic initiatives identified in the new 10-year strategic framework.</w:t>
      </w:r>
    </w:p>
    <w:p w:rsidR="003E39A8" w:rsidRDefault="003E39A8" w:rsidP="00C25367">
      <w:pPr>
        <w:pStyle w:val="IPPParagraphnumbering"/>
      </w:pPr>
      <w:r>
        <w:t>T</w:t>
      </w:r>
      <w:r w:rsidRPr="003E39A8">
        <w:t>his paper repo</w:t>
      </w:r>
      <w:r>
        <w:t>rts the achievements of the IPPC R</w:t>
      </w:r>
      <w:r w:rsidRPr="003E39A8">
        <w:t>esource mobilization strategy for 2012-2021 and seeks to open a fresh discussion on the way forward, possibly leading to a new funding strategy for 2022-2031.</w:t>
      </w:r>
    </w:p>
    <w:p w:rsidR="00962D3B" w:rsidRPr="00AB0E09" w:rsidRDefault="00962D3B" w:rsidP="00263002">
      <w:pPr>
        <w:pStyle w:val="IPPParagraphnumbering"/>
      </w:pPr>
      <w:r w:rsidRPr="00AB0E09">
        <w:t>The Bureau/S</w:t>
      </w:r>
      <w:r w:rsidR="003E39A8">
        <w:t>PG are</w:t>
      </w:r>
      <w:r w:rsidRPr="00AB0E09">
        <w:t xml:space="preserve"> invited to:</w:t>
      </w:r>
    </w:p>
    <w:p w:rsidR="00962D3B" w:rsidRDefault="00962D3B" w:rsidP="00263002">
      <w:pPr>
        <w:pStyle w:val="IPPNumberedList"/>
      </w:pPr>
      <w:r w:rsidRPr="00962D3B">
        <w:rPr>
          <w:i/>
        </w:rPr>
        <w:t>Reflect</w:t>
      </w:r>
      <w:r>
        <w:t xml:space="preserve"> and </w:t>
      </w:r>
      <w:r w:rsidRPr="00962D3B">
        <w:rPr>
          <w:i/>
        </w:rPr>
        <w:t>note</w:t>
      </w:r>
      <w:r>
        <w:t xml:space="preserve"> the achievements made through the implementation of the IPPC Resource mobilization strategy for 2012-2021</w:t>
      </w:r>
      <w:r w:rsidR="003E39A8">
        <w:t>, as well as reflect on the lessons learned</w:t>
      </w:r>
    </w:p>
    <w:p w:rsidR="00962D3B" w:rsidRPr="00962D3B" w:rsidRDefault="00962D3B" w:rsidP="00263002">
      <w:pPr>
        <w:pStyle w:val="IPPNumberedList"/>
      </w:pPr>
      <w:r w:rsidRPr="00962D3B">
        <w:rPr>
          <w:i/>
        </w:rPr>
        <w:t>Propose</w:t>
      </w:r>
      <w:r>
        <w:t xml:space="preserve"> new way</w:t>
      </w:r>
      <w:r w:rsidR="00984F39">
        <w:t>s</w:t>
      </w:r>
      <w:r>
        <w:t xml:space="preserve"> forward </w:t>
      </w:r>
      <w:r w:rsidR="003E39A8">
        <w:t>for updating</w:t>
      </w:r>
      <w:r>
        <w:t xml:space="preserve"> IPPC Resource mobilization strategy for 2022-2031.</w:t>
      </w:r>
    </w:p>
    <w:p w:rsidR="005436AC" w:rsidRDefault="005436AC">
      <w:pPr>
        <w:rPr>
          <w:rFonts w:cs="Times New Roman"/>
          <w:sz w:val="24"/>
        </w:rPr>
        <w:sectPr w:rsidR="005436AC" w:rsidSect="00263002">
          <w:footerReference w:type="default" r:id="rId8"/>
          <w:headerReference w:type="first" r:id="rId9"/>
          <w:footerReference w:type="first" r:id="rId10"/>
          <w:pgSz w:w="12240" w:h="15840"/>
          <w:pgMar w:top="900" w:right="1440" w:bottom="900" w:left="1440" w:header="720" w:footer="720" w:gutter="0"/>
          <w:cols w:space="720"/>
          <w:titlePg/>
          <w:docGrid w:linePitch="360"/>
        </w:sectPr>
      </w:pPr>
    </w:p>
    <w:tbl>
      <w:tblPr>
        <w:tblW w:w="13683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900"/>
        <w:gridCol w:w="188"/>
        <w:gridCol w:w="5657"/>
        <w:gridCol w:w="6750"/>
        <w:gridCol w:w="13"/>
        <w:gridCol w:w="175"/>
      </w:tblGrid>
      <w:tr w:rsidR="005436AC" w:rsidRPr="00263002" w:rsidTr="00AB0E09">
        <w:trPr>
          <w:trHeight w:val="300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AC" w:rsidRPr="00263002" w:rsidRDefault="005436AC" w:rsidP="00263002">
            <w:pPr>
              <w:pStyle w:val="IPPArialTable"/>
              <w:rPr>
                <w:rFonts w:cs="Arial"/>
                <w:b/>
                <w:szCs w:val="18"/>
              </w:rPr>
            </w:pPr>
            <w:r w:rsidRPr="00263002">
              <w:rPr>
                <w:rFonts w:cs="Arial"/>
                <w:b/>
                <w:szCs w:val="18"/>
              </w:rPr>
              <w:lastRenderedPageBreak/>
              <w:t xml:space="preserve">Table 1. </w:t>
            </w:r>
          </w:p>
        </w:tc>
        <w:tc>
          <w:tcPr>
            <w:tcW w:w="12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AC" w:rsidRPr="00263002" w:rsidRDefault="005436AC" w:rsidP="00263002">
            <w:pPr>
              <w:pStyle w:val="IPPArialTable"/>
              <w:rPr>
                <w:rFonts w:cs="Arial"/>
                <w:b/>
                <w:szCs w:val="18"/>
              </w:rPr>
            </w:pPr>
            <w:r w:rsidRPr="00263002">
              <w:rPr>
                <w:rFonts w:cs="Arial"/>
                <w:b/>
                <w:szCs w:val="18"/>
              </w:rPr>
              <w:t xml:space="preserve">IPPC Secretariat Resource mobilization strategy for 2012-2021 and self-evaluation (done by IPPC Secretariat) of the goals achieved </w:t>
            </w:r>
          </w:p>
        </w:tc>
      </w:tr>
      <w:tr w:rsidR="005436AC" w:rsidRPr="00263002" w:rsidTr="00AB0E09">
        <w:trPr>
          <w:gridAfter w:val="1"/>
          <w:wAfter w:w="175" w:type="dxa"/>
          <w:trHeight w:val="300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36AC" w:rsidRPr="00263002" w:rsidRDefault="005436AC" w:rsidP="005436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2630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IPPC RESOURCE MOBILIZATION STRATEGY (2012-2021)</w:t>
            </w:r>
          </w:p>
        </w:tc>
      </w:tr>
      <w:tr w:rsidR="005436AC" w:rsidRPr="00263002" w:rsidTr="00AB0E09">
        <w:trPr>
          <w:gridAfter w:val="2"/>
          <w:wAfter w:w="188" w:type="dxa"/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36AC" w:rsidRPr="00263002" w:rsidRDefault="005436AC" w:rsidP="005436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Goals</w:t>
            </w:r>
          </w:p>
        </w:tc>
        <w:tc>
          <w:tcPr>
            <w:tcW w:w="5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36AC" w:rsidRPr="00263002" w:rsidRDefault="005436AC" w:rsidP="005436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36AC" w:rsidRPr="00263002" w:rsidRDefault="005436AC" w:rsidP="005436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Self-evaluation comment</w:t>
            </w:r>
          </w:p>
        </w:tc>
      </w:tr>
      <w:tr w:rsidR="005436AC" w:rsidRPr="00263002" w:rsidTr="00AB0E09">
        <w:trPr>
          <w:gridAfter w:val="2"/>
          <w:wAfter w:w="188" w:type="dxa"/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C" w:rsidRPr="00263002" w:rsidRDefault="005436AC" w:rsidP="005436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5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C" w:rsidRPr="00263002" w:rsidRDefault="005436AC" w:rsidP="005436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Creating an adequate administrative financial framework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C" w:rsidRPr="00263002" w:rsidRDefault="005436AC" w:rsidP="005436A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36AC" w:rsidRPr="00263002" w:rsidTr="00AB0E09">
        <w:trPr>
          <w:gridAfter w:val="2"/>
          <w:wAfter w:w="188" w:type="dxa"/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C" w:rsidRPr="00263002" w:rsidRDefault="005436AC" w:rsidP="005436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A1</w:t>
            </w:r>
          </w:p>
        </w:tc>
        <w:tc>
          <w:tcPr>
            <w:tcW w:w="5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C" w:rsidRPr="00263002" w:rsidRDefault="005436AC" w:rsidP="005436AC">
            <w:pPr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Establishment of a Financial Committee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36AC" w:rsidRPr="00263002" w:rsidRDefault="005436AC" w:rsidP="005436A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Achieved. Functioning well since 2012. Meets 3 times a year. </w:t>
            </w:r>
          </w:p>
        </w:tc>
      </w:tr>
      <w:tr w:rsidR="005436AC" w:rsidRPr="00263002" w:rsidTr="00AB0E09">
        <w:trPr>
          <w:gridAfter w:val="2"/>
          <w:wAfter w:w="188" w:type="dxa"/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C" w:rsidRPr="00263002" w:rsidRDefault="005436AC" w:rsidP="005436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A2</w:t>
            </w:r>
          </w:p>
        </w:tc>
        <w:tc>
          <w:tcPr>
            <w:tcW w:w="5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C" w:rsidRPr="00263002" w:rsidRDefault="005436AC" w:rsidP="005436AC">
            <w:pPr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Improving budget transparency and clarity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36AC" w:rsidRPr="00263002" w:rsidRDefault="005436AC" w:rsidP="005436A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Achieved. CPM thanked Secretariat on the improvement.</w:t>
            </w:r>
          </w:p>
        </w:tc>
      </w:tr>
      <w:tr w:rsidR="005436AC" w:rsidRPr="00263002" w:rsidTr="00AB0E09">
        <w:trPr>
          <w:gridAfter w:val="2"/>
          <w:wAfter w:w="188" w:type="dxa"/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436AC" w:rsidRPr="00263002" w:rsidRDefault="005436AC" w:rsidP="005436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436AC" w:rsidRPr="00263002" w:rsidRDefault="005436AC" w:rsidP="005436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Developing communication and information strategies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436AC" w:rsidRPr="00263002" w:rsidRDefault="005436AC" w:rsidP="005436A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36AC" w:rsidRPr="00263002" w:rsidTr="00AB0E09">
        <w:trPr>
          <w:gridAfter w:val="2"/>
          <w:wAfter w:w="188" w:type="dxa"/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436AC" w:rsidRPr="00263002" w:rsidRDefault="005436AC" w:rsidP="005436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B1</w:t>
            </w:r>
          </w:p>
        </w:tc>
        <w:tc>
          <w:tcPr>
            <w:tcW w:w="5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436AC" w:rsidRPr="00263002" w:rsidRDefault="005436AC" w:rsidP="005436AC">
            <w:pPr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Development of an IPPC communications strategy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36AC" w:rsidRPr="00263002" w:rsidRDefault="005436AC" w:rsidP="005436A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Achieved. Every year CPM notes IPPC Communication strategy. </w:t>
            </w:r>
          </w:p>
        </w:tc>
      </w:tr>
      <w:tr w:rsidR="005436AC" w:rsidRPr="00263002" w:rsidTr="00AB0E09">
        <w:trPr>
          <w:gridAfter w:val="2"/>
          <w:wAfter w:w="188" w:type="dxa"/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C" w:rsidRPr="00263002" w:rsidRDefault="005436AC" w:rsidP="005436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5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C" w:rsidRPr="00263002" w:rsidRDefault="005436AC" w:rsidP="005436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Intensification of the In-kind Contribution System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C" w:rsidRPr="00263002" w:rsidRDefault="005436AC" w:rsidP="005436A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36AC" w:rsidRPr="00263002" w:rsidTr="00AB0E09">
        <w:trPr>
          <w:gridAfter w:val="2"/>
          <w:wAfter w:w="188" w:type="dxa"/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C" w:rsidRPr="00263002" w:rsidRDefault="005436AC" w:rsidP="005436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5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C" w:rsidRPr="00263002" w:rsidRDefault="005436AC" w:rsidP="005436AC">
            <w:pPr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Strengthening the use of in-kind expertise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36AC" w:rsidRPr="00263002" w:rsidRDefault="005436AC" w:rsidP="005436A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Achieved. Various CPs provide in-kind support to the IPPC Secretariat. </w:t>
            </w:r>
          </w:p>
        </w:tc>
      </w:tr>
      <w:tr w:rsidR="005436AC" w:rsidRPr="00263002" w:rsidTr="00AB0E09">
        <w:trPr>
          <w:gridAfter w:val="2"/>
          <w:wAfter w:w="188" w:type="dxa"/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C" w:rsidRPr="00263002" w:rsidRDefault="005436AC" w:rsidP="005436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C2</w:t>
            </w:r>
          </w:p>
        </w:tc>
        <w:tc>
          <w:tcPr>
            <w:tcW w:w="5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C" w:rsidRPr="00263002" w:rsidRDefault="005436AC" w:rsidP="005436AC">
            <w:pPr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Maximizing existing volunteer programmes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36AC" w:rsidRPr="00263002" w:rsidRDefault="005436AC" w:rsidP="005436A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Achieved. Many volunteers help the IPPC Secretariat on various occasions. </w:t>
            </w:r>
          </w:p>
        </w:tc>
      </w:tr>
      <w:tr w:rsidR="005436AC" w:rsidRPr="00263002" w:rsidTr="00AB0E09">
        <w:trPr>
          <w:gridAfter w:val="2"/>
          <w:wAfter w:w="188" w:type="dxa"/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C" w:rsidRPr="00263002" w:rsidRDefault="005436AC" w:rsidP="005436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C3</w:t>
            </w:r>
          </w:p>
        </w:tc>
        <w:tc>
          <w:tcPr>
            <w:tcW w:w="5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C" w:rsidRPr="00263002" w:rsidRDefault="005436AC" w:rsidP="005436AC">
            <w:pPr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Increasing the use of informal drafting groups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36AC" w:rsidRPr="00263002" w:rsidRDefault="005436AC" w:rsidP="005436A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Achieved. This is one the major standard setting operating modalities. </w:t>
            </w:r>
          </w:p>
        </w:tc>
      </w:tr>
      <w:tr w:rsidR="005436AC" w:rsidRPr="00263002" w:rsidTr="00AB0E09">
        <w:trPr>
          <w:gridAfter w:val="2"/>
          <w:wAfter w:w="188" w:type="dxa"/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C" w:rsidRPr="00263002" w:rsidRDefault="005436AC" w:rsidP="005436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C4</w:t>
            </w:r>
          </w:p>
        </w:tc>
        <w:tc>
          <w:tcPr>
            <w:tcW w:w="5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C" w:rsidRPr="00263002" w:rsidRDefault="005436AC" w:rsidP="005436AC">
            <w:pPr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Introducing “Technical Secretaries” as a new format of human in-kind contribution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436AC" w:rsidRPr="00263002" w:rsidRDefault="005436AC" w:rsidP="005436A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Not achieved. This goals interfered with FAO recruiting policies. </w:t>
            </w:r>
          </w:p>
        </w:tc>
      </w:tr>
      <w:tr w:rsidR="005436AC" w:rsidRPr="00263002" w:rsidTr="00AB0E09">
        <w:trPr>
          <w:gridAfter w:val="2"/>
          <w:wAfter w:w="188" w:type="dxa"/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436AC" w:rsidRPr="00263002" w:rsidRDefault="005436AC" w:rsidP="005436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5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436AC" w:rsidRPr="00263002" w:rsidRDefault="005436AC" w:rsidP="005436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Institutionalizing the sponsorship of meetings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436AC" w:rsidRPr="00263002" w:rsidRDefault="005436AC" w:rsidP="005436A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36AC" w:rsidRPr="00263002" w:rsidTr="00AB0E09">
        <w:trPr>
          <w:gridAfter w:val="2"/>
          <w:wAfter w:w="188" w:type="dxa"/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436AC" w:rsidRPr="00263002" w:rsidRDefault="005436AC" w:rsidP="005436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D1</w:t>
            </w:r>
          </w:p>
        </w:tc>
        <w:tc>
          <w:tcPr>
            <w:tcW w:w="5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436AC" w:rsidRPr="00263002" w:rsidRDefault="005436AC" w:rsidP="005436AC">
            <w:pPr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Institutionalizing a formal system for the sustainable sponsorship of meetings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36AC" w:rsidRPr="00263002" w:rsidRDefault="005436AC" w:rsidP="005436A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Achieved without establishment of the formal system. </w:t>
            </w:r>
          </w:p>
        </w:tc>
      </w:tr>
      <w:tr w:rsidR="005436AC" w:rsidRPr="00263002" w:rsidTr="00AB0E09">
        <w:trPr>
          <w:gridAfter w:val="2"/>
          <w:wAfter w:w="188" w:type="dxa"/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436AC" w:rsidRPr="00263002" w:rsidRDefault="005436AC" w:rsidP="005436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D2</w:t>
            </w:r>
          </w:p>
        </w:tc>
        <w:tc>
          <w:tcPr>
            <w:tcW w:w="5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436AC" w:rsidRPr="00263002" w:rsidRDefault="005436AC" w:rsidP="005436AC">
            <w:pPr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Sponsorship of standards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436AC" w:rsidRPr="00263002" w:rsidRDefault="005436AC" w:rsidP="005436A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Not achieved. Issue proved to be controversial. </w:t>
            </w:r>
          </w:p>
        </w:tc>
      </w:tr>
      <w:tr w:rsidR="005436AC" w:rsidRPr="00263002" w:rsidTr="00AB0E09">
        <w:trPr>
          <w:gridAfter w:val="2"/>
          <w:wAfter w:w="188" w:type="dxa"/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C" w:rsidRPr="00263002" w:rsidRDefault="005436AC" w:rsidP="005436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5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C" w:rsidRPr="00263002" w:rsidRDefault="005436AC" w:rsidP="005436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Capacity development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C" w:rsidRPr="00263002" w:rsidRDefault="005436AC" w:rsidP="005436A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36AC" w:rsidRPr="00263002" w:rsidTr="00AB0E09">
        <w:trPr>
          <w:gridAfter w:val="2"/>
          <w:wAfter w:w="188" w:type="dxa"/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C" w:rsidRPr="00263002" w:rsidRDefault="005436AC" w:rsidP="005436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E1</w:t>
            </w:r>
          </w:p>
        </w:tc>
        <w:tc>
          <w:tcPr>
            <w:tcW w:w="5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C" w:rsidRPr="00263002" w:rsidRDefault="005436AC" w:rsidP="005436AC">
            <w:pPr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Promoting further the Phytosanitary Capacity Evaluation (PCE)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36AC" w:rsidRPr="00263002" w:rsidRDefault="005436AC" w:rsidP="005436A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Achieved. IFU teams promotes and uses PCE intensively.</w:t>
            </w:r>
          </w:p>
        </w:tc>
      </w:tr>
      <w:tr w:rsidR="005436AC" w:rsidRPr="00263002" w:rsidTr="00AB0E09">
        <w:trPr>
          <w:gridAfter w:val="2"/>
          <w:wAfter w:w="188" w:type="dxa"/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C" w:rsidRPr="00263002" w:rsidRDefault="005436AC" w:rsidP="005436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E2</w:t>
            </w:r>
          </w:p>
        </w:tc>
        <w:tc>
          <w:tcPr>
            <w:tcW w:w="5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C" w:rsidRPr="00263002" w:rsidRDefault="005436AC" w:rsidP="005436AC">
            <w:pPr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Raising service charges for advisory services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436AC" w:rsidRPr="00263002" w:rsidRDefault="005436AC" w:rsidP="005436A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Not achieved due to FAO rules and regulations. </w:t>
            </w:r>
          </w:p>
        </w:tc>
      </w:tr>
      <w:tr w:rsidR="005436AC" w:rsidRPr="00263002" w:rsidTr="00AB0E09">
        <w:trPr>
          <w:gridAfter w:val="2"/>
          <w:wAfter w:w="188" w:type="dxa"/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436AC" w:rsidRPr="00263002" w:rsidRDefault="005436AC" w:rsidP="005436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436AC" w:rsidRPr="00263002" w:rsidRDefault="005436AC" w:rsidP="005436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Strengthening Institutional Financial Instruments and </w:t>
            </w:r>
            <w:r w:rsidR="00984F39" w:rsidRPr="002630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Practices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36AC" w:rsidRPr="00263002" w:rsidRDefault="005436AC" w:rsidP="005436A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Achieved through various formal documents and practices. </w:t>
            </w:r>
          </w:p>
        </w:tc>
      </w:tr>
      <w:tr w:rsidR="005436AC" w:rsidRPr="00263002" w:rsidTr="00AB0E09">
        <w:trPr>
          <w:gridAfter w:val="2"/>
          <w:wAfter w:w="188" w:type="dxa"/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C" w:rsidRPr="00263002" w:rsidRDefault="005436AC" w:rsidP="005436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5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C" w:rsidRPr="00263002" w:rsidRDefault="005436AC" w:rsidP="005436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Technical Improvements, Donor Relations and Incentive Programs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C" w:rsidRPr="00263002" w:rsidRDefault="005436AC" w:rsidP="005436A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36AC" w:rsidRPr="00263002" w:rsidTr="00AB0E09">
        <w:trPr>
          <w:gridAfter w:val="2"/>
          <w:wAfter w:w="188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C" w:rsidRPr="00263002" w:rsidRDefault="005436AC" w:rsidP="005436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G1</w:t>
            </w:r>
          </w:p>
        </w:tc>
        <w:tc>
          <w:tcPr>
            <w:tcW w:w="5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AC" w:rsidRPr="00263002" w:rsidRDefault="005436AC" w:rsidP="005436AC">
            <w:pPr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Establish a policy for the use of best available technologies and other nontraditional approaches for conducting IPPC business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436AC" w:rsidRPr="00263002" w:rsidRDefault="005436AC" w:rsidP="005436A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Achieved. OCS system, Skype and Zoom meetings became standard way of doing business. </w:t>
            </w:r>
          </w:p>
        </w:tc>
      </w:tr>
      <w:tr w:rsidR="005436AC" w:rsidRPr="00263002" w:rsidTr="00AB0E09">
        <w:trPr>
          <w:gridAfter w:val="2"/>
          <w:wAfter w:w="188" w:type="dxa"/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C" w:rsidRPr="00263002" w:rsidRDefault="005436AC" w:rsidP="005436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G2</w:t>
            </w:r>
          </w:p>
        </w:tc>
        <w:tc>
          <w:tcPr>
            <w:tcW w:w="5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C" w:rsidRPr="00263002" w:rsidRDefault="005436AC" w:rsidP="005436AC">
            <w:pPr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Establish a formalized program for donor relations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36AC" w:rsidRPr="00263002" w:rsidRDefault="005436AC" w:rsidP="005436A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Achieved. IPPC Secretariat created Resource mobilization task force. </w:t>
            </w:r>
          </w:p>
        </w:tc>
      </w:tr>
      <w:tr w:rsidR="005436AC" w:rsidRPr="00263002" w:rsidTr="00AB0E09">
        <w:trPr>
          <w:gridAfter w:val="2"/>
          <w:wAfter w:w="188" w:type="dxa"/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C" w:rsidRPr="00263002" w:rsidRDefault="005436AC" w:rsidP="005436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G3</w:t>
            </w:r>
          </w:p>
        </w:tc>
        <w:tc>
          <w:tcPr>
            <w:tcW w:w="5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C" w:rsidRPr="00263002" w:rsidRDefault="005436AC" w:rsidP="005436AC">
            <w:pPr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Establish an incentive program for donors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36AC" w:rsidRPr="00263002" w:rsidRDefault="005436AC" w:rsidP="005436A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Achieved. Donors have various visibility incentives when providing support. </w:t>
            </w:r>
          </w:p>
        </w:tc>
      </w:tr>
      <w:tr w:rsidR="005436AC" w:rsidRPr="00263002" w:rsidTr="00AB0E09">
        <w:trPr>
          <w:gridAfter w:val="2"/>
          <w:wAfter w:w="188" w:type="dxa"/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436AC" w:rsidRPr="00263002" w:rsidRDefault="005436AC" w:rsidP="005436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5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436AC" w:rsidRPr="00263002" w:rsidRDefault="005436AC" w:rsidP="005436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Revising the IPPC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436AC" w:rsidRPr="00263002" w:rsidRDefault="005436AC" w:rsidP="005436A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36AC" w:rsidRPr="00263002" w:rsidTr="00AB0E09">
        <w:trPr>
          <w:gridAfter w:val="2"/>
          <w:wAfter w:w="188" w:type="dxa"/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C" w:rsidRPr="00263002" w:rsidRDefault="005436AC" w:rsidP="005436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C" w:rsidRPr="00263002" w:rsidRDefault="005436AC" w:rsidP="005436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Implementation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36AC" w:rsidRPr="00263002" w:rsidRDefault="005436AC" w:rsidP="005436A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Achieved through FC, Bureau, Secretariat Task force for resource mobilization. </w:t>
            </w:r>
          </w:p>
        </w:tc>
      </w:tr>
      <w:tr w:rsidR="005436AC" w:rsidRPr="00263002" w:rsidTr="00AB0E09">
        <w:trPr>
          <w:gridAfter w:val="2"/>
          <w:wAfter w:w="188" w:type="dxa"/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436AC" w:rsidRPr="00263002" w:rsidRDefault="005436AC" w:rsidP="005436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</w:t>
            </w:r>
          </w:p>
        </w:tc>
        <w:tc>
          <w:tcPr>
            <w:tcW w:w="5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436AC" w:rsidRPr="00263002" w:rsidRDefault="005436AC" w:rsidP="005436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Monitoring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36AC" w:rsidRPr="00263002" w:rsidRDefault="005436AC" w:rsidP="005436A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Achieved through FC, Bureau, Secretariat Task force for resource mobilization. </w:t>
            </w:r>
          </w:p>
        </w:tc>
      </w:tr>
      <w:tr w:rsidR="005436AC" w:rsidRPr="00263002" w:rsidTr="00AB0E09">
        <w:trPr>
          <w:gridAfter w:val="2"/>
          <w:wAfter w:w="188" w:type="dxa"/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C" w:rsidRPr="00263002" w:rsidRDefault="005436AC" w:rsidP="005436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5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AC" w:rsidRPr="00263002" w:rsidRDefault="005436AC" w:rsidP="005436A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Review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36AC" w:rsidRPr="00263002" w:rsidRDefault="005436AC" w:rsidP="005436A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Initiated through FC, Bureau and SPG.</w:t>
            </w:r>
          </w:p>
        </w:tc>
      </w:tr>
    </w:tbl>
    <w:p w:rsidR="00A52BA9" w:rsidRPr="00962D3B" w:rsidRDefault="00A52BA9" w:rsidP="005436AC">
      <w:pPr>
        <w:rPr>
          <w:rFonts w:cs="Times New Roman"/>
          <w:sz w:val="24"/>
        </w:rPr>
      </w:pPr>
    </w:p>
    <w:sectPr w:rsidR="00A52BA9" w:rsidRPr="00962D3B" w:rsidSect="005436AC">
      <w:headerReference w:type="even" r:id="rId11"/>
      <w:headerReference w:type="default" r:id="rId12"/>
      <w:footerReference w:type="even" r:id="rId13"/>
      <w:pgSz w:w="15840" w:h="12240" w:orient="landscape"/>
      <w:pgMar w:top="63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CCA" w:rsidRDefault="00FB5CCA" w:rsidP="00C25367">
      <w:r>
        <w:separator/>
      </w:r>
    </w:p>
  </w:endnote>
  <w:endnote w:type="continuationSeparator" w:id="0">
    <w:p w:rsidR="00FB5CCA" w:rsidRDefault="00FB5CCA" w:rsidP="00C2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02" w:rsidRDefault="00263002">
    <w:pPr>
      <w:pStyle w:val="Footer"/>
    </w:pPr>
  </w:p>
  <w:p w:rsidR="00287681" w:rsidRDefault="002876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02" w:rsidRDefault="00263002" w:rsidP="00263002">
    <w:pPr>
      <w:pStyle w:val="IPPFooter"/>
      <w:tabs>
        <w:tab w:val="clear" w:pos="9072"/>
        <w:tab w:val="right" w:pos="9360"/>
      </w:tabs>
      <w:jc w:val="left"/>
    </w:pPr>
    <w:r w:rsidRPr="00A62A0E">
      <w:t>International Plant Protection Convention</w:t>
    </w:r>
    <w:r w:rsidRPr="00A62A0E">
      <w:tab/>
    </w:r>
    <w:r w:rsidRPr="00263002">
      <w:rPr>
        <w:rStyle w:val="PageNumber"/>
        <w:b/>
      </w:rPr>
      <w:t xml:space="preserve">Page </w:t>
    </w:r>
    <w:r w:rsidRPr="00263002">
      <w:rPr>
        <w:rStyle w:val="PageNumber"/>
        <w:b/>
      </w:rPr>
      <w:fldChar w:fldCharType="begin"/>
    </w:r>
    <w:r w:rsidRPr="00263002">
      <w:rPr>
        <w:rStyle w:val="PageNumber"/>
        <w:b/>
      </w:rPr>
      <w:instrText xml:space="preserve"> PAGE </w:instrText>
    </w:r>
    <w:r w:rsidRPr="00263002">
      <w:rPr>
        <w:rStyle w:val="PageNumber"/>
        <w:b/>
      </w:rPr>
      <w:fldChar w:fldCharType="separate"/>
    </w:r>
    <w:r w:rsidR="00FB5CCA">
      <w:rPr>
        <w:rStyle w:val="PageNumber"/>
        <w:b/>
        <w:noProof/>
      </w:rPr>
      <w:t>1</w:t>
    </w:r>
    <w:r w:rsidRPr="00263002">
      <w:rPr>
        <w:rStyle w:val="PageNumber"/>
        <w:b/>
      </w:rPr>
      <w:fldChar w:fldCharType="end"/>
    </w:r>
    <w:r w:rsidRPr="00263002">
      <w:rPr>
        <w:rStyle w:val="PageNumber"/>
        <w:b/>
      </w:rPr>
      <w:t xml:space="preserve"> of </w:t>
    </w:r>
    <w:r w:rsidRPr="00263002">
      <w:rPr>
        <w:rStyle w:val="PageNumber"/>
        <w:b/>
      </w:rPr>
      <w:fldChar w:fldCharType="begin"/>
    </w:r>
    <w:r w:rsidRPr="00263002">
      <w:rPr>
        <w:rStyle w:val="PageNumber"/>
        <w:b/>
      </w:rPr>
      <w:instrText xml:space="preserve"> NUMPAGES </w:instrText>
    </w:r>
    <w:r w:rsidRPr="00263002">
      <w:rPr>
        <w:rStyle w:val="PageNumber"/>
        <w:b/>
      </w:rPr>
      <w:fldChar w:fldCharType="separate"/>
    </w:r>
    <w:r w:rsidR="00FB5CCA">
      <w:rPr>
        <w:rStyle w:val="PageNumber"/>
        <w:b/>
        <w:noProof/>
      </w:rPr>
      <w:t>1</w:t>
    </w:r>
    <w:r w:rsidRPr="00263002"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02" w:rsidRDefault="00263002" w:rsidP="00263002">
    <w:pPr>
      <w:pStyle w:val="IPPFooterLandscape"/>
    </w:pPr>
    <w:r w:rsidRPr="00263002">
      <w:rPr>
        <w:rStyle w:val="PageNumber"/>
        <w:b/>
      </w:rPr>
      <w:t xml:space="preserve">Page </w:t>
    </w:r>
    <w:r w:rsidRPr="00263002">
      <w:rPr>
        <w:rStyle w:val="PageNumber"/>
        <w:b/>
      </w:rPr>
      <w:fldChar w:fldCharType="begin"/>
    </w:r>
    <w:r w:rsidRPr="00263002">
      <w:rPr>
        <w:rStyle w:val="PageNumber"/>
        <w:b/>
      </w:rPr>
      <w:instrText xml:space="preserve"> PAGE </w:instrText>
    </w:r>
    <w:r w:rsidRPr="00263002">
      <w:rPr>
        <w:rStyle w:val="PageNumber"/>
        <w:b/>
      </w:rPr>
      <w:fldChar w:fldCharType="separate"/>
    </w:r>
    <w:r w:rsidR="003227A1">
      <w:rPr>
        <w:rStyle w:val="PageNumber"/>
        <w:b/>
      </w:rPr>
      <w:t>2</w:t>
    </w:r>
    <w:r w:rsidRPr="00263002">
      <w:rPr>
        <w:rStyle w:val="PageNumber"/>
        <w:b/>
      </w:rPr>
      <w:fldChar w:fldCharType="end"/>
    </w:r>
    <w:r w:rsidRPr="00263002">
      <w:rPr>
        <w:rStyle w:val="PageNumber"/>
        <w:b/>
      </w:rPr>
      <w:t xml:space="preserve"> of </w:t>
    </w:r>
    <w:r w:rsidRPr="00263002">
      <w:rPr>
        <w:rStyle w:val="PageNumber"/>
        <w:b/>
      </w:rPr>
      <w:fldChar w:fldCharType="begin"/>
    </w:r>
    <w:r w:rsidRPr="00263002">
      <w:rPr>
        <w:rStyle w:val="PageNumber"/>
        <w:b/>
      </w:rPr>
      <w:instrText xml:space="preserve"> NUMPAGES </w:instrText>
    </w:r>
    <w:r w:rsidRPr="00263002">
      <w:rPr>
        <w:rStyle w:val="PageNumber"/>
        <w:b/>
      </w:rPr>
      <w:fldChar w:fldCharType="separate"/>
    </w:r>
    <w:r w:rsidR="003227A1">
      <w:rPr>
        <w:rStyle w:val="PageNumber"/>
        <w:b/>
      </w:rPr>
      <w:t>2</w:t>
    </w:r>
    <w:r w:rsidRPr="00263002">
      <w:rPr>
        <w:rStyle w:val="PageNumber"/>
        <w:b/>
      </w:rPr>
      <w:fldChar w:fldCharType="end"/>
    </w:r>
    <w:r>
      <w:rPr>
        <w:rStyle w:val="PageNumber"/>
        <w:b/>
      </w:rPr>
      <w:tab/>
    </w:r>
    <w:r>
      <w:rPr>
        <w:rStyle w:val="PageNumber"/>
        <w:b/>
      </w:rPr>
      <w:tab/>
    </w:r>
    <w:r w:rsidRPr="00A62A0E">
      <w:t>International Plant Protection Convention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CCA" w:rsidRDefault="00FB5CCA" w:rsidP="00C25367">
      <w:r>
        <w:separator/>
      </w:r>
    </w:p>
  </w:footnote>
  <w:footnote w:type="continuationSeparator" w:id="0">
    <w:p w:rsidR="00FB5CCA" w:rsidRDefault="00FB5CCA" w:rsidP="00C25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02" w:rsidRPr="00FE6905" w:rsidRDefault="00263002" w:rsidP="00263002">
    <w:pPr>
      <w:pStyle w:val="IPPHeader"/>
      <w:tabs>
        <w:tab w:val="clear" w:pos="9072"/>
        <w:tab w:val="right" w:pos="9360"/>
      </w:tabs>
      <w:spacing w:after="0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4E1943A0" wp14:editId="3A4426FE">
          <wp:simplePos x="0" y="0"/>
          <wp:positionH relativeFrom="margin">
            <wp:align>left</wp:align>
          </wp:positionH>
          <wp:positionV relativeFrom="margin">
            <wp:posOffset>-485953</wp:posOffset>
          </wp:positionV>
          <wp:extent cx="647065" cy="333375"/>
          <wp:effectExtent l="0" t="0" r="635" b="9525"/>
          <wp:wrapNone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6398BE41" wp14:editId="75C7B799">
          <wp:simplePos x="0" y="0"/>
          <wp:positionH relativeFrom="column">
            <wp:posOffset>-940828</wp:posOffset>
          </wp:positionH>
          <wp:positionV relativeFrom="paragraph">
            <wp:posOffset>-647480</wp:posOffset>
          </wp:positionV>
          <wp:extent cx="8206805" cy="52327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924" cy="524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905">
      <w:tab/>
      <w:t xml:space="preserve">International </w:t>
    </w:r>
    <w:r>
      <w:t>P</w:t>
    </w:r>
    <w:r w:rsidRPr="00FE6905">
      <w:t xml:space="preserve">lant </w:t>
    </w:r>
    <w:r>
      <w:t>P</w:t>
    </w:r>
    <w:r w:rsidRPr="00FE6905">
      <w:t xml:space="preserve">rotection </w:t>
    </w:r>
    <w:r>
      <w:t>C</w:t>
    </w:r>
    <w:r w:rsidRPr="00FE6905">
      <w:t xml:space="preserve">onvention </w:t>
    </w:r>
    <w:r>
      <w:tab/>
      <w:t>07_SPG_2020_Nov</w:t>
    </w:r>
  </w:p>
  <w:p w:rsidR="00287681" w:rsidRPr="00263002" w:rsidRDefault="00263002" w:rsidP="00263002">
    <w:pPr>
      <w:pStyle w:val="IPPHeader"/>
      <w:tabs>
        <w:tab w:val="clear" w:pos="9072"/>
        <w:tab w:val="right" w:pos="9360"/>
      </w:tabs>
      <w:rPr>
        <w:i/>
      </w:rPr>
    </w:pPr>
    <w:r w:rsidRPr="00606019">
      <w:tab/>
    </w:r>
    <w:r w:rsidRPr="00C25367">
      <w:rPr>
        <w:i/>
      </w:rPr>
      <w:t>Resource mobilization</w:t>
    </w:r>
    <w:r w:rsidRPr="00606019">
      <w:rPr>
        <w:i/>
      </w:rPr>
      <w:tab/>
    </w:r>
    <w:r>
      <w:rPr>
        <w:i/>
      </w:rPr>
      <w:t>Agenda item: 07.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02" w:rsidRDefault="00263002" w:rsidP="00263002">
    <w:pPr>
      <w:pStyle w:val="IPPHeaderlandscape"/>
    </w:pPr>
    <w:r>
      <w:t>07_SPG_2020_Nov</w:t>
    </w:r>
    <w:r w:rsidRPr="00263002">
      <w:rPr>
        <w:i/>
      </w:rPr>
      <w:t xml:space="preserve"> </w:t>
    </w:r>
    <w:r>
      <w:rPr>
        <w:i/>
      </w:rPr>
      <w:tab/>
    </w:r>
    <w:r w:rsidRPr="00263002">
      <w:t>Resource mobilization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02" w:rsidRDefault="002630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11F5"/>
    <w:multiLevelType w:val="hybridMultilevel"/>
    <w:tmpl w:val="F0C09764"/>
    <w:lvl w:ilvl="0" w:tplc="DF8C83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6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11"/>
  </w:num>
  <w:num w:numId="7">
    <w:abstractNumId w:val="8"/>
  </w:num>
  <w:num w:numId="8">
    <w:abstractNumId w:val="6"/>
  </w:num>
  <w:num w:numId="9">
    <w:abstractNumId w:val="12"/>
  </w:num>
  <w:num w:numId="10">
    <w:abstractNumId w:val="4"/>
  </w:num>
  <w:num w:numId="1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0"/>
  </w:num>
  <w:num w:numId="18">
    <w:abstractNumId w:val="7"/>
  </w:num>
  <w:num w:numId="19">
    <w:abstractNumId w:val="10"/>
  </w:num>
  <w:num w:numId="2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linkStyles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87"/>
    <w:rsid w:val="00263002"/>
    <w:rsid w:val="00287681"/>
    <w:rsid w:val="003227A1"/>
    <w:rsid w:val="003C239E"/>
    <w:rsid w:val="003E39A8"/>
    <w:rsid w:val="004574D0"/>
    <w:rsid w:val="005436AC"/>
    <w:rsid w:val="005C37A3"/>
    <w:rsid w:val="006E2715"/>
    <w:rsid w:val="00877887"/>
    <w:rsid w:val="00962D3B"/>
    <w:rsid w:val="00984F39"/>
    <w:rsid w:val="00A52BA9"/>
    <w:rsid w:val="00AB0E09"/>
    <w:rsid w:val="00C25367"/>
    <w:rsid w:val="00C52C59"/>
    <w:rsid w:val="00E1500E"/>
    <w:rsid w:val="00FB5CCA"/>
    <w:rsid w:val="00FC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C22A9"/>
  <w15:chartTrackingRefBased/>
  <w15:docId w15:val="{BAD31D4C-0B70-4BCE-A9A1-13376CE5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7A1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3227A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227A1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227A1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3227A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227A1"/>
  </w:style>
  <w:style w:type="character" w:styleId="Hyperlink">
    <w:name w:val="Hyperlink"/>
    <w:basedOn w:val="DefaultParagraphFont"/>
    <w:uiPriority w:val="99"/>
    <w:unhideWhenUsed/>
    <w:rsid w:val="00A52B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27A1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character" w:customStyle="1" w:styleId="Heading1Char">
    <w:name w:val="Heading 1 Char"/>
    <w:basedOn w:val="DefaultParagraphFont"/>
    <w:link w:val="Heading1"/>
    <w:rsid w:val="003227A1"/>
    <w:rPr>
      <w:rFonts w:ascii="Times New Roman" w:eastAsia="MS Mincho" w:hAnsi="Times New Roman"/>
      <w:b/>
      <w:bCs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3227A1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3227A1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3227A1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227A1"/>
    <w:rPr>
      <w:rFonts w:ascii="Times New Roman" w:eastAsia="MS Mincho" w:hAnsi="Times New Roman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3227A1"/>
    <w:rPr>
      <w:vertAlign w:val="superscript"/>
    </w:rPr>
  </w:style>
  <w:style w:type="paragraph" w:customStyle="1" w:styleId="Style">
    <w:name w:val="Style"/>
    <w:basedOn w:val="Footer"/>
    <w:autoRedefine/>
    <w:qFormat/>
    <w:rsid w:val="003227A1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styleId="Footer">
    <w:name w:val="footer"/>
    <w:basedOn w:val="Normal"/>
    <w:link w:val="FooterChar"/>
    <w:rsid w:val="00322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27A1"/>
    <w:rPr>
      <w:rFonts w:ascii="Times New Roman" w:eastAsia="MS Mincho" w:hAnsi="Times New Roman"/>
      <w:szCs w:val="24"/>
      <w:lang w:val="en-GB" w:eastAsia="zh-CN"/>
    </w:rPr>
  </w:style>
  <w:style w:type="character" w:styleId="PageNumber">
    <w:name w:val="page number"/>
    <w:rsid w:val="003227A1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3227A1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3227A1"/>
    <w:pPr>
      <w:spacing w:after="240"/>
    </w:pPr>
    <w:rPr>
      <w:sz w:val="24"/>
    </w:rPr>
  </w:style>
  <w:style w:type="table" w:styleId="TableGrid">
    <w:name w:val="Table Grid"/>
    <w:basedOn w:val="TableNormal"/>
    <w:rsid w:val="003227A1"/>
    <w:pPr>
      <w:spacing w:after="200" w:line="276" w:lineRule="auto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22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27A1"/>
    <w:rPr>
      <w:rFonts w:ascii="Tahoma" w:eastAsia="MS Mincho" w:hAnsi="Tahoma" w:cs="Tahoma"/>
      <w:sz w:val="16"/>
      <w:szCs w:val="16"/>
      <w:lang w:val="en-GB" w:eastAsia="zh-CN"/>
    </w:rPr>
  </w:style>
  <w:style w:type="paragraph" w:customStyle="1" w:styleId="IPPBullet2">
    <w:name w:val="IPP Bullet2"/>
    <w:basedOn w:val="IPPNormal"/>
    <w:next w:val="IPPBullet1"/>
    <w:qFormat/>
    <w:rsid w:val="003227A1"/>
    <w:pPr>
      <w:numPr>
        <w:numId w:val="6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3227A1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3227A1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3227A1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3227A1"/>
    <w:pPr>
      <w:spacing w:after="180"/>
    </w:pPr>
  </w:style>
  <w:style w:type="paragraph" w:customStyle="1" w:styleId="IPPFootnote">
    <w:name w:val="IPP Footnote"/>
    <w:basedOn w:val="IPPArialFootnote"/>
    <w:qFormat/>
    <w:rsid w:val="003227A1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3227A1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3227A1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3227A1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3227A1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3227A1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3227A1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3227A1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3227A1"/>
    <w:pPr>
      <w:numPr>
        <w:numId w:val="19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3227A1"/>
    <w:pPr>
      <w:numPr>
        <w:numId w:val="7"/>
      </w:numPr>
    </w:pPr>
  </w:style>
  <w:style w:type="character" w:customStyle="1" w:styleId="IPPNormalstrikethrough">
    <w:name w:val="IPP Normal strikethrough"/>
    <w:rsid w:val="003227A1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3227A1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3227A1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3227A1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3227A1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3227A1"/>
    <w:pPr>
      <w:numPr>
        <w:numId w:val="5"/>
      </w:numPr>
    </w:pPr>
  </w:style>
  <w:style w:type="paragraph" w:customStyle="1" w:styleId="IPPNormalCloseSpace">
    <w:name w:val="IPP NormalCloseSpace"/>
    <w:basedOn w:val="Normal"/>
    <w:qFormat/>
    <w:rsid w:val="003227A1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3227A1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3227A1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3227A1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3227A1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3227A1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3227A1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3227A1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3227A1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3227A1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3227A1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3227A1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3227A1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3227A1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3227A1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3227A1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3227A1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3227A1"/>
    <w:rPr>
      <w:rFonts w:ascii="Courier" w:eastAsia="Times" w:hAnsi="Courier"/>
      <w:sz w:val="21"/>
      <w:szCs w:val="21"/>
      <w:lang w:val="en-AU" w:eastAsia="zh-CN"/>
    </w:rPr>
  </w:style>
  <w:style w:type="paragraph" w:customStyle="1" w:styleId="IPPLetterList">
    <w:name w:val="IPP LetterList"/>
    <w:basedOn w:val="IPPBullet2"/>
    <w:qFormat/>
    <w:rsid w:val="003227A1"/>
    <w:pPr>
      <w:numPr>
        <w:numId w:val="2"/>
      </w:numPr>
      <w:jc w:val="left"/>
    </w:pPr>
  </w:style>
  <w:style w:type="paragraph" w:customStyle="1" w:styleId="IPPLetterListIndent">
    <w:name w:val="IPP LetterList Indent"/>
    <w:basedOn w:val="IPPLetterList"/>
    <w:qFormat/>
    <w:rsid w:val="003227A1"/>
    <w:pPr>
      <w:numPr>
        <w:numId w:val="3"/>
      </w:numPr>
    </w:pPr>
  </w:style>
  <w:style w:type="paragraph" w:customStyle="1" w:styleId="IPPFooterLandscape">
    <w:name w:val="IPP Footer Landscape"/>
    <w:basedOn w:val="IPPHeaderlandscape"/>
    <w:qFormat/>
    <w:rsid w:val="003227A1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3227A1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3227A1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3227A1"/>
    <w:pPr>
      <w:numPr>
        <w:numId w:val="8"/>
      </w:numPr>
    </w:pPr>
  </w:style>
  <w:style w:type="paragraph" w:customStyle="1" w:styleId="IPPHdg2Num">
    <w:name w:val="IPP Hdg2Num"/>
    <w:basedOn w:val="IPPHeading2"/>
    <w:next w:val="IPPNormal"/>
    <w:qFormat/>
    <w:rsid w:val="003227A1"/>
    <w:pPr>
      <w:numPr>
        <w:ilvl w:val="1"/>
        <w:numId w:val="9"/>
      </w:numPr>
    </w:pPr>
  </w:style>
  <w:style w:type="paragraph" w:customStyle="1" w:styleId="IPPNumberedList">
    <w:name w:val="IPP NumberedList"/>
    <w:basedOn w:val="IPPBullet1"/>
    <w:qFormat/>
    <w:rsid w:val="003227A1"/>
    <w:pPr>
      <w:numPr>
        <w:numId w:val="17"/>
      </w:numPr>
    </w:pPr>
  </w:style>
  <w:style w:type="paragraph" w:styleId="Header">
    <w:name w:val="header"/>
    <w:basedOn w:val="Normal"/>
    <w:link w:val="HeaderChar"/>
    <w:rsid w:val="00322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27A1"/>
    <w:rPr>
      <w:rFonts w:ascii="Times New Roman" w:eastAsia="MS Mincho" w:hAnsi="Times New Roman"/>
      <w:szCs w:val="24"/>
      <w:lang w:val="en-GB" w:eastAsia="zh-CN"/>
    </w:rPr>
  </w:style>
  <w:style w:type="character" w:styleId="Strong">
    <w:name w:val="Strong"/>
    <w:basedOn w:val="DefaultParagraphFont"/>
    <w:qFormat/>
    <w:rsid w:val="003227A1"/>
    <w:rPr>
      <w:b/>
      <w:bCs/>
    </w:rPr>
  </w:style>
  <w:style w:type="paragraph" w:customStyle="1" w:styleId="IPPParagraphnumbering">
    <w:name w:val="IPP Paragraph numbering"/>
    <w:basedOn w:val="IPPNormal"/>
    <w:qFormat/>
    <w:rsid w:val="003227A1"/>
    <w:pPr>
      <w:numPr>
        <w:numId w:val="11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3227A1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3227A1"/>
    <w:pPr>
      <w:numPr>
        <w:numId w:val="0"/>
      </w:numPr>
      <w:spacing w:after="180"/>
    </w:pPr>
  </w:style>
  <w:style w:type="paragraph" w:customStyle="1" w:styleId="IPPPargraphnumbering">
    <w:name w:val="IPP Pargraph numbering"/>
    <w:basedOn w:val="IPPNormal"/>
    <w:qFormat/>
    <w:rsid w:val="003227A1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3227A1"/>
    <w:rPr>
      <w:rFonts w:ascii="Times New Roman" w:eastAsia="Times" w:hAnsi="Times New Roman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ppc.int/en/publications/572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100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Benovic, Marko (NSPD)</dc:creator>
  <cp:keywords/>
  <dc:description/>
  <cp:lastModifiedBy>Lahti, Tanja (NSP)</cp:lastModifiedBy>
  <cp:revision>9</cp:revision>
  <dcterms:created xsi:type="dcterms:W3CDTF">2020-11-01T14:39:00Z</dcterms:created>
  <dcterms:modified xsi:type="dcterms:W3CDTF">2020-11-04T08:49:00Z</dcterms:modified>
</cp:coreProperties>
</file>