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9A4" w:rsidRPr="000B33F4" w:rsidRDefault="00EB09A4" w:rsidP="00EB09A4">
      <w:pPr>
        <w:spacing w:after="180"/>
        <w:ind w:left="567" w:right="697"/>
        <w:jc w:val="center"/>
        <w:rPr>
          <w:b/>
          <w:sz w:val="22"/>
          <w:szCs w:val="22"/>
          <w:lang w:val="es-ES"/>
        </w:rPr>
      </w:pPr>
      <w:r w:rsidRPr="000B33F4">
        <w:rPr>
          <w:b/>
          <w:sz w:val="22"/>
          <w:szCs w:val="22"/>
          <w:lang w:val="es-ES"/>
        </w:rPr>
        <w:t>Convocatoria de expertos de la Convención Internacional de Protección Fitosanitaria</w:t>
      </w:r>
    </w:p>
    <w:p w:rsidR="00EB09A4" w:rsidRPr="000B33F4" w:rsidRDefault="00EB09A4" w:rsidP="00EB09A4">
      <w:pPr>
        <w:pStyle w:val="Default"/>
        <w:ind w:left="567" w:right="697"/>
        <w:jc w:val="both"/>
        <w:rPr>
          <w:color w:val="auto"/>
          <w:sz w:val="22"/>
          <w:szCs w:val="22"/>
          <w:lang w:val="es-ES_tradnl"/>
        </w:rPr>
      </w:pPr>
      <w:r w:rsidRPr="000B33F4">
        <w:rPr>
          <w:color w:val="auto"/>
          <w:sz w:val="22"/>
          <w:szCs w:val="22"/>
          <w:lang w:val="es-ES_tradnl"/>
        </w:rPr>
        <w:t xml:space="preserve">La Secretaría de la Convención Internacional de Protección Fitosanitaria (CIPF) solicita candidaturas de expertos debidamente cualificados para participar en: </w:t>
      </w:r>
    </w:p>
    <w:p w:rsidR="00EB09A4" w:rsidRPr="000B33F4" w:rsidRDefault="00EB09A4" w:rsidP="004D5F75">
      <w:pPr>
        <w:pStyle w:val="Default"/>
        <w:numPr>
          <w:ilvl w:val="0"/>
          <w:numId w:val="3"/>
        </w:numPr>
        <w:spacing w:after="120"/>
        <w:ind w:right="697"/>
        <w:jc w:val="both"/>
        <w:rPr>
          <w:color w:val="auto"/>
          <w:sz w:val="22"/>
          <w:szCs w:val="22"/>
          <w:lang w:val="es-ES_tradnl"/>
        </w:rPr>
      </w:pPr>
      <w:r w:rsidRPr="000B33F4">
        <w:rPr>
          <w:color w:val="auto"/>
          <w:sz w:val="22"/>
          <w:szCs w:val="22"/>
          <w:lang w:val="es-ES_tradnl"/>
        </w:rPr>
        <w:t xml:space="preserve">el grupo de trabajo de expertos (GTE) para la elaboración </w:t>
      </w:r>
      <w:r w:rsidR="00CB73EF">
        <w:rPr>
          <w:color w:val="auto"/>
          <w:sz w:val="22"/>
          <w:szCs w:val="22"/>
          <w:lang w:val="es-ES_tradnl"/>
        </w:rPr>
        <w:t xml:space="preserve">de </w:t>
      </w:r>
      <w:r w:rsidR="00597C51">
        <w:rPr>
          <w:color w:val="auto"/>
          <w:sz w:val="22"/>
          <w:szCs w:val="22"/>
          <w:lang w:val="es-ES_tradnl"/>
        </w:rPr>
        <w:t xml:space="preserve">un proyecto </w:t>
      </w:r>
      <w:r w:rsidRPr="000B33F4">
        <w:rPr>
          <w:color w:val="auto"/>
          <w:sz w:val="22"/>
          <w:szCs w:val="22"/>
          <w:lang w:val="es-ES_tradnl"/>
        </w:rPr>
        <w:t xml:space="preserve">de norma internacional </w:t>
      </w:r>
      <w:r w:rsidR="00597C51">
        <w:rPr>
          <w:color w:val="auto"/>
          <w:sz w:val="22"/>
          <w:szCs w:val="22"/>
          <w:lang w:val="es-ES_tradnl"/>
        </w:rPr>
        <w:t xml:space="preserve">de medidas fitosanitarias </w:t>
      </w:r>
      <w:r w:rsidRPr="000B33F4">
        <w:rPr>
          <w:color w:val="auto"/>
          <w:sz w:val="22"/>
          <w:szCs w:val="22"/>
          <w:lang w:val="es-ES_tradnl"/>
        </w:rPr>
        <w:t xml:space="preserve">sobre la </w:t>
      </w:r>
      <w:r w:rsidR="00E44F82" w:rsidRPr="00E44F82">
        <w:rPr>
          <w:i/>
          <w:iCs/>
          <w:color w:val="auto"/>
          <w:sz w:val="22"/>
          <w:szCs w:val="22"/>
          <w:lang w:val="es-ES_tradnl"/>
        </w:rPr>
        <w:t xml:space="preserve">Orientación sobre el manejo del riesgo de plagas </w:t>
      </w:r>
      <w:r w:rsidRPr="000B33F4">
        <w:rPr>
          <w:color w:val="auto"/>
          <w:sz w:val="22"/>
          <w:szCs w:val="22"/>
          <w:lang w:val="es-ES_tradnl"/>
        </w:rPr>
        <w:t>(2014-00</w:t>
      </w:r>
      <w:r w:rsidR="00E34012">
        <w:rPr>
          <w:color w:val="auto"/>
          <w:sz w:val="22"/>
          <w:szCs w:val="22"/>
          <w:lang w:val="es-ES_tradnl"/>
        </w:rPr>
        <w:t>1</w:t>
      </w:r>
      <w:r w:rsidRPr="000B33F4">
        <w:rPr>
          <w:color w:val="auto"/>
          <w:sz w:val="22"/>
          <w:szCs w:val="22"/>
          <w:lang w:val="es-ES_tradnl"/>
        </w:rPr>
        <w:t>)</w:t>
      </w:r>
      <w:r w:rsidR="00E34012">
        <w:rPr>
          <w:color w:val="auto"/>
          <w:sz w:val="22"/>
          <w:szCs w:val="22"/>
          <w:lang w:val="es-ES_tradnl"/>
        </w:rPr>
        <w:t>.</w:t>
      </w:r>
    </w:p>
    <w:p w:rsidR="00EB09A4" w:rsidRPr="000B33F4" w:rsidRDefault="00EB09A4">
      <w:pPr>
        <w:pStyle w:val="Default"/>
        <w:spacing w:after="180"/>
        <w:ind w:left="567" w:right="697"/>
        <w:jc w:val="both"/>
        <w:rPr>
          <w:color w:val="auto"/>
          <w:sz w:val="22"/>
          <w:szCs w:val="22"/>
          <w:lang w:val="es-ES_tradnl"/>
        </w:rPr>
      </w:pPr>
      <w:r w:rsidRPr="000B33F4">
        <w:rPr>
          <w:color w:val="auto"/>
          <w:sz w:val="22"/>
          <w:szCs w:val="22"/>
          <w:lang w:val="es-ES_tradnl"/>
        </w:rPr>
        <w:t xml:space="preserve">Las candidaturas deben presentarse a más tardar el </w:t>
      </w:r>
      <w:r w:rsidR="00597C51">
        <w:rPr>
          <w:b/>
          <w:color w:val="auto"/>
          <w:sz w:val="22"/>
          <w:szCs w:val="22"/>
          <w:lang w:val="es-ES_tradnl"/>
        </w:rPr>
        <w:t>20</w:t>
      </w:r>
      <w:r w:rsidRPr="000B33F4">
        <w:rPr>
          <w:b/>
          <w:color w:val="auto"/>
          <w:sz w:val="22"/>
          <w:szCs w:val="22"/>
          <w:lang w:val="es-ES_tradnl"/>
        </w:rPr>
        <w:t xml:space="preserve"> de </w:t>
      </w:r>
      <w:r w:rsidR="00E34012">
        <w:rPr>
          <w:b/>
          <w:color w:val="auto"/>
          <w:sz w:val="22"/>
          <w:szCs w:val="22"/>
          <w:lang w:val="es-ES_tradnl"/>
        </w:rPr>
        <w:t>septiembre</w:t>
      </w:r>
      <w:r w:rsidR="007A2BB4">
        <w:rPr>
          <w:b/>
          <w:color w:val="auto"/>
          <w:sz w:val="22"/>
          <w:szCs w:val="22"/>
          <w:lang w:val="es-ES_tradnl"/>
        </w:rPr>
        <w:t xml:space="preserve"> de</w:t>
      </w:r>
      <w:r w:rsidRPr="000B33F4">
        <w:rPr>
          <w:b/>
          <w:color w:val="auto"/>
          <w:sz w:val="22"/>
          <w:szCs w:val="22"/>
          <w:lang w:val="es-ES_tradnl"/>
        </w:rPr>
        <w:t xml:space="preserve"> 2017</w:t>
      </w:r>
      <w:r w:rsidRPr="000B33F4">
        <w:rPr>
          <w:color w:val="auto"/>
          <w:sz w:val="22"/>
          <w:szCs w:val="22"/>
          <w:lang w:val="es-ES_tradnl"/>
        </w:rPr>
        <w:t xml:space="preserve">. </w:t>
      </w:r>
    </w:p>
    <w:p w:rsidR="00EB09A4" w:rsidRPr="000B33F4" w:rsidRDefault="00EB09A4" w:rsidP="00EB09A4">
      <w:pPr>
        <w:numPr>
          <w:ilvl w:val="0"/>
          <w:numId w:val="4"/>
        </w:numPr>
        <w:tabs>
          <w:tab w:val="left" w:pos="567"/>
        </w:tabs>
        <w:spacing w:after="180"/>
        <w:ind w:right="697"/>
        <w:jc w:val="both"/>
        <w:rPr>
          <w:b/>
          <w:snapToGrid w:val="0"/>
          <w:sz w:val="22"/>
          <w:szCs w:val="22"/>
          <w:u w:val="single"/>
          <w:lang w:val="es-ES"/>
        </w:rPr>
      </w:pPr>
      <w:r w:rsidRPr="000B33F4">
        <w:rPr>
          <w:b/>
          <w:snapToGrid w:val="0"/>
          <w:sz w:val="22"/>
          <w:szCs w:val="22"/>
          <w:u w:val="single"/>
          <w:lang w:val="es-ES"/>
        </w:rPr>
        <w:t>Instrucciones para presentar las candidaturas</w:t>
      </w:r>
    </w:p>
    <w:p w:rsidR="00EB09A4" w:rsidRPr="000B33F4" w:rsidRDefault="00EB09A4" w:rsidP="00EB09A4">
      <w:pPr>
        <w:tabs>
          <w:tab w:val="left" w:pos="567"/>
        </w:tabs>
        <w:spacing w:after="180"/>
        <w:ind w:left="567" w:right="697"/>
        <w:jc w:val="both"/>
        <w:rPr>
          <w:snapToGrid w:val="0"/>
          <w:sz w:val="22"/>
          <w:szCs w:val="22"/>
          <w:lang w:val="es-ES"/>
        </w:rPr>
      </w:pPr>
      <w:r w:rsidRPr="000B33F4">
        <w:rPr>
          <w:snapToGrid w:val="0"/>
          <w:sz w:val="22"/>
          <w:szCs w:val="22"/>
          <w:lang w:val="es-ES"/>
        </w:rPr>
        <w:t xml:space="preserve">Se aceptarán candidaturas presentadas por las partes contratantes y </w:t>
      </w:r>
      <w:r w:rsidR="004D5F75">
        <w:rPr>
          <w:snapToGrid w:val="0"/>
          <w:sz w:val="22"/>
          <w:szCs w:val="22"/>
          <w:lang w:val="es-ES"/>
        </w:rPr>
        <w:t>las organizaciones nacionales o </w:t>
      </w:r>
      <w:r w:rsidRPr="000B33F4">
        <w:rPr>
          <w:snapToGrid w:val="0"/>
          <w:sz w:val="22"/>
          <w:szCs w:val="22"/>
          <w:lang w:val="es-ES"/>
        </w:rPr>
        <w:t>regionales de protección fitosanitaria (ONPF u ORPF). Las candidaturas deberán presentarse a través del punto de contacto de la ONPF u ORPF correspondiente y las auto-candidaturas deberán ir acompañadas de una carta proveniente de una autoridad gubernamental.</w:t>
      </w:r>
    </w:p>
    <w:p w:rsidR="00EB09A4" w:rsidRPr="004D5F75" w:rsidRDefault="00EB09A4" w:rsidP="00EB09A4">
      <w:pPr>
        <w:tabs>
          <w:tab w:val="left" w:pos="567"/>
        </w:tabs>
        <w:spacing w:after="180"/>
        <w:ind w:left="567" w:right="697"/>
        <w:jc w:val="both"/>
        <w:rPr>
          <w:snapToGrid w:val="0"/>
          <w:color w:val="000000"/>
          <w:sz w:val="22"/>
          <w:szCs w:val="22"/>
          <w:lang w:val="es-ES"/>
        </w:rPr>
      </w:pPr>
      <w:r w:rsidRPr="00843CAA">
        <w:rPr>
          <w:snapToGrid w:val="0"/>
          <w:color w:val="000000"/>
          <w:sz w:val="22"/>
          <w:szCs w:val="22"/>
          <w:lang w:val="es-ES"/>
        </w:rPr>
        <w:t xml:space="preserve">La candidatura solo debería presentarse si el candidato está de acuerdo con la propuesta, está disponible para asistir a la reunión en la fecha publicada en el </w:t>
      </w:r>
      <w:hyperlink r:id="rId5" w:history="1">
        <w:r w:rsidR="00E34012" w:rsidRPr="00DF123F">
          <w:rPr>
            <w:rStyle w:val="Hyperlink"/>
            <w:snapToGrid w:val="0"/>
            <w:sz w:val="22"/>
            <w:szCs w:val="22"/>
            <w:lang w:val="es-ES"/>
          </w:rPr>
          <w:t>calendario 2018 de la CIPF</w:t>
        </w:r>
      </w:hyperlink>
      <w:r w:rsidRPr="00DF123F">
        <w:rPr>
          <w:snapToGrid w:val="0"/>
          <w:color w:val="000000"/>
          <w:sz w:val="22"/>
          <w:szCs w:val="22"/>
          <w:lang w:val="es-ES"/>
        </w:rPr>
        <w:t xml:space="preserve"> y puede disponer del tiempo apropiado para la tarea. </w:t>
      </w:r>
      <w:r w:rsidRPr="004D5F75">
        <w:rPr>
          <w:snapToGrid w:val="0"/>
          <w:color w:val="000000"/>
          <w:sz w:val="22"/>
          <w:szCs w:val="22"/>
          <w:lang w:val="es-ES"/>
        </w:rPr>
        <w:t>Toda candidatura debe ir acompañada de la siguiente documentación:</w:t>
      </w:r>
    </w:p>
    <w:p w:rsidR="00EB09A4" w:rsidRPr="000B33F4" w:rsidRDefault="00EB09A4" w:rsidP="008A2F70">
      <w:pPr>
        <w:pStyle w:val="ListParagraph"/>
        <w:numPr>
          <w:ilvl w:val="0"/>
          <w:numId w:val="1"/>
        </w:numPr>
        <w:tabs>
          <w:tab w:val="left" w:pos="1134"/>
        </w:tabs>
        <w:ind w:left="1134" w:right="697" w:hanging="567"/>
        <w:jc w:val="both"/>
        <w:rPr>
          <w:bCs/>
          <w:snapToGrid w:val="0"/>
          <w:sz w:val="22"/>
          <w:szCs w:val="22"/>
          <w:lang w:val="es-ES"/>
        </w:rPr>
      </w:pPr>
      <w:r w:rsidRPr="000B33F4">
        <w:rPr>
          <w:b/>
          <w:snapToGrid w:val="0"/>
          <w:sz w:val="22"/>
          <w:szCs w:val="22"/>
          <w:lang w:val="es-ES"/>
        </w:rPr>
        <w:t>Formulario diligenciado con los datos y el resumen de</w:t>
      </w:r>
      <w:r w:rsidR="004D5F75">
        <w:rPr>
          <w:b/>
          <w:snapToGrid w:val="0"/>
          <w:sz w:val="22"/>
          <w:szCs w:val="22"/>
          <w:lang w:val="es-ES"/>
        </w:rPr>
        <w:t xml:space="preserve"> conocimientos especializados y </w:t>
      </w:r>
      <w:r w:rsidRPr="000B33F4">
        <w:rPr>
          <w:b/>
          <w:snapToGrid w:val="0"/>
          <w:sz w:val="22"/>
          <w:szCs w:val="22"/>
          <w:lang w:val="es-ES"/>
        </w:rPr>
        <w:t>experiencia del candidato.</w:t>
      </w:r>
      <w:r w:rsidRPr="000B33F4">
        <w:rPr>
          <w:snapToGrid w:val="0"/>
          <w:sz w:val="22"/>
          <w:szCs w:val="22"/>
          <w:lang w:val="es-ES"/>
        </w:rPr>
        <w:t xml:space="preserve"> Deben completarse todas las secciones, incluidos los datos de contacto, estudios y formación profesional. Se requiere una descripción clara de la experiencia del candidato.</w:t>
      </w:r>
      <w:r w:rsidR="008A2F70">
        <w:rPr>
          <w:snapToGrid w:val="0"/>
          <w:sz w:val="22"/>
          <w:szCs w:val="22"/>
          <w:lang w:val="es-ES"/>
        </w:rPr>
        <w:t xml:space="preserve"> El nombre del archivo </w:t>
      </w:r>
      <w:r w:rsidR="008A2F70" w:rsidRPr="000B33F4">
        <w:rPr>
          <w:snapToGrid w:val="0"/>
          <w:sz w:val="22"/>
          <w:szCs w:val="22"/>
          <w:lang w:val="es-ES"/>
        </w:rPr>
        <w:t>deberá tener la siguiente forma:</w:t>
      </w:r>
      <w:r w:rsidR="008A2F70">
        <w:rPr>
          <w:snapToGrid w:val="0"/>
          <w:sz w:val="22"/>
          <w:szCs w:val="22"/>
          <w:lang w:val="es-ES"/>
        </w:rPr>
        <w:t xml:space="preserve"> </w:t>
      </w:r>
      <w:proofErr w:type="spellStart"/>
      <w:r w:rsidR="008A2F70" w:rsidRPr="000B33F4">
        <w:rPr>
          <w:b/>
          <w:snapToGrid w:val="0"/>
          <w:sz w:val="22"/>
          <w:szCs w:val="22"/>
          <w:lang w:val="es-ES"/>
        </w:rPr>
        <w:t>PAÍS_APELLIDOS_Nombre_</w:t>
      </w:r>
      <w:r w:rsidR="008A2F70">
        <w:rPr>
          <w:b/>
          <w:snapToGrid w:val="0"/>
          <w:sz w:val="22"/>
          <w:szCs w:val="22"/>
          <w:lang w:val="es-ES"/>
        </w:rPr>
        <w:t>Resumen</w:t>
      </w:r>
      <w:proofErr w:type="spellEnd"/>
      <w:r w:rsidR="008A2F70">
        <w:rPr>
          <w:bCs/>
          <w:snapToGrid w:val="0"/>
          <w:sz w:val="22"/>
          <w:szCs w:val="22"/>
          <w:lang w:val="es-ES"/>
        </w:rPr>
        <w:t>.</w:t>
      </w:r>
    </w:p>
    <w:p w:rsidR="00EB09A4" w:rsidRPr="000B33F4" w:rsidRDefault="00EB09A4" w:rsidP="00EB09A4">
      <w:pPr>
        <w:pStyle w:val="ListParagraph"/>
        <w:numPr>
          <w:ilvl w:val="0"/>
          <w:numId w:val="1"/>
        </w:numPr>
        <w:tabs>
          <w:tab w:val="left" w:pos="1134"/>
        </w:tabs>
        <w:ind w:left="1134" w:right="697" w:hanging="567"/>
        <w:jc w:val="both"/>
        <w:rPr>
          <w:b/>
          <w:snapToGrid w:val="0"/>
          <w:sz w:val="22"/>
          <w:szCs w:val="22"/>
          <w:lang w:val="es-ES"/>
        </w:rPr>
      </w:pPr>
      <w:r w:rsidRPr="000B33F4">
        <w:rPr>
          <w:b/>
          <w:snapToGrid w:val="0"/>
          <w:sz w:val="22"/>
          <w:szCs w:val="22"/>
          <w:lang w:val="es-ES"/>
        </w:rPr>
        <w:t>Formulario de declaración de compromiso diligenciado y firmado.</w:t>
      </w:r>
      <w:r w:rsidRPr="000B33F4">
        <w:rPr>
          <w:snapToGrid w:val="0"/>
          <w:sz w:val="22"/>
          <w:szCs w:val="22"/>
          <w:lang w:val="es-ES"/>
        </w:rPr>
        <w:t xml:space="preserve"> Cada candidato deberá leerlo cuidadosamente y analizarlo con su empleador. El candidato y una autoridad de la organización que lo emplea, firmarán el formulario, que se presentará con la candidatura (como un imagen escaneada, por ejemplo un archivo en PDF). El nombre del archivo deberá tener la siguiente forma: </w:t>
      </w:r>
      <w:proofErr w:type="spellStart"/>
      <w:r w:rsidRPr="000B33F4">
        <w:rPr>
          <w:b/>
          <w:snapToGrid w:val="0"/>
          <w:sz w:val="22"/>
          <w:szCs w:val="22"/>
          <w:lang w:val="es-ES"/>
        </w:rPr>
        <w:t>PAÍS_APELLIDOS_Nombre_</w:t>
      </w:r>
      <w:r w:rsidR="00DF123F">
        <w:rPr>
          <w:b/>
          <w:snapToGrid w:val="0"/>
          <w:sz w:val="22"/>
          <w:szCs w:val="22"/>
          <w:lang w:val="es-ES"/>
        </w:rPr>
        <w:t>C</w:t>
      </w:r>
      <w:r w:rsidRPr="000B33F4">
        <w:rPr>
          <w:b/>
          <w:snapToGrid w:val="0"/>
          <w:sz w:val="22"/>
          <w:szCs w:val="22"/>
          <w:lang w:val="es-ES"/>
        </w:rPr>
        <w:t>ompromiso</w:t>
      </w:r>
      <w:proofErr w:type="spellEnd"/>
      <w:r w:rsidRPr="000B33F4">
        <w:rPr>
          <w:b/>
          <w:snapToGrid w:val="0"/>
          <w:sz w:val="22"/>
          <w:szCs w:val="22"/>
          <w:lang w:val="es-ES"/>
        </w:rPr>
        <w:t>.</w:t>
      </w:r>
    </w:p>
    <w:p w:rsidR="00EB09A4" w:rsidRPr="001514D2" w:rsidRDefault="00EB09A4" w:rsidP="00EB09A4">
      <w:pPr>
        <w:pStyle w:val="ListParagraph"/>
        <w:numPr>
          <w:ilvl w:val="0"/>
          <w:numId w:val="1"/>
        </w:numPr>
        <w:tabs>
          <w:tab w:val="left" w:pos="1134"/>
        </w:tabs>
        <w:spacing w:after="180"/>
        <w:ind w:left="1134" w:right="697" w:hanging="567"/>
        <w:jc w:val="both"/>
        <w:rPr>
          <w:snapToGrid w:val="0"/>
          <w:color w:val="000000"/>
          <w:sz w:val="22"/>
          <w:szCs w:val="22"/>
          <w:u w:val="single"/>
          <w:lang w:val="es-ES"/>
        </w:rPr>
      </w:pPr>
      <w:r w:rsidRPr="000B33F4">
        <w:rPr>
          <w:b/>
          <w:snapToGrid w:val="0"/>
          <w:sz w:val="22"/>
          <w:szCs w:val="22"/>
          <w:lang w:val="es-ES"/>
        </w:rPr>
        <w:t xml:space="preserve">El currículum vítae (CV) del candidato. </w:t>
      </w:r>
      <w:r w:rsidRPr="000B33F4">
        <w:rPr>
          <w:snapToGrid w:val="0"/>
          <w:sz w:val="22"/>
          <w:szCs w:val="22"/>
          <w:lang w:val="es-ES"/>
        </w:rPr>
        <w:t xml:space="preserve">Una copia electrónica del CV del candidato (solamente </w:t>
      </w:r>
      <w:r w:rsidRPr="000B33F4">
        <w:rPr>
          <w:strike/>
          <w:snapToGrid w:val="0"/>
          <w:sz w:val="22"/>
          <w:szCs w:val="22"/>
          <w:lang w:val="es-ES"/>
        </w:rPr>
        <w:t>en</w:t>
      </w:r>
      <w:r w:rsidRPr="000B33F4">
        <w:rPr>
          <w:snapToGrid w:val="0"/>
          <w:sz w:val="22"/>
          <w:szCs w:val="22"/>
          <w:lang w:val="es-ES"/>
        </w:rPr>
        <w:t xml:space="preserve"> como archivo de un programa de tratamiento de textos como MS Word) con el nombre del archivo escrito </w:t>
      </w:r>
      <w:r w:rsidRPr="001514D2">
        <w:rPr>
          <w:snapToGrid w:val="0"/>
          <w:color w:val="000000"/>
          <w:sz w:val="22"/>
          <w:szCs w:val="22"/>
          <w:lang w:val="es-ES"/>
        </w:rPr>
        <w:t xml:space="preserve">de la siguiente forma: </w:t>
      </w:r>
      <w:proofErr w:type="spellStart"/>
      <w:r w:rsidRPr="001514D2">
        <w:rPr>
          <w:b/>
          <w:snapToGrid w:val="0"/>
          <w:color w:val="000000"/>
          <w:sz w:val="22"/>
          <w:szCs w:val="22"/>
          <w:lang w:val="es-ES"/>
        </w:rPr>
        <w:t>PAÍS_APELLIDOS_Nombre_CV</w:t>
      </w:r>
      <w:proofErr w:type="spellEnd"/>
      <w:r w:rsidRPr="001514D2">
        <w:rPr>
          <w:b/>
          <w:snapToGrid w:val="0"/>
          <w:color w:val="000000"/>
          <w:sz w:val="22"/>
          <w:szCs w:val="22"/>
          <w:lang w:val="es-ES"/>
        </w:rPr>
        <w:t>.</w:t>
      </w:r>
    </w:p>
    <w:p w:rsidR="00EB09A4" w:rsidRDefault="00EB09A4">
      <w:pPr>
        <w:tabs>
          <w:tab w:val="left" w:pos="567"/>
        </w:tabs>
        <w:spacing w:after="180"/>
        <w:ind w:left="567" w:right="697"/>
        <w:jc w:val="both"/>
        <w:rPr>
          <w:b/>
          <w:sz w:val="22"/>
          <w:szCs w:val="22"/>
          <w:u w:val="single"/>
          <w:lang w:val="es-ES"/>
        </w:rPr>
      </w:pPr>
      <w:r w:rsidRPr="00843CAA">
        <w:rPr>
          <w:snapToGrid w:val="0"/>
          <w:color w:val="000000"/>
          <w:sz w:val="22"/>
          <w:szCs w:val="22"/>
          <w:lang w:val="es-ES"/>
        </w:rPr>
        <w:t xml:space="preserve">Las </w:t>
      </w:r>
      <w:r w:rsidRPr="000B33F4">
        <w:rPr>
          <w:snapToGrid w:val="0"/>
          <w:sz w:val="22"/>
          <w:szCs w:val="22"/>
          <w:lang w:val="es-ES"/>
        </w:rPr>
        <w:t xml:space="preserve">candidaturas deberán enviarse </w:t>
      </w:r>
      <w:r w:rsidRPr="00C475DB">
        <w:rPr>
          <w:snapToGrid w:val="0"/>
          <w:sz w:val="22"/>
          <w:szCs w:val="22"/>
          <w:lang w:val="es-ES"/>
        </w:rPr>
        <w:t>a la Secretaría de la CIPF por correo electrónico (</w:t>
      </w:r>
      <w:hyperlink r:id="rId6">
        <w:r w:rsidRPr="00C475DB">
          <w:rPr>
            <w:rStyle w:val="Hyperlink"/>
            <w:snapToGrid w:val="0"/>
            <w:sz w:val="22"/>
            <w:szCs w:val="22"/>
            <w:lang w:val="es-ES"/>
          </w:rPr>
          <w:t>ippc@fao.org</w:t>
        </w:r>
      </w:hyperlink>
      <w:r w:rsidR="004D5F75">
        <w:rPr>
          <w:snapToGrid w:val="0"/>
          <w:sz w:val="22"/>
          <w:szCs w:val="22"/>
          <w:lang w:val="es-ES"/>
        </w:rPr>
        <w:t>) a </w:t>
      </w:r>
      <w:r w:rsidRPr="00C475DB">
        <w:rPr>
          <w:snapToGrid w:val="0"/>
          <w:sz w:val="22"/>
          <w:szCs w:val="22"/>
          <w:lang w:val="es-ES"/>
        </w:rPr>
        <w:t xml:space="preserve">más tardar el </w:t>
      </w:r>
      <w:r w:rsidR="00597C51">
        <w:rPr>
          <w:b/>
          <w:bCs/>
          <w:snapToGrid w:val="0"/>
          <w:sz w:val="22"/>
          <w:szCs w:val="22"/>
          <w:lang w:val="es-ES"/>
        </w:rPr>
        <w:t>20</w:t>
      </w:r>
      <w:r w:rsidRPr="00C475DB">
        <w:rPr>
          <w:b/>
          <w:bCs/>
          <w:snapToGrid w:val="0"/>
          <w:sz w:val="22"/>
          <w:szCs w:val="22"/>
          <w:lang w:val="es-ES"/>
        </w:rPr>
        <w:t xml:space="preserve"> </w:t>
      </w:r>
      <w:r w:rsidRPr="00C475DB">
        <w:rPr>
          <w:b/>
          <w:snapToGrid w:val="0"/>
          <w:sz w:val="22"/>
          <w:szCs w:val="22"/>
          <w:lang w:val="es-ES"/>
        </w:rPr>
        <w:t xml:space="preserve">de </w:t>
      </w:r>
      <w:r w:rsidR="00CC7123">
        <w:rPr>
          <w:b/>
          <w:snapToGrid w:val="0"/>
          <w:sz w:val="22"/>
          <w:szCs w:val="22"/>
          <w:lang w:val="es-ES"/>
        </w:rPr>
        <w:t>septiembre</w:t>
      </w:r>
      <w:r w:rsidRPr="00C475DB">
        <w:rPr>
          <w:b/>
          <w:snapToGrid w:val="0"/>
          <w:sz w:val="22"/>
          <w:szCs w:val="22"/>
          <w:lang w:val="es-ES"/>
        </w:rPr>
        <w:t xml:space="preserve"> </w:t>
      </w:r>
      <w:r w:rsidR="004D5F75">
        <w:rPr>
          <w:b/>
          <w:snapToGrid w:val="0"/>
          <w:sz w:val="22"/>
          <w:szCs w:val="22"/>
          <w:lang w:val="es-ES"/>
        </w:rPr>
        <w:t xml:space="preserve">de </w:t>
      </w:r>
      <w:bookmarkStart w:id="0" w:name="_GoBack"/>
      <w:bookmarkEnd w:id="0"/>
      <w:r w:rsidRPr="00C475DB">
        <w:rPr>
          <w:b/>
          <w:snapToGrid w:val="0"/>
          <w:sz w:val="22"/>
          <w:szCs w:val="22"/>
          <w:lang w:val="es-ES"/>
        </w:rPr>
        <w:t>2017</w:t>
      </w:r>
      <w:r w:rsidRPr="00843CAA">
        <w:rPr>
          <w:snapToGrid w:val="0"/>
          <w:color w:val="000000"/>
          <w:sz w:val="22"/>
          <w:szCs w:val="22"/>
          <w:lang w:val="es-ES"/>
        </w:rPr>
        <w:t>. El nombre del país o la ORPF que propone al candidato y la referencia “Convocatoria de exp</w:t>
      </w:r>
      <w:r w:rsidRPr="000B33F4">
        <w:rPr>
          <w:snapToGrid w:val="0"/>
          <w:sz w:val="22"/>
          <w:szCs w:val="22"/>
          <w:lang w:val="es-ES"/>
        </w:rPr>
        <w:t xml:space="preserve">ertos” deberán indicarse </w:t>
      </w:r>
      <w:r w:rsidRPr="00843CAA">
        <w:rPr>
          <w:snapToGrid w:val="0"/>
          <w:color w:val="000000"/>
          <w:sz w:val="22"/>
          <w:szCs w:val="22"/>
          <w:lang w:val="es-ES"/>
        </w:rPr>
        <w:t>en el asunto del mensaje electrónico. El CN examinará las candidaturas y seleccionará a los expertos en función de la experiencia que presenten. La Secretaría se pondrá en contacto con los expertos seleccionados una vez que se hayan confirmado las candidaturas.</w:t>
      </w:r>
    </w:p>
    <w:p w:rsidR="00EB09A4" w:rsidRPr="006A0509" w:rsidRDefault="00EB09A4" w:rsidP="00EB09A4">
      <w:pPr>
        <w:pStyle w:val="Default"/>
        <w:numPr>
          <w:ilvl w:val="0"/>
          <w:numId w:val="4"/>
        </w:numPr>
        <w:spacing w:after="180"/>
        <w:ind w:right="697"/>
        <w:jc w:val="both"/>
        <w:rPr>
          <w:b/>
          <w:bCs/>
          <w:sz w:val="22"/>
          <w:szCs w:val="22"/>
          <w:u w:val="single"/>
          <w:lang w:val="es-ES_tradnl"/>
        </w:rPr>
      </w:pPr>
      <w:r w:rsidRPr="006A0509">
        <w:rPr>
          <w:b/>
          <w:sz w:val="22"/>
          <w:szCs w:val="22"/>
          <w:u w:val="single"/>
          <w:lang w:val="es-ES_tradnl"/>
        </w:rPr>
        <w:t>Criterios de prioridad aplicados en la concesión de ayuda de la Secretaría de la CIPF para financiar la asistencia a las reuniones</w:t>
      </w:r>
    </w:p>
    <w:p w:rsidR="00EB09A4" w:rsidRPr="00843CAA" w:rsidRDefault="00EB09A4" w:rsidP="00EB09A4">
      <w:pPr>
        <w:tabs>
          <w:tab w:val="num" w:pos="-240"/>
          <w:tab w:val="left" w:pos="567"/>
        </w:tabs>
        <w:spacing w:after="180"/>
        <w:ind w:left="567" w:right="697"/>
        <w:jc w:val="both"/>
        <w:rPr>
          <w:color w:val="000000"/>
          <w:sz w:val="22"/>
          <w:szCs w:val="22"/>
          <w:lang w:val="es-ES"/>
        </w:rPr>
      </w:pPr>
      <w:r w:rsidRPr="00843CAA">
        <w:rPr>
          <w:color w:val="000000"/>
          <w:sz w:val="22"/>
          <w:szCs w:val="22"/>
          <w:lang w:val="es-ES"/>
        </w:rPr>
        <w:t>La organización en la que trabaje un participante en las reuniones de la CIPF tendrá la responsabilidad de sufragar los gastos de viaje y dietas necesarios para que la persona pueda asistir a las mismas. Si el empleador no está en condiciones de asignar suficientes fondos, se incita primeramente a los participantes a recabar asistencia de otras fuentes distintas</w:t>
      </w:r>
      <w:r w:rsidRPr="000B33F4">
        <w:rPr>
          <w:sz w:val="22"/>
          <w:szCs w:val="22"/>
          <w:lang w:val="es-ES"/>
        </w:rPr>
        <w:t xml:space="preserve"> a </w:t>
      </w:r>
      <w:r w:rsidRPr="00843CAA">
        <w:rPr>
          <w:color w:val="000000"/>
          <w:sz w:val="22"/>
          <w:szCs w:val="22"/>
          <w:lang w:val="es-ES"/>
        </w:rPr>
        <w:t xml:space="preserve">la Secretaría de la CIPF. Si se demuestra que un participante ha tratado de conseguir financiación pero no lo ha logrado, dicho participante podrá solicitar ayuda a la Secretaría de la CIPF para sufragar sus gastos de viaje y dietas. Los fondos de la CIPF destinados a facilitar la asistencia a las reuniones suelen ser limitados y, la Secretaría </w:t>
      </w:r>
      <w:r>
        <w:rPr>
          <w:color w:val="000000"/>
          <w:sz w:val="22"/>
          <w:szCs w:val="22"/>
          <w:lang w:val="es-ES"/>
        </w:rPr>
        <w:t>s</w:t>
      </w:r>
      <w:r w:rsidRPr="00843CAA">
        <w:rPr>
          <w:color w:val="000000"/>
          <w:sz w:val="22"/>
          <w:szCs w:val="22"/>
          <w:lang w:val="es-ES"/>
        </w:rPr>
        <w:t xml:space="preserve">eguirá </w:t>
      </w:r>
      <w:hyperlink r:id="rId7" w:history="1">
        <w:r w:rsidRPr="00C475DB">
          <w:rPr>
            <w:rStyle w:val="Hyperlink"/>
            <w:sz w:val="22"/>
            <w:szCs w:val="22"/>
            <w:lang w:val="es-ES"/>
          </w:rPr>
          <w:t>los criterios de financiación</w:t>
        </w:r>
      </w:hyperlink>
      <w:r w:rsidRPr="00843CAA">
        <w:rPr>
          <w:color w:val="000000"/>
          <w:sz w:val="22"/>
          <w:szCs w:val="22"/>
          <w:lang w:val="es-ES"/>
        </w:rPr>
        <w:t>.</w:t>
      </w:r>
    </w:p>
    <w:p w:rsidR="00EB09A4" w:rsidRPr="00843CAA" w:rsidRDefault="00EB09A4" w:rsidP="00EB09A4">
      <w:pPr>
        <w:tabs>
          <w:tab w:val="num" w:pos="-240"/>
          <w:tab w:val="left" w:pos="567"/>
        </w:tabs>
        <w:spacing w:after="180"/>
        <w:ind w:left="567" w:right="697"/>
        <w:jc w:val="both"/>
        <w:rPr>
          <w:color w:val="000000"/>
          <w:sz w:val="22"/>
          <w:szCs w:val="22"/>
          <w:lang w:val="es-ES"/>
        </w:rPr>
      </w:pPr>
      <w:r w:rsidRPr="00843CAA">
        <w:rPr>
          <w:color w:val="000000"/>
          <w:sz w:val="22"/>
          <w:szCs w:val="22"/>
          <w:lang w:val="es-ES"/>
        </w:rPr>
        <w:t xml:space="preserve">Se espera que los participantes asistan a todas las sesiones de la reunión, por lo que aquellos que tengan pensado asistir únicamente a parte de ella </w:t>
      </w:r>
      <w:r w:rsidRPr="000B33F4">
        <w:rPr>
          <w:sz w:val="22"/>
          <w:szCs w:val="22"/>
          <w:lang w:val="es-ES"/>
        </w:rPr>
        <w:t xml:space="preserve">deberán </w:t>
      </w:r>
      <w:r w:rsidRPr="00843CAA">
        <w:rPr>
          <w:color w:val="000000"/>
          <w:sz w:val="22"/>
          <w:szCs w:val="22"/>
          <w:lang w:val="es-ES"/>
        </w:rPr>
        <w:t>financiar sus propios viajes.</w:t>
      </w:r>
    </w:p>
    <w:p w:rsidR="00EB09A4" w:rsidRPr="006A0509" w:rsidRDefault="00EB09A4" w:rsidP="00EB09A4">
      <w:pPr>
        <w:pStyle w:val="Default"/>
        <w:numPr>
          <w:ilvl w:val="0"/>
          <w:numId w:val="4"/>
        </w:numPr>
        <w:spacing w:after="180"/>
        <w:ind w:right="697"/>
        <w:jc w:val="both"/>
        <w:rPr>
          <w:b/>
          <w:sz w:val="22"/>
          <w:szCs w:val="22"/>
          <w:u w:val="single"/>
          <w:lang w:val="es-ES_tradnl"/>
        </w:rPr>
      </w:pPr>
      <w:bookmarkStart w:id="1" w:name="Upper_middle_income"/>
      <w:bookmarkEnd w:id="1"/>
      <w:r>
        <w:rPr>
          <w:b/>
          <w:sz w:val="22"/>
          <w:szCs w:val="22"/>
          <w:u w:val="single"/>
          <w:lang w:val="es-ES_tradnl"/>
        </w:rPr>
        <w:t xml:space="preserve">Conocimientos </w:t>
      </w:r>
      <w:r w:rsidRPr="00756911">
        <w:rPr>
          <w:b/>
          <w:sz w:val="22"/>
          <w:szCs w:val="22"/>
          <w:u w:val="single"/>
          <w:lang w:val="es-ES_tradnl"/>
        </w:rPr>
        <w:t>especializado</w:t>
      </w:r>
      <w:r w:rsidRPr="000B33F4">
        <w:rPr>
          <w:b/>
          <w:color w:val="auto"/>
          <w:sz w:val="22"/>
          <w:szCs w:val="22"/>
          <w:u w:val="single"/>
          <w:lang w:val="es-ES_tradnl"/>
        </w:rPr>
        <w:t xml:space="preserve">s </w:t>
      </w:r>
      <w:r w:rsidRPr="006A0509">
        <w:rPr>
          <w:b/>
          <w:sz w:val="22"/>
          <w:szCs w:val="22"/>
          <w:u w:val="single"/>
          <w:lang w:val="es-ES_tradnl"/>
        </w:rPr>
        <w:t>que se requieren</w:t>
      </w:r>
    </w:p>
    <w:p w:rsidR="000A590F" w:rsidRDefault="00EB09A4" w:rsidP="00EB09A4">
      <w:pPr>
        <w:spacing w:after="180"/>
        <w:ind w:left="567" w:right="697"/>
        <w:jc w:val="both"/>
        <w:rPr>
          <w:sz w:val="22"/>
          <w:szCs w:val="22"/>
          <w:lang w:val="es-ES"/>
        </w:rPr>
      </w:pPr>
      <w:r w:rsidRPr="00843CAA">
        <w:rPr>
          <w:sz w:val="22"/>
          <w:szCs w:val="22"/>
          <w:lang w:val="es-ES"/>
        </w:rPr>
        <w:lastRenderedPageBreak/>
        <w:t xml:space="preserve">El Comité de Normas (CN) selecciona a los expertos de acuerdo con </w:t>
      </w:r>
      <w:r w:rsidRPr="00843CAA">
        <w:rPr>
          <w:snapToGrid w:val="0"/>
          <w:color w:val="000000"/>
          <w:sz w:val="22"/>
          <w:szCs w:val="22"/>
          <w:lang w:val="es-ES"/>
        </w:rPr>
        <w:t xml:space="preserve">la correspondencia de los conocimientos </w:t>
      </w:r>
      <w:r w:rsidRPr="00843CAA">
        <w:rPr>
          <w:sz w:val="22"/>
          <w:szCs w:val="22"/>
          <w:lang w:val="es-ES"/>
        </w:rPr>
        <w:t>y la experiencia del candidato con los conocimientos específicos que se requieren.</w:t>
      </w:r>
    </w:p>
    <w:p w:rsidR="000A590F" w:rsidRPr="00897260" w:rsidRDefault="000A590F" w:rsidP="00E44F82">
      <w:pPr>
        <w:pStyle w:val="Default"/>
        <w:spacing w:after="180"/>
        <w:ind w:left="927" w:right="697"/>
        <w:jc w:val="both"/>
        <w:rPr>
          <w:sz w:val="22"/>
          <w:szCs w:val="22"/>
          <w:lang w:val="es-ES_tradnl"/>
        </w:rPr>
      </w:pPr>
      <w:r w:rsidRPr="00897260">
        <w:rPr>
          <w:b/>
          <w:snapToGrid w:val="0"/>
          <w:sz w:val="22"/>
          <w:szCs w:val="22"/>
          <w:lang w:val="es-ES_tradnl"/>
        </w:rPr>
        <w:t xml:space="preserve">Conocimientos </w:t>
      </w:r>
      <w:r w:rsidRPr="00756911">
        <w:rPr>
          <w:b/>
          <w:snapToGrid w:val="0"/>
          <w:sz w:val="22"/>
          <w:szCs w:val="22"/>
          <w:lang w:val="es-ES_tradnl"/>
        </w:rPr>
        <w:t>especializados</w:t>
      </w:r>
      <w:r w:rsidRPr="00897260">
        <w:rPr>
          <w:b/>
          <w:snapToGrid w:val="0"/>
          <w:sz w:val="22"/>
          <w:szCs w:val="22"/>
          <w:lang w:val="es-ES_tradnl"/>
        </w:rPr>
        <w:t xml:space="preserve"> necesarios para el GTE sobre la </w:t>
      </w:r>
      <w:r w:rsidR="00E44F82" w:rsidRPr="00E44F82">
        <w:rPr>
          <w:b/>
          <w:i/>
          <w:iCs/>
          <w:snapToGrid w:val="0"/>
          <w:sz w:val="22"/>
          <w:szCs w:val="22"/>
          <w:lang w:val="es-ES_tradnl"/>
        </w:rPr>
        <w:t xml:space="preserve">Orientación sobre el manejo del riesgo de plagas </w:t>
      </w:r>
      <w:r w:rsidRPr="00897260">
        <w:rPr>
          <w:b/>
          <w:snapToGrid w:val="0"/>
          <w:sz w:val="22"/>
          <w:szCs w:val="22"/>
          <w:lang w:val="es-ES_tradnl"/>
        </w:rPr>
        <w:t xml:space="preserve">(2014-002) </w:t>
      </w:r>
      <w:r w:rsidRPr="00897260">
        <w:rPr>
          <w:sz w:val="22"/>
          <w:szCs w:val="22"/>
          <w:lang w:val="es-ES_tradnl"/>
        </w:rPr>
        <w:t xml:space="preserve">(véase la </w:t>
      </w:r>
      <w:hyperlink r:id="rId8" w:history="1">
        <w:r>
          <w:rPr>
            <w:rStyle w:val="Hyperlink"/>
            <w:sz w:val="22"/>
            <w:szCs w:val="22"/>
            <w:lang w:val="es-ES_tradnl"/>
          </w:rPr>
          <w:t>Especificación 63</w:t>
        </w:r>
      </w:hyperlink>
      <w:r w:rsidRPr="00897260">
        <w:rPr>
          <w:sz w:val="22"/>
          <w:szCs w:val="22"/>
          <w:lang w:val="es-ES_tradnl"/>
        </w:rPr>
        <w:t>)</w:t>
      </w:r>
    </w:p>
    <w:p w:rsidR="00AE659C" w:rsidRDefault="00AE659C" w:rsidP="000A590F">
      <w:pPr>
        <w:pStyle w:val="Default"/>
        <w:spacing w:after="120"/>
        <w:ind w:left="567" w:right="697"/>
        <w:jc w:val="both"/>
        <w:rPr>
          <w:rFonts w:asciiTheme="majorBidi" w:hAnsiTheme="majorBidi" w:cstheme="majorBidi"/>
          <w:sz w:val="22"/>
          <w:szCs w:val="22"/>
          <w:lang w:val="en-GB"/>
        </w:rPr>
      </w:pPr>
    </w:p>
    <w:p w:rsidR="00AE659C" w:rsidRDefault="00AE659C" w:rsidP="00AE659C">
      <w:pPr>
        <w:pStyle w:val="Default"/>
        <w:spacing w:after="120"/>
        <w:ind w:left="567" w:right="697"/>
        <w:jc w:val="both"/>
        <w:rPr>
          <w:sz w:val="22"/>
          <w:szCs w:val="22"/>
          <w:lang w:val="es-419"/>
        </w:rPr>
      </w:pPr>
      <w:r>
        <w:rPr>
          <w:sz w:val="22"/>
          <w:szCs w:val="22"/>
          <w:lang w:val="es-419"/>
        </w:rPr>
        <w:t>D</w:t>
      </w:r>
      <w:r w:rsidRPr="00AE659C">
        <w:rPr>
          <w:sz w:val="22"/>
          <w:szCs w:val="22"/>
          <w:lang w:val="es-419"/>
        </w:rPr>
        <w:t xml:space="preserve">e seis a ocho expertos cuyos conocimientos abarquen, en su conjunto, los siguientes ámbitos: </w:t>
      </w:r>
    </w:p>
    <w:p w:rsidR="00AE659C" w:rsidRPr="00AE659C" w:rsidRDefault="00AE659C" w:rsidP="00AE659C">
      <w:pPr>
        <w:pStyle w:val="Default"/>
        <w:numPr>
          <w:ilvl w:val="0"/>
          <w:numId w:val="10"/>
        </w:numPr>
        <w:spacing w:after="120"/>
        <w:ind w:right="697"/>
        <w:jc w:val="both"/>
        <w:rPr>
          <w:rFonts w:asciiTheme="majorBidi" w:hAnsiTheme="majorBidi" w:cstheme="majorBidi"/>
          <w:sz w:val="22"/>
          <w:szCs w:val="22"/>
          <w:lang w:val="es-419"/>
        </w:rPr>
      </w:pPr>
      <w:r>
        <w:rPr>
          <w:sz w:val="22"/>
          <w:szCs w:val="22"/>
          <w:lang w:val="es-419"/>
        </w:rPr>
        <w:t>R</w:t>
      </w:r>
      <w:r w:rsidRPr="00AE659C">
        <w:rPr>
          <w:sz w:val="22"/>
          <w:szCs w:val="22"/>
          <w:lang w:val="es-419"/>
        </w:rPr>
        <w:t xml:space="preserve">ealización de análisis del riesgo de plagas, </w:t>
      </w:r>
    </w:p>
    <w:p w:rsidR="00AE659C" w:rsidRPr="00AE659C" w:rsidRDefault="00AE659C" w:rsidP="00AE659C">
      <w:pPr>
        <w:pStyle w:val="Default"/>
        <w:numPr>
          <w:ilvl w:val="0"/>
          <w:numId w:val="10"/>
        </w:numPr>
        <w:spacing w:after="120"/>
        <w:ind w:right="697"/>
        <w:jc w:val="both"/>
        <w:rPr>
          <w:rFonts w:asciiTheme="majorBidi" w:hAnsiTheme="majorBidi" w:cstheme="majorBidi"/>
          <w:sz w:val="22"/>
          <w:szCs w:val="22"/>
          <w:lang w:val="es-419"/>
        </w:rPr>
      </w:pPr>
      <w:r>
        <w:rPr>
          <w:sz w:val="22"/>
          <w:szCs w:val="22"/>
          <w:lang w:val="es-419"/>
        </w:rPr>
        <w:t>E</w:t>
      </w:r>
      <w:r w:rsidRPr="00AE659C">
        <w:rPr>
          <w:sz w:val="22"/>
          <w:szCs w:val="22"/>
          <w:lang w:val="es-419"/>
        </w:rPr>
        <w:t>valuación y selección de opciones de manejo del riesgo de plagas</w:t>
      </w:r>
      <w:r>
        <w:rPr>
          <w:sz w:val="22"/>
          <w:szCs w:val="22"/>
          <w:lang w:val="es-419"/>
        </w:rPr>
        <w:t>,</w:t>
      </w:r>
    </w:p>
    <w:p w:rsidR="00AE659C" w:rsidRPr="00AE659C" w:rsidRDefault="00AE659C" w:rsidP="00AE659C">
      <w:pPr>
        <w:pStyle w:val="Default"/>
        <w:numPr>
          <w:ilvl w:val="0"/>
          <w:numId w:val="10"/>
        </w:numPr>
        <w:spacing w:after="120"/>
        <w:ind w:right="697"/>
        <w:jc w:val="both"/>
        <w:rPr>
          <w:rFonts w:asciiTheme="majorBidi" w:hAnsiTheme="majorBidi" w:cstheme="majorBidi"/>
          <w:sz w:val="22"/>
          <w:szCs w:val="22"/>
          <w:lang w:val="es-419"/>
        </w:rPr>
      </w:pPr>
      <w:r>
        <w:rPr>
          <w:sz w:val="22"/>
          <w:szCs w:val="22"/>
          <w:lang w:val="es-419"/>
        </w:rPr>
        <w:t>A</w:t>
      </w:r>
      <w:r w:rsidRPr="00AE659C">
        <w:rPr>
          <w:sz w:val="22"/>
          <w:szCs w:val="22"/>
          <w:lang w:val="es-419"/>
        </w:rPr>
        <w:t xml:space="preserve">plicación de medidas fitosanitarias en el comercio internacional de plantas y productos vegetales. </w:t>
      </w:r>
    </w:p>
    <w:p w:rsidR="00AE659C" w:rsidRDefault="00AE659C" w:rsidP="00AE659C">
      <w:pPr>
        <w:pStyle w:val="Default"/>
        <w:spacing w:after="120"/>
        <w:ind w:left="567" w:right="697"/>
        <w:jc w:val="both"/>
        <w:rPr>
          <w:sz w:val="22"/>
          <w:szCs w:val="22"/>
          <w:lang w:val="es-419"/>
        </w:rPr>
      </w:pPr>
      <w:r w:rsidRPr="00AE659C">
        <w:rPr>
          <w:sz w:val="22"/>
          <w:szCs w:val="22"/>
          <w:lang w:val="es-419"/>
        </w:rPr>
        <w:t>Se otorgará prioridad a aquellos expertos que cuenten con amplia experiencia y conocimientos especializados en varios de estos campos.</w:t>
      </w:r>
    </w:p>
    <w:p w:rsidR="00EB09A4" w:rsidRDefault="00EB09A4">
      <w:pPr>
        <w:spacing w:after="180"/>
        <w:ind w:left="567" w:right="697"/>
        <w:jc w:val="both"/>
        <w:rPr>
          <w:sz w:val="22"/>
          <w:szCs w:val="22"/>
          <w:lang w:val="es-ES"/>
        </w:rPr>
      </w:pPr>
      <w:r w:rsidRPr="00843CAA">
        <w:rPr>
          <w:sz w:val="22"/>
          <w:szCs w:val="22"/>
          <w:lang w:val="es-ES"/>
        </w:rPr>
        <w:t xml:space="preserve">Los debates y el trabajo que realizan los grupos de trabajo de expertos se llevan a cabo en inglés, por lo </w:t>
      </w:r>
      <w:r w:rsidRPr="000B33F4">
        <w:rPr>
          <w:sz w:val="22"/>
          <w:szCs w:val="22"/>
          <w:lang w:val="es-ES"/>
        </w:rPr>
        <w:t xml:space="preserve">que los expertos deberán tener un excelente conocimiento práctico de este idioma. </w:t>
      </w:r>
    </w:p>
    <w:p w:rsidR="00EB09A4" w:rsidRPr="006A0509" w:rsidRDefault="00EB09A4">
      <w:pPr>
        <w:tabs>
          <w:tab w:val="left" w:pos="1134"/>
        </w:tabs>
        <w:spacing w:after="180"/>
        <w:ind w:left="567" w:right="697"/>
        <w:contextualSpacing/>
        <w:jc w:val="both"/>
        <w:rPr>
          <w:sz w:val="22"/>
          <w:szCs w:val="22"/>
          <w:lang w:val="es-ES_tradnl"/>
        </w:rPr>
      </w:pPr>
      <w:r>
        <w:rPr>
          <w:noProof/>
          <w:sz w:val="22"/>
          <w:szCs w:val="22"/>
          <w:lang w:val="es-ES_tradnl" w:eastAsia="en-US"/>
        </w:rPr>
        <w:t>Los expertos seleccionados debe</w:t>
      </w:r>
      <w:r w:rsidR="005108D8" w:rsidRPr="005108D8">
        <w:rPr>
          <w:noProof/>
          <w:sz w:val="22"/>
          <w:szCs w:val="22"/>
          <w:lang w:val="es-ES_tradnl" w:eastAsia="en-US"/>
        </w:rPr>
        <w:t>rá</w:t>
      </w:r>
      <w:r>
        <w:rPr>
          <w:noProof/>
          <w:sz w:val="22"/>
          <w:szCs w:val="22"/>
          <w:lang w:val="es-ES_tradnl" w:eastAsia="en-US"/>
        </w:rPr>
        <w:t xml:space="preserve">n estar disponibles para asistir a la reunión del GTE planeada para los dias </w:t>
      </w:r>
      <w:r w:rsidR="007A2BB4">
        <w:rPr>
          <w:sz w:val="22"/>
          <w:szCs w:val="22"/>
          <w:lang w:val="es-ES_tradnl"/>
        </w:rPr>
        <w:t xml:space="preserve">del </w:t>
      </w:r>
      <w:r w:rsidR="004042AB">
        <w:rPr>
          <w:sz w:val="22"/>
          <w:szCs w:val="22"/>
          <w:lang w:val="es-ES_tradnl"/>
        </w:rPr>
        <w:t>5</w:t>
      </w:r>
      <w:r w:rsidR="007A2BB4">
        <w:rPr>
          <w:sz w:val="22"/>
          <w:szCs w:val="22"/>
          <w:lang w:val="es-ES_tradnl"/>
        </w:rPr>
        <w:t xml:space="preserve"> al </w:t>
      </w:r>
      <w:r w:rsidR="004042AB">
        <w:rPr>
          <w:sz w:val="22"/>
          <w:szCs w:val="22"/>
          <w:lang w:val="es-ES_tradnl"/>
        </w:rPr>
        <w:t>9</w:t>
      </w:r>
      <w:r>
        <w:rPr>
          <w:sz w:val="22"/>
          <w:szCs w:val="22"/>
          <w:lang w:val="es-ES_tradnl"/>
        </w:rPr>
        <w:t xml:space="preserve"> </w:t>
      </w:r>
      <w:r w:rsidRPr="008D6BCA">
        <w:rPr>
          <w:sz w:val="22"/>
          <w:szCs w:val="22"/>
          <w:lang w:val="es-ES_tradnl"/>
        </w:rPr>
        <w:t xml:space="preserve">de </w:t>
      </w:r>
      <w:r w:rsidR="001A1B10">
        <w:rPr>
          <w:sz w:val="22"/>
          <w:szCs w:val="22"/>
          <w:lang w:val="es-ES_tradnl"/>
        </w:rPr>
        <w:t>marzo</w:t>
      </w:r>
      <w:r>
        <w:rPr>
          <w:sz w:val="22"/>
          <w:szCs w:val="22"/>
          <w:lang w:val="es-ES_tradnl"/>
        </w:rPr>
        <w:t xml:space="preserve"> </w:t>
      </w:r>
      <w:r w:rsidR="007A2BB4">
        <w:rPr>
          <w:sz w:val="22"/>
          <w:szCs w:val="22"/>
          <w:lang w:val="es-ES_tradnl"/>
        </w:rPr>
        <w:t xml:space="preserve">de </w:t>
      </w:r>
      <w:r>
        <w:rPr>
          <w:sz w:val="22"/>
          <w:szCs w:val="22"/>
          <w:lang w:val="es-ES_tradnl"/>
        </w:rPr>
        <w:t>201</w:t>
      </w:r>
      <w:r w:rsidR="001A1B10">
        <w:rPr>
          <w:sz w:val="22"/>
          <w:szCs w:val="22"/>
          <w:lang w:val="es-ES_tradnl"/>
        </w:rPr>
        <w:t>8</w:t>
      </w:r>
      <w:r>
        <w:rPr>
          <w:sz w:val="22"/>
          <w:szCs w:val="22"/>
          <w:lang w:val="es-ES_tradnl"/>
        </w:rPr>
        <w:t xml:space="preserve"> en </w:t>
      </w:r>
      <w:r w:rsidR="004042AB">
        <w:rPr>
          <w:sz w:val="22"/>
          <w:szCs w:val="22"/>
          <w:lang w:val="es-ES_tradnl"/>
        </w:rPr>
        <w:t xml:space="preserve">Roma, Italia </w:t>
      </w:r>
      <w:r w:rsidR="005108D8">
        <w:rPr>
          <w:sz w:val="22"/>
          <w:szCs w:val="22"/>
          <w:lang w:val="es-ES_tradnl"/>
        </w:rPr>
        <w:t>u</w:t>
      </w:r>
      <w:r w:rsidR="004042AB">
        <w:rPr>
          <w:sz w:val="22"/>
          <w:szCs w:val="22"/>
          <w:lang w:val="es-ES_tradnl"/>
        </w:rPr>
        <w:t xml:space="preserve"> otro país Mediterráneo (</w:t>
      </w:r>
      <w:r w:rsidR="005108D8">
        <w:rPr>
          <w:sz w:val="22"/>
          <w:szCs w:val="22"/>
          <w:lang w:val="es-ES_tradnl"/>
        </w:rPr>
        <w:t>por determinar</w:t>
      </w:r>
      <w:r w:rsidR="004042AB">
        <w:rPr>
          <w:sz w:val="22"/>
          <w:szCs w:val="22"/>
          <w:lang w:val="es-ES_tradnl"/>
        </w:rPr>
        <w:t>)</w:t>
      </w:r>
      <w:r>
        <w:rPr>
          <w:sz w:val="22"/>
          <w:szCs w:val="22"/>
          <w:lang w:val="es-ES_tradnl"/>
        </w:rPr>
        <w:t xml:space="preserve">. </w:t>
      </w:r>
      <w:r>
        <w:rPr>
          <w:noProof/>
          <w:sz w:val="22"/>
          <w:szCs w:val="22"/>
          <w:lang w:val="es-ES_tradnl" w:eastAsia="en-US"/>
        </w:rPr>
        <w:t xml:space="preserve">Esa fecha se encuentra en el </w:t>
      </w:r>
      <w:hyperlink r:id="rId9" w:history="1">
        <w:r w:rsidR="001A1B10">
          <w:rPr>
            <w:rStyle w:val="Hyperlink"/>
            <w:noProof/>
            <w:sz w:val="22"/>
            <w:szCs w:val="22"/>
            <w:lang w:val="es-ES_tradnl" w:eastAsia="en-US"/>
          </w:rPr>
          <w:t>calendario 2018 de la CIPF</w:t>
        </w:r>
      </w:hyperlink>
      <w:r>
        <w:rPr>
          <w:noProof/>
          <w:sz w:val="22"/>
          <w:szCs w:val="22"/>
          <w:lang w:val="es-ES_tradnl" w:eastAsia="en-US"/>
        </w:rPr>
        <w:t>.</w:t>
      </w:r>
    </w:p>
    <w:p w:rsidR="009971AB" w:rsidRPr="00EB09A4" w:rsidRDefault="009971AB" w:rsidP="00EB09A4">
      <w:pPr>
        <w:rPr>
          <w:lang w:val="es-ES_tradnl"/>
        </w:rPr>
      </w:pPr>
    </w:p>
    <w:sectPr w:rsidR="009971AB" w:rsidRPr="00EB09A4" w:rsidSect="000B33F4">
      <w:footnotePr>
        <w:numRestart w:val="eachPage"/>
      </w:footnotePr>
      <w:pgSz w:w="11907" w:h="16840" w:code="9"/>
      <w:pgMar w:top="1440" w:right="720" w:bottom="1440" w:left="851" w:header="720" w:footer="720" w:gutter="0"/>
      <w:cols w:space="720"/>
      <w:formProt w:val="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35A86"/>
    <w:multiLevelType w:val="hybridMultilevel"/>
    <w:tmpl w:val="295AEE10"/>
    <w:lvl w:ilvl="0" w:tplc="25707F42">
      <w:numFmt w:val="bullet"/>
      <w:lvlText w:val="-"/>
      <w:lvlJc w:val="left"/>
      <w:pPr>
        <w:ind w:left="1875" w:hanging="360"/>
      </w:pPr>
      <w:rPr>
        <w:rFonts w:ascii="Times New Roman" w:eastAsia="Times New Roman" w:hAnsi="Times New Roman" w:cs="Times New Roman"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1" w15:restartNumberingAfterBreak="0">
    <w:nsid w:val="055A0194"/>
    <w:multiLevelType w:val="hybridMultilevel"/>
    <w:tmpl w:val="59EAE05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13C228DB"/>
    <w:multiLevelType w:val="hybridMultilevel"/>
    <w:tmpl w:val="3F8C547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3C58390F"/>
    <w:multiLevelType w:val="hybridMultilevel"/>
    <w:tmpl w:val="59DCB566"/>
    <w:lvl w:ilvl="0" w:tplc="04090001">
      <w:start w:val="1"/>
      <w:numFmt w:val="bullet"/>
      <w:lvlText w:val=""/>
      <w:lvlJc w:val="left"/>
      <w:pPr>
        <w:ind w:left="1026" w:hanging="360"/>
      </w:pPr>
      <w:rPr>
        <w:rFonts w:ascii="Symbol" w:hAnsi="Symbol" w:hint="default"/>
      </w:rPr>
    </w:lvl>
    <w:lvl w:ilvl="1" w:tplc="04090003">
      <w:start w:val="1"/>
      <w:numFmt w:val="bullet"/>
      <w:lvlText w:val="o"/>
      <w:lvlJc w:val="left"/>
      <w:pPr>
        <w:ind w:left="1746" w:hanging="360"/>
      </w:pPr>
      <w:rPr>
        <w:rFonts w:ascii="Courier New" w:hAnsi="Courier New" w:cs="Courier New" w:hint="default"/>
      </w:rPr>
    </w:lvl>
    <w:lvl w:ilvl="2" w:tplc="04090005" w:tentative="1">
      <w:start w:val="1"/>
      <w:numFmt w:val="bullet"/>
      <w:lvlText w:val=""/>
      <w:lvlJc w:val="left"/>
      <w:pPr>
        <w:ind w:left="2466" w:hanging="360"/>
      </w:pPr>
      <w:rPr>
        <w:rFonts w:ascii="Wingdings" w:hAnsi="Wingdings" w:hint="default"/>
      </w:rPr>
    </w:lvl>
    <w:lvl w:ilvl="3" w:tplc="04090001" w:tentative="1">
      <w:start w:val="1"/>
      <w:numFmt w:val="bullet"/>
      <w:lvlText w:val=""/>
      <w:lvlJc w:val="left"/>
      <w:pPr>
        <w:ind w:left="3186" w:hanging="360"/>
      </w:pPr>
      <w:rPr>
        <w:rFonts w:ascii="Symbol" w:hAnsi="Symbol" w:hint="default"/>
      </w:rPr>
    </w:lvl>
    <w:lvl w:ilvl="4" w:tplc="04090003" w:tentative="1">
      <w:start w:val="1"/>
      <w:numFmt w:val="bullet"/>
      <w:lvlText w:val="o"/>
      <w:lvlJc w:val="left"/>
      <w:pPr>
        <w:ind w:left="3906" w:hanging="360"/>
      </w:pPr>
      <w:rPr>
        <w:rFonts w:ascii="Courier New" w:hAnsi="Courier New" w:cs="Courier New" w:hint="default"/>
      </w:rPr>
    </w:lvl>
    <w:lvl w:ilvl="5" w:tplc="04090005" w:tentative="1">
      <w:start w:val="1"/>
      <w:numFmt w:val="bullet"/>
      <w:lvlText w:val=""/>
      <w:lvlJc w:val="left"/>
      <w:pPr>
        <w:ind w:left="4626" w:hanging="360"/>
      </w:pPr>
      <w:rPr>
        <w:rFonts w:ascii="Wingdings" w:hAnsi="Wingdings" w:hint="default"/>
      </w:rPr>
    </w:lvl>
    <w:lvl w:ilvl="6" w:tplc="04090001" w:tentative="1">
      <w:start w:val="1"/>
      <w:numFmt w:val="bullet"/>
      <w:lvlText w:val=""/>
      <w:lvlJc w:val="left"/>
      <w:pPr>
        <w:ind w:left="5346" w:hanging="360"/>
      </w:pPr>
      <w:rPr>
        <w:rFonts w:ascii="Symbol" w:hAnsi="Symbol" w:hint="default"/>
      </w:rPr>
    </w:lvl>
    <w:lvl w:ilvl="7" w:tplc="04090003" w:tentative="1">
      <w:start w:val="1"/>
      <w:numFmt w:val="bullet"/>
      <w:lvlText w:val="o"/>
      <w:lvlJc w:val="left"/>
      <w:pPr>
        <w:ind w:left="6066" w:hanging="360"/>
      </w:pPr>
      <w:rPr>
        <w:rFonts w:ascii="Courier New" w:hAnsi="Courier New" w:cs="Courier New" w:hint="default"/>
      </w:rPr>
    </w:lvl>
    <w:lvl w:ilvl="8" w:tplc="04090005" w:tentative="1">
      <w:start w:val="1"/>
      <w:numFmt w:val="bullet"/>
      <w:lvlText w:val=""/>
      <w:lvlJc w:val="left"/>
      <w:pPr>
        <w:ind w:left="6786" w:hanging="360"/>
      </w:pPr>
      <w:rPr>
        <w:rFonts w:ascii="Wingdings" w:hAnsi="Wingdings" w:hint="default"/>
      </w:rPr>
    </w:lvl>
  </w:abstractNum>
  <w:abstractNum w:abstractNumId="4" w15:restartNumberingAfterBreak="0">
    <w:nsid w:val="599917FD"/>
    <w:multiLevelType w:val="hybridMultilevel"/>
    <w:tmpl w:val="CCBE1356"/>
    <w:lvl w:ilvl="0" w:tplc="00FC0144">
      <w:start w:val="6"/>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5C086EDD"/>
    <w:multiLevelType w:val="hybridMultilevel"/>
    <w:tmpl w:val="D5687E4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5D23505F"/>
    <w:multiLevelType w:val="hybridMultilevel"/>
    <w:tmpl w:val="CEF40B0E"/>
    <w:lvl w:ilvl="0" w:tplc="894EECF4">
      <w:start w:val="1"/>
      <w:numFmt w:val="decimal"/>
      <w:lvlText w:val="%1."/>
      <w:lvlJc w:val="left"/>
      <w:pPr>
        <w:ind w:left="927" w:hanging="360"/>
      </w:pPr>
      <w:rPr>
        <w:rFonts w:hint="default"/>
        <w:b/>
        <w:bC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5DAD71A3"/>
    <w:multiLevelType w:val="hybridMultilevel"/>
    <w:tmpl w:val="917256F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69F81625"/>
    <w:multiLevelType w:val="hybridMultilevel"/>
    <w:tmpl w:val="7A80177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7C9E10D0"/>
    <w:multiLevelType w:val="hybridMultilevel"/>
    <w:tmpl w:val="42C4E19C"/>
    <w:lvl w:ilvl="0" w:tplc="25707F42">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3"/>
  </w:num>
  <w:num w:numId="2">
    <w:abstractNumId w:val="0"/>
  </w:num>
  <w:num w:numId="3">
    <w:abstractNumId w:val="8"/>
  </w:num>
  <w:num w:numId="4">
    <w:abstractNumId w:val="6"/>
  </w:num>
  <w:num w:numId="5">
    <w:abstractNumId w:val="9"/>
  </w:num>
  <w:num w:numId="6">
    <w:abstractNumId w:val="4"/>
  </w:num>
  <w:num w:numId="7">
    <w:abstractNumId w:val="5"/>
  </w:num>
  <w:num w:numId="8">
    <w:abstractNumId w:val="2"/>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numRestart w:val="eachPage"/>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E49"/>
    <w:rsid w:val="000A590F"/>
    <w:rsid w:val="001A1B10"/>
    <w:rsid w:val="002562D6"/>
    <w:rsid w:val="004042AB"/>
    <w:rsid w:val="004D5F75"/>
    <w:rsid w:val="005108D8"/>
    <w:rsid w:val="0052521B"/>
    <w:rsid w:val="00597C51"/>
    <w:rsid w:val="0064467B"/>
    <w:rsid w:val="00753E49"/>
    <w:rsid w:val="007A2BB4"/>
    <w:rsid w:val="008A2F70"/>
    <w:rsid w:val="009971AB"/>
    <w:rsid w:val="00AE659C"/>
    <w:rsid w:val="00BE7878"/>
    <w:rsid w:val="00CB73EF"/>
    <w:rsid w:val="00CC7123"/>
    <w:rsid w:val="00DF123F"/>
    <w:rsid w:val="00E34012"/>
    <w:rsid w:val="00E44F82"/>
    <w:rsid w:val="00EB09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8EE95E-145C-4D00-A1CA-8DAF8C08B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E49"/>
    <w:pPr>
      <w:spacing w:after="0" w:line="240" w:lineRule="auto"/>
    </w:pPr>
    <w:rPr>
      <w:rFonts w:ascii="Times New Roman" w:eastAsia="Times New Roman" w:hAnsi="Times New Roman" w:cs="Times New Roman"/>
      <w:sz w:val="24"/>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53E49"/>
    <w:rPr>
      <w:color w:val="0000FF"/>
      <w:u w:val="single"/>
    </w:rPr>
  </w:style>
  <w:style w:type="paragraph" w:customStyle="1" w:styleId="Default">
    <w:name w:val="Default"/>
    <w:rsid w:val="00753E49"/>
    <w:pPr>
      <w:autoSpaceDE w:val="0"/>
      <w:autoSpaceDN w:val="0"/>
      <w:adjustRightInd w:val="0"/>
      <w:spacing w:after="0" w:line="240" w:lineRule="auto"/>
    </w:pPr>
    <w:rPr>
      <w:rFonts w:ascii="Times New Roman" w:eastAsia="Times New Roman" w:hAnsi="Times New Roman" w:cs="Times New Roman"/>
      <w:color w:val="000000"/>
      <w:sz w:val="24"/>
      <w:szCs w:val="24"/>
      <w:lang w:val="en-CA" w:eastAsia="en-CA"/>
    </w:rPr>
  </w:style>
  <w:style w:type="paragraph" w:styleId="ListParagraph">
    <w:name w:val="List Paragraph"/>
    <w:basedOn w:val="Normal"/>
    <w:uiPriority w:val="34"/>
    <w:qFormat/>
    <w:rsid w:val="00753E49"/>
    <w:pPr>
      <w:ind w:left="720"/>
      <w:contextualSpacing/>
    </w:pPr>
    <w:rPr>
      <w:szCs w:val="24"/>
    </w:rPr>
  </w:style>
  <w:style w:type="paragraph" w:styleId="BalloonText">
    <w:name w:val="Balloon Text"/>
    <w:basedOn w:val="Normal"/>
    <w:link w:val="BalloonTextChar"/>
    <w:uiPriority w:val="99"/>
    <w:semiHidden/>
    <w:unhideWhenUsed/>
    <w:rsid w:val="00E340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012"/>
    <w:rPr>
      <w:rFonts w:ascii="Segoe UI" w:eastAsia="Times New Roman" w:hAnsi="Segoe UI" w:cs="Segoe UI"/>
      <w:sz w:val="18"/>
      <w:szCs w:val="18"/>
      <w:lang w:val="en-GB" w:eastAsia="en-GB"/>
    </w:rPr>
  </w:style>
  <w:style w:type="character" w:styleId="FollowedHyperlink">
    <w:name w:val="FollowedHyperlink"/>
    <w:basedOn w:val="DefaultParagraphFont"/>
    <w:uiPriority w:val="99"/>
    <w:semiHidden/>
    <w:unhideWhenUsed/>
    <w:rsid w:val="006446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pc.int/en/publications/81795/" TargetMode="External"/><Relationship Id="rId3" Type="http://schemas.openxmlformats.org/officeDocument/2006/relationships/settings" Target="settings.xml"/><Relationship Id="rId7" Type="http://schemas.openxmlformats.org/officeDocument/2006/relationships/hyperlink" Target="https://www.ippc.int/en/publications/10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ppc@fao.org" TargetMode="External"/><Relationship Id="rId11" Type="http://schemas.openxmlformats.org/officeDocument/2006/relationships/theme" Target="theme/theme1.xml"/><Relationship Id="rId5" Type="http://schemas.openxmlformats.org/officeDocument/2006/relationships/hyperlink" Target="https://www.ippc.int/en/year/calendar/?year=2018&amp;month=1&amp;day=1&amp;hour=0&amp;minute=0&amp;second=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ppc.int/en/year/calendar/?year=2018&amp;month=1&amp;day=1&amp;hour=0&amp;minute=0&amp;secon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5470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Paul (AGDI)</dc:creator>
  <cp:keywords/>
  <dc:description/>
  <cp:lastModifiedBy>Wlodarczyk, Piotr (AGDI)</cp:lastModifiedBy>
  <cp:revision>3</cp:revision>
  <dcterms:created xsi:type="dcterms:W3CDTF">2017-08-07T06:48:00Z</dcterms:created>
  <dcterms:modified xsi:type="dcterms:W3CDTF">2017-08-07T06:50:00Z</dcterms:modified>
</cp:coreProperties>
</file>