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29" w:rsidRDefault="007B245F">
      <w:pPr>
        <w:jc w:val="center"/>
      </w:pPr>
      <w:bookmarkStart w:id="0" w:name="_GoBack"/>
      <w:bookmarkEnd w:id="0"/>
      <w:r>
        <w:rPr>
          <w:rStyle w:val="PleaseReviewParagraphId"/>
          <w:noProof/>
          <w:sz w:val="20"/>
        </w:rPr>
        <w:t xml:space="preserve">[PleaseReview document review. Review title: 2018 First Consultation: Draft Spec on Use of systems approaches (2015-004). Document title: </w:t>
      </w:r>
      <w:r>
        <w:rPr>
          <w:rStyle w:val="PleaseReviewParagraphId"/>
          <w:noProof/>
          <w:sz w:val="20"/>
        </w:rPr>
        <w:t>2015-004_DraftSpec_SystemsApproaches_Es_2018-05-24.docx]</w:t>
      </w:r>
    </w:p>
    <w:p w:rsidR="00287A29" w:rsidRDefault="007B245F">
      <w:pPr>
        <w:pStyle w:val="IPPHeadSection"/>
        <w:jc w:val="center"/>
        <w:rPr>
          <w:rFonts w:ascii="Times New Roman" w:hAnsi="Times New Roman"/>
          <w:lang w:val="es-ES_tradnl"/>
        </w:rPr>
      </w:pPr>
      <w:r>
        <w:rPr>
          <w:rStyle w:val="PleaseReviewParagraphId"/>
          <w:b w:val="0"/>
        </w:rPr>
        <w:t>[1]</w:t>
      </w:r>
      <w:r>
        <w:rPr>
          <w:rFonts w:ascii="Times New Roman" w:hAnsi="Times New Roman"/>
          <w:lang w:val="es-ES_tradnl"/>
        </w:rPr>
        <w:t>PROYECTO DE ESPECIFICACIÓN PARA LA NIMF: Utilización de enfoques de sistemas para gestionar los riesgos de plagas asociados al movimiento de productos de madera (2015-004)</w:t>
      </w:r>
    </w:p>
    <w:p w:rsidR="00287A29" w:rsidRDefault="007B245F">
      <w:pPr>
        <w:pStyle w:val="IPPHeading1"/>
      </w:pPr>
      <w:r>
        <w:rPr>
          <w:rStyle w:val="PleaseReviewParagraphId"/>
          <w:b w:val="0"/>
        </w:rPr>
        <w:t>[2]</w:t>
      </w:r>
      <w:r>
        <w:rPr>
          <w:rFonts w:ascii="Times New Roman" w:hAnsi="Times New Roman"/>
        </w:rPr>
        <w:t>Estado de la elaborac</w:t>
      </w:r>
      <w:r>
        <w:rPr>
          <w:rFonts w:ascii="Times New Roman" w:hAnsi="Times New Roman"/>
        </w:rPr>
        <w:t>ión</w:t>
      </w:r>
    </w:p>
    <w:tbl>
      <w:tblPr>
        <w:tblpPr w:leftFromText="180" w:rightFromText="180" w:vertAnchor="text" w:horzAnchor="margin" w:tblpY="146"/>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61"/>
        <w:gridCol w:w="6816"/>
      </w:tblGrid>
      <w:tr w:rsidR="00287A29">
        <w:trPr>
          <w:trHeight w:val="286"/>
        </w:trPr>
        <w:tc>
          <w:tcPr>
            <w:tcW w:w="9180" w:type="dxa"/>
            <w:gridSpan w:val="2"/>
          </w:tcPr>
          <w:p w:rsidR="00287A29" w:rsidRDefault="007B245F">
            <w:pPr>
              <w:spacing w:before="60" w:after="60"/>
              <w:rPr>
                <w:rFonts w:ascii="Arial" w:eastAsia="Times" w:hAnsi="Arial"/>
                <w:sz w:val="18"/>
                <w:szCs w:val="18"/>
                <w:lang w:val="es-ES_tradnl"/>
              </w:rPr>
            </w:pPr>
            <w:r>
              <w:rPr>
                <w:rStyle w:val="PleaseReviewParagraphId"/>
              </w:rPr>
              <w:t>[3]</w:t>
            </w:r>
            <w:r>
              <w:rPr>
                <w:rFonts w:ascii="Arial" w:hAnsi="Arial"/>
                <w:sz w:val="18"/>
                <w:lang w:val="es-ES_tradnl"/>
              </w:rPr>
              <w:t>Esta no es una parte oficial de la especificación; después de la aprobación será modificada por la Secretaría de la CIPF.</w:t>
            </w:r>
          </w:p>
        </w:tc>
      </w:tr>
      <w:tr w:rsidR="00287A29">
        <w:trPr>
          <w:trHeight w:val="286"/>
        </w:trPr>
        <w:tc>
          <w:tcPr>
            <w:tcW w:w="2273" w:type="dxa"/>
          </w:tcPr>
          <w:p w:rsidR="00287A29" w:rsidRDefault="007B245F">
            <w:pPr>
              <w:spacing w:before="60" w:after="60"/>
              <w:rPr>
                <w:rFonts w:ascii="Arial" w:eastAsia="Times" w:hAnsi="Arial"/>
                <w:b/>
                <w:bCs/>
                <w:sz w:val="18"/>
                <w:szCs w:val="18"/>
              </w:rPr>
            </w:pPr>
            <w:r>
              <w:rPr>
                <w:rStyle w:val="PleaseReviewParagraphId"/>
              </w:rPr>
              <w:t>[4]</w:t>
            </w:r>
            <w:r>
              <w:rPr>
                <w:rFonts w:ascii="Arial" w:hAnsi="Arial"/>
                <w:b/>
                <w:sz w:val="18"/>
              </w:rPr>
              <w:t>Fecha de este documento</w:t>
            </w:r>
          </w:p>
        </w:tc>
        <w:tc>
          <w:tcPr>
            <w:tcW w:w="6907" w:type="dxa"/>
          </w:tcPr>
          <w:p w:rsidR="00287A29" w:rsidRDefault="007B245F">
            <w:pPr>
              <w:spacing w:before="58" w:after="58"/>
              <w:rPr>
                <w:rFonts w:ascii="Arial" w:eastAsia="Times" w:hAnsi="Arial"/>
                <w:sz w:val="18"/>
                <w:szCs w:val="18"/>
              </w:rPr>
            </w:pPr>
            <w:r>
              <w:rPr>
                <w:rStyle w:val="PleaseReviewParagraphId"/>
              </w:rPr>
              <w:t>[5]</w:t>
            </w:r>
            <w:r>
              <w:rPr>
                <w:rFonts w:ascii="Arial" w:hAnsi="Arial"/>
                <w:sz w:val="18"/>
              </w:rPr>
              <w:t>26/03/2017</w:t>
            </w:r>
          </w:p>
        </w:tc>
      </w:tr>
      <w:tr w:rsidR="00287A29">
        <w:trPr>
          <w:trHeight w:val="286"/>
        </w:trPr>
        <w:tc>
          <w:tcPr>
            <w:tcW w:w="2273" w:type="dxa"/>
          </w:tcPr>
          <w:p w:rsidR="00287A29" w:rsidRDefault="007B245F">
            <w:pPr>
              <w:spacing w:before="60" w:after="60"/>
              <w:rPr>
                <w:rFonts w:ascii="Arial" w:eastAsia="Times" w:hAnsi="Arial"/>
                <w:b/>
                <w:bCs/>
                <w:sz w:val="18"/>
                <w:szCs w:val="18"/>
              </w:rPr>
            </w:pPr>
            <w:r>
              <w:rPr>
                <w:rStyle w:val="PleaseReviewParagraphId"/>
              </w:rPr>
              <w:t>[6]</w:t>
            </w:r>
            <w:r>
              <w:rPr>
                <w:rFonts w:ascii="Arial" w:hAnsi="Arial"/>
                <w:b/>
                <w:sz w:val="18"/>
              </w:rPr>
              <w:t>Categoría del documento</w:t>
            </w:r>
          </w:p>
        </w:tc>
        <w:tc>
          <w:tcPr>
            <w:tcW w:w="6907" w:type="dxa"/>
          </w:tcPr>
          <w:p w:rsidR="00287A29" w:rsidRDefault="007B245F">
            <w:pPr>
              <w:tabs>
                <w:tab w:val="left" w:pos="4170"/>
              </w:tabs>
              <w:spacing w:before="58"/>
              <w:rPr>
                <w:rFonts w:ascii="Arial" w:eastAsia="Times" w:hAnsi="Arial"/>
                <w:color w:val="0070C0"/>
                <w:sz w:val="18"/>
                <w:szCs w:val="18"/>
                <w:lang w:val="es-ES_tradnl"/>
              </w:rPr>
            </w:pPr>
            <w:r>
              <w:rPr>
                <w:rStyle w:val="PleaseReviewParagraphId"/>
              </w:rPr>
              <w:t>[7]</w:t>
            </w:r>
            <w:r>
              <w:rPr>
                <w:rFonts w:ascii="Arial" w:hAnsi="Arial"/>
                <w:sz w:val="18"/>
                <w:lang w:val="es-ES_tradnl"/>
              </w:rPr>
              <w:t>Proyecto de especificación para una NIMF</w:t>
            </w:r>
          </w:p>
        </w:tc>
      </w:tr>
      <w:tr w:rsidR="00287A29">
        <w:trPr>
          <w:trHeight w:val="299"/>
        </w:trPr>
        <w:tc>
          <w:tcPr>
            <w:tcW w:w="2273" w:type="dxa"/>
          </w:tcPr>
          <w:p w:rsidR="00287A29" w:rsidRDefault="007B245F">
            <w:pPr>
              <w:spacing w:before="60" w:after="60"/>
              <w:rPr>
                <w:rFonts w:ascii="Arial" w:eastAsia="Times" w:hAnsi="Arial"/>
                <w:b/>
                <w:bCs/>
                <w:sz w:val="18"/>
                <w:szCs w:val="18"/>
              </w:rPr>
            </w:pPr>
            <w:r>
              <w:rPr>
                <w:rStyle w:val="PleaseReviewParagraphId"/>
              </w:rPr>
              <w:t>[8]</w:t>
            </w:r>
            <w:r>
              <w:rPr>
                <w:rFonts w:ascii="Arial" w:hAnsi="Arial"/>
                <w:b/>
                <w:sz w:val="18"/>
              </w:rPr>
              <w:t xml:space="preserve">Etapa </w:t>
            </w:r>
            <w:r>
              <w:rPr>
                <w:rFonts w:ascii="Arial" w:hAnsi="Arial"/>
                <w:b/>
                <w:sz w:val="18"/>
              </w:rPr>
              <w:t>actual del documento</w:t>
            </w:r>
          </w:p>
        </w:tc>
        <w:tc>
          <w:tcPr>
            <w:tcW w:w="6907" w:type="dxa"/>
          </w:tcPr>
          <w:p w:rsidR="00287A29" w:rsidRDefault="007B245F">
            <w:pPr>
              <w:spacing w:before="58"/>
              <w:rPr>
                <w:rFonts w:ascii="Arial" w:eastAsia="Times" w:hAnsi="Arial"/>
                <w:color w:val="0070C0"/>
                <w:sz w:val="18"/>
                <w:szCs w:val="18"/>
              </w:rPr>
            </w:pPr>
            <w:r>
              <w:rPr>
                <w:rStyle w:val="PleaseReviewParagraphId"/>
              </w:rPr>
              <w:t>[9]</w:t>
            </w:r>
            <w:r>
              <w:rPr>
                <w:rFonts w:ascii="Arial" w:hAnsi="Arial"/>
                <w:i/>
                <w:sz w:val="18"/>
              </w:rPr>
              <w:t>Para</w:t>
            </w:r>
            <w:r>
              <w:rPr>
                <w:rFonts w:ascii="Arial" w:hAnsi="Arial"/>
                <w:sz w:val="18"/>
              </w:rPr>
              <w:t xml:space="preserve"> consulta</w:t>
            </w:r>
          </w:p>
        </w:tc>
      </w:tr>
      <w:tr w:rsidR="00287A29">
        <w:trPr>
          <w:trHeight w:val="491"/>
        </w:trPr>
        <w:tc>
          <w:tcPr>
            <w:tcW w:w="2273" w:type="dxa"/>
          </w:tcPr>
          <w:p w:rsidR="00287A29" w:rsidRDefault="007B245F">
            <w:pPr>
              <w:spacing w:before="60" w:after="60"/>
              <w:rPr>
                <w:rFonts w:ascii="Arial" w:eastAsia="Times" w:hAnsi="Arial"/>
                <w:b/>
                <w:bCs/>
                <w:sz w:val="18"/>
                <w:szCs w:val="18"/>
              </w:rPr>
            </w:pPr>
            <w:r>
              <w:rPr>
                <w:rStyle w:val="PleaseReviewParagraphId"/>
              </w:rPr>
              <w:t>[10]</w:t>
            </w:r>
            <w:r>
              <w:rPr>
                <w:rFonts w:ascii="Arial" w:hAnsi="Arial"/>
                <w:b/>
                <w:sz w:val="18"/>
              </w:rPr>
              <w:t>Etapas principales</w:t>
            </w:r>
          </w:p>
        </w:tc>
        <w:tc>
          <w:tcPr>
            <w:tcW w:w="6907" w:type="dxa"/>
          </w:tcPr>
          <w:p w:rsidR="00287A29" w:rsidRDefault="007B245F">
            <w:pPr>
              <w:spacing w:before="58" w:after="58"/>
              <w:rPr>
                <w:rFonts w:ascii="Arial" w:eastAsia="MS Mincho" w:hAnsi="Arial" w:cs="Arial"/>
                <w:iCs/>
                <w:sz w:val="18"/>
                <w:szCs w:val="18"/>
                <w:lang w:val="es-ES_tradnl"/>
              </w:rPr>
            </w:pPr>
            <w:r>
              <w:rPr>
                <w:rStyle w:val="PleaseReviewParagraphId"/>
              </w:rPr>
              <w:t>[11]</w:t>
            </w:r>
            <w:r>
              <w:rPr>
                <w:rFonts w:ascii="Arial" w:hAnsi="Arial"/>
                <w:sz w:val="18"/>
                <w:lang w:val="es-ES_tradnl"/>
              </w:rPr>
              <w:t xml:space="preserve">2016-11: El Comité de Normas (CN) recomendó añadir el tema </w:t>
            </w:r>
            <w:r>
              <w:rPr>
                <w:rFonts w:ascii="Arial" w:hAnsi="Arial"/>
                <w:i/>
                <w:sz w:val="18"/>
                <w:lang w:val="es-ES_tradnl"/>
              </w:rPr>
              <w:t>Utilización de enfoques de sistemas para gestionar riesgos asociados al movimiento de productos de madera</w:t>
            </w:r>
            <w:r>
              <w:rPr>
                <w:rFonts w:ascii="Arial" w:hAnsi="Arial"/>
                <w:sz w:val="18"/>
                <w:lang w:val="es-ES_tradnl"/>
              </w:rPr>
              <w:t xml:space="preserve"> (2015-004) al programa de trabajo.</w:t>
            </w:r>
          </w:p>
          <w:p w:rsidR="00287A29" w:rsidRDefault="007B245F">
            <w:pPr>
              <w:spacing w:before="58" w:after="58"/>
              <w:rPr>
                <w:rFonts w:ascii="Arial" w:eastAsia="MS Mincho" w:hAnsi="Arial" w:cs="Arial"/>
                <w:sz w:val="18"/>
                <w:szCs w:val="18"/>
                <w:lang w:val="es-ES_tradnl"/>
              </w:rPr>
            </w:pPr>
            <w:r>
              <w:rPr>
                <w:rStyle w:val="PleaseReviewParagraphId"/>
              </w:rPr>
              <w:t>[12]</w:t>
            </w:r>
            <w:r>
              <w:rPr>
                <w:rStyle w:val="PleaseReviewParagraphId"/>
                <w:lang w:val="es-ES_tradnl"/>
              </w:rPr>
              <w:t>[12]</w:t>
            </w:r>
            <w:r>
              <w:rPr>
                <w:rFonts w:ascii="Arial" w:hAnsi="Arial"/>
                <w:sz w:val="18"/>
                <w:lang w:val="es-ES_tradnl"/>
              </w:rPr>
              <w:t xml:space="preserve">2017-04: La CMF-12 añadió el tema </w:t>
            </w:r>
            <w:r>
              <w:rPr>
                <w:rFonts w:ascii="Arial" w:hAnsi="Arial"/>
                <w:i/>
                <w:sz w:val="18"/>
                <w:lang w:val="es-ES_tradnl"/>
              </w:rPr>
              <w:t>Utilización de enfoques de sistemas para gestionar riesgos asociados al movimiento de productos de madera</w:t>
            </w:r>
            <w:r>
              <w:rPr>
                <w:rFonts w:ascii="Arial" w:hAnsi="Arial"/>
                <w:sz w:val="18"/>
                <w:lang w:val="es-ES_tradnl"/>
              </w:rPr>
              <w:t xml:space="preserve"> (2015-004), Prioridad 3.</w:t>
            </w:r>
          </w:p>
          <w:p w:rsidR="00287A29" w:rsidRDefault="007B245F">
            <w:pPr>
              <w:spacing w:before="58" w:after="58"/>
              <w:rPr>
                <w:rFonts w:ascii="Arial" w:eastAsia="MS Mincho" w:hAnsi="Arial" w:cs="Arial"/>
                <w:sz w:val="18"/>
                <w:szCs w:val="18"/>
                <w:lang w:val="es-ES_tradnl"/>
              </w:rPr>
            </w:pPr>
            <w:r>
              <w:rPr>
                <w:rStyle w:val="PleaseReviewParagraphId"/>
              </w:rPr>
              <w:t>[13]</w:t>
            </w:r>
            <w:r>
              <w:rPr>
                <w:rStyle w:val="PleaseReviewParagraphId"/>
                <w:lang w:val="es-ES_tradnl"/>
              </w:rPr>
              <w:t>[13]</w:t>
            </w:r>
            <w:r>
              <w:rPr>
                <w:rFonts w:ascii="Arial" w:hAnsi="Arial"/>
                <w:sz w:val="18"/>
                <w:lang w:val="es-ES_tradnl"/>
              </w:rPr>
              <w:t>2017-05: El CN decidió examinar el proy</w:t>
            </w:r>
            <w:r>
              <w:rPr>
                <w:rFonts w:ascii="Arial" w:hAnsi="Arial"/>
                <w:sz w:val="18"/>
                <w:lang w:val="es-ES_tradnl"/>
              </w:rPr>
              <w:t>ecto de especificación a través del Sistema de comentarios en línea.</w:t>
            </w:r>
          </w:p>
          <w:p w:rsidR="00287A29" w:rsidRDefault="007B245F">
            <w:pPr>
              <w:spacing w:before="58" w:after="58"/>
              <w:rPr>
                <w:rFonts w:ascii="Arial" w:eastAsia="MS Mincho" w:hAnsi="Arial" w:cs="Arial"/>
                <w:sz w:val="18"/>
                <w:szCs w:val="18"/>
                <w:lang w:val="es-ES_tradnl"/>
              </w:rPr>
            </w:pPr>
            <w:r>
              <w:rPr>
                <w:rStyle w:val="PleaseReviewParagraphId"/>
              </w:rPr>
              <w:t>[14]</w:t>
            </w:r>
            <w:r>
              <w:rPr>
                <w:rFonts w:ascii="Arial" w:hAnsi="Arial"/>
                <w:sz w:val="18"/>
                <w:lang w:val="es-ES_tradnl"/>
              </w:rPr>
              <w:t>2017-09: El CN examinó el proyecto de especificación a través del Sistema de comentarios en línea.</w:t>
            </w:r>
          </w:p>
          <w:p w:rsidR="00287A29" w:rsidRDefault="007B245F">
            <w:pPr>
              <w:spacing w:before="58" w:after="58"/>
              <w:rPr>
                <w:rFonts w:ascii="Arial" w:eastAsia="MS Mincho" w:hAnsi="Arial" w:cs="Arial"/>
                <w:sz w:val="18"/>
                <w:szCs w:val="18"/>
                <w:lang w:val="es-ES_tradnl"/>
              </w:rPr>
            </w:pPr>
            <w:r>
              <w:rPr>
                <w:rStyle w:val="PleaseReviewParagraphId"/>
              </w:rPr>
              <w:t>[15]</w:t>
            </w:r>
            <w:r>
              <w:rPr>
                <w:rFonts w:ascii="Arial" w:hAnsi="Arial"/>
                <w:sz w:val="18"/>
                <w:lang w:val="es-ES_tradnl"/>
              </w:rPr>
              <w:t>2017-09: El administrador respondió a las observaciones y revisó el proyecto.</w:t>
            </w:r>
          </w:p>
          <w:p w:rsidR="00287A29" w:rsidRDefault="007B245F">
            <w:pPr>
              <w:spacing w:before="58" w:after="58"/>
              <w:rPr>
                <w:rFonts w:ascii="Arial" w:eastAsia="MS Mincho" w:hAnsi="Arial" w:cs="Arial"/>
                <w:sz w:val="18"/>
                <w:szCs w:val="18"/>
                <w:lang w:val="es-ES_tradnl"/>
              </w:rPr>
            </w:pPr>
            <w:r>
              <w:rPr>
                <w:rStyle w:val="PleaseReviewParagraphId"/>
              </w:rPr>
              <w:t>[1</w:t>
            </w:r>
            <w:r>
              <w:rPr>
                <w:rStyle w:val="PleaseReviewParagraphId"/>
              </w:rPr>
              <w:t>6]</w:t>
            </w:r>
            <w:r>
              <w:rPr>
                <w:rFonts w:ascii="Arial" w:hAnsi="Arial"/>
                <w:sz w:val="18"/>
                <w:lang w:val="es-ES_tradnl"/>
              </w:rPr>
              <w:t>2018-01: El CN lo aprobó, mediante decisión por vía electrónica, para consulta (2018_eSC_May_02).</w:t>
            </w:r>
          </w:p>
        </w:tc>
      </w:tr>
      <w:tr w:rsidR="00287A29">
        <w:trPr>
          <w:trHeight w:val="491"/>
        </w:trPr>
        <w:tc>
          <w:tcPr>
            <w:tcW w:w="2273" w:type="dxa"/>
          </w:tcPr>
          <w:p w:rsidR="00287A29" w:rsidRDefault="007B245F">
            <w:pPr>
              <w:spacing w:before="60" w:after="60"/>
              <w:rPr>
                <w:rFonts w:ascii="Arial" w:eastAsia="Times" w:hAnsi="Arial"/>
                <w:b/>
                <w:bCs/>
                <w:sz w:val="18"/>
                <w:szCs w:val="18"/>
              </w:rPr>
            </w:pPr>
            <w:r>
              <w:rPr>
                <w:rStyle w:val="PleaseReviewParagraphId"/>
              </w:rPr>
              <w:t>[17]</w:t>
            </w:r>
            <w:r>
              <w:rPr>
                <w:rFonts w:ascii="Arial" w:hAnsi="Arial"/>
                <w:b/>
                <w:sz w:val="18"/>
              </w:rPr>
              <w:t>Cronología de los administradores</w:t>
            </w:r>
          </w:p>
        </w:tc>
        <w:tc>
          <w:tcPr>
            <w:tcW w:w="6907" w:type="dxa"/>
          </w:tcPr>
          <w:p w:rsidR="00287A29" w:rsidRDefault="007B245F">
            <w:pPr>
              <w:autoSpaceDE w:val="0"/>
              <w:autoSpaceDN w:val="0"/>
              <w:adjustRightInd w:val="0"/>
              <w:spacing w:before="58" w:after="58"/>
              <w:rPr>
                <w:rFonts w:ascii="Arial" w:hAnsi="Arial" w:cs="Arial"/>
                <w:color w:val="000000"/>
                <w:sz w:val="18"/>
                <w:szCs w:val="18"/>
              </w:rPr>
            </w:pPr>
            <w:r>
              <w:rPr>
                <w:rStyle w:val="PleaseReviewParagraphId"/>
              </w:rPr>
              <w:t>[18]</w:t>
            </w:r>
            <w:r>
              <w:rPr>
                <w:rFonts w:ascii="Arial" w:hAnsi="Arial"/>
                <w:color w:val="000000"/>
                <w:sz w:val="18"/>
              </w:rPr>
              <w:t>2017-05 CN: Sr. Jesulindo Nery DE SOUZA JUNIOR (BR, administrador principal)</w:t>
            </w:r>
          </w:p>
          <w:p w:rsidR="00287A29" w:rsidRDefault="007B245F">
            <w:pPr>
              <w:autoSpaceDE w:val="0"/>
              <w:autoSpaceDN w:val="0"/>
              <w:adjustRightInd w:val="0"/>
              <w:spacing w:before="58" w:after="58"/>
              <w:rPr>
                <w:rFonts w:cs="Arial"/>
                <w:color w:val="000000"/>
                <w:sz w:val="24"/>
                <w:szCs w:val="18"/>
              </w:rPr>
            </w:pPr>
            <w:r>
              <w:rPr>
                <w:rStyle w:val="PleaseReviewParagraphId"/>
              </w:rPr>
              <w:t>[19]</w:t>
            </w:r>
            <w:r>
              <w:rPr>
                <w:rFonts w:ascii="Arial" w:hAnsi="Arial"/>
                <w:color w:val="000000"/>
                <w:sz w:val="18"/>
              </w:rPr>
              <w:t xml:space="preserve">2017-05 CN: Sr. HERMAWAN (ID, </w:t>
            </w:r>
            <w:r>
              <w:rPr>
                <w:rFonts w:ascii="Arial" w:hAnsi="Arial"/>
                <w:color w:val="000000"/>
                <w:sz w:val="18"/>
              </w:rPr>
              <w:t>administrador adjunto)</w:t>
            </w:r>
          </w:p>
        </w:tc>
      </w:tr>
      <w:tr w:rsidR="00287A29">
        <w:trPr>
          <w:trHeight w:val="491"/>
        </w:trPr>
        <w:tc>
          <w:tcPr>
            <w:tcW w:w="2273" w:type="dxa"/>
          </w:tcPr>
          <w:p w:rsidR="00287A29" w:rsidRDefault="007B245F">
            <w:pPr>
              <w:spacing w:before="60" w:after="60"/>
              <w:rPr>
                <w:rFonts w:ascii="Arial" w:eastAsia="Times" w:hAnsi="Arial"/>
                <w:b/>
                <w:bCs/>
                <w:sz w:val="18"/>
                <w:szCs w:val="18"/>
              </w:rPr>
            </w:pPr>
            <w:r>
              <w:rPr>
                <w:rStyle w:val="PleaseReviewParagraphId"/>
              </w:rPr>
              <w:t>[20]</w:t>
            </w:r>
            <w:r>
              <w:rPr>
                <w:rFonts w:ascii="Arial" w:hAnsi="Arial"/>
                <w:b/>
                <w:sz w:val="18"/>
              </w:rPr>
              <w:t>Notas</w:t>
            </w:r>
          </w:p>
        </w:tc>
        <w:tc>
          <w:tcPr>
            <w:tcW w:w="6907" w:type="dxa"/>
          </w:tcPr>
          <w:p w:rsidR="00287A29" w:rsidRDefault="007B245F">
            <w:pPr>
              <w:autoSpaceDE w:val="0"/>
              <w:autoSpaceDN w:val="0"/>
              <w:adjustRightInd w:val="0"/>
              <w:spacing w:before="58" w:after="58"/>
              <w:rPr>
                <w:rStyle w:val="PleaseReviewParagraphId"/>
                <w:color w:val="auto"/>
                <w:lang w:val="es-ES_tradnl"/>
              </w:rPr>
            </w:pPr>
            <w:r>
              <w:rPr>
                <w:rStyle w:val="PleaseReviewParagraphId"/>
              </w:rPr>
              <w:t>[21]</w:t>
            </w:r>
            <w:r>
              <w:rPr>
                <w:rStyle w:val="PleaseReviewParagraphId"/>
                <w:color w:val="auto"/>
                <w:sz w:val="18"/>
                <w:lang w:val="es-ES_tradnl"/>
              </w:rPr>
              <w:t>2018-01: El pequeño grupo de trabajo (designado por el CN en su reunión de mayo de 2017) modificó el título del proyecto de norma, antes de su debate a través del Sistema de comentarios en línea, sustituyendo “riesgos”</w:t>
            </w:r>
            <w:r>
              <w:rPr>
                <w:rStyle w:val="PleaseReviewParagraphId"/>
                <w:color w:val="auto"/>
                <w:sz w:val="18"/>
                <w:lang w:val="es-ES_tradnl"/>
              </w:rPr>
              <w:t xml:space="preserve"> por “los riesgos de plagas”. El CN aprobó la especificación, con el título nuevo, en una decisión por vía electrónica (2018_eSC_May_02).</w:t>
            </w:r>
          </w:p>
          <w:p w:rsidR="00287A29" w:rsidRDefault="007B245F">
            <w:pPr>
              <w:autoSpaceDE w:val="0"/>
              <w:autoSpaceDN w:val="0"/>
              <w:adjustRightInd w:val="0"/>
              <w:spacing w:before="58" w:after="58"/>
              <w:rPr>
                <w:rFonts w:ascii="Arial" w:hAnsi="Arial" w:cs="Arial"/>
                <w:color w:val="000000"/>
                <w:sz w:val="18"/>
                <w:szCs w:val="18"/>
              </w:rPr>
            </w:pPr>
            <w:r>
              <w:rPr>
                <w:rStyle w:val="PleaseReviewParagraphId"/>
              </w:rPr>
              <w:t>[22]</w:t>
            </w:r>
            <w:r>
              <w:rPr>
                <w:rStyle w:val="PleaseReviewParagraphId"/>
                <w:color w:val="auto"/>
                <w:sz w:val="18"/>
              </w:rPr>
              <w:t>2018-03: Editado.</w:t>
            </w:r>
          </w:p>
        </w:tc>
      </w:tr>
    </w:tbl>
    <w:p w:rsidR="00287A29" w:rsidRDefault="007B245F">
      <w:pPr>
        <w:pStyle w:val="IPPHeading1"/>
        <w:rPr>
          <w:rFonts w:ascii="Times New Roman" w:hAnsi="Times New Roman"/>
        </w:rPr>
      </w:pPr>
      <w:r>
        <w:rPr>
          <w:rStyle w:val="PleaseReviewParagraphId"/>
          <w:b w:val="0"/>
        </w:rPr>
        <w:t>[23]</w:t>
      </w:r>
      <w:r>
        <w:rPr>
          <w:rFonts w:ascii="Times New Roman" w:hAnsi="Times New Roman"/>
        </w:rPr>
        <w:t>Título</w:t>
      </w:r>
    </w:p>
    <w:p w:rsidR="00287A29" w:rsidRDefault="007B245F">
      <w:pPr>
        <w:pStyle w:val="IPPNormal"/>
        <w:jc w:val="both"/>
        <w:rPr>
          <w:rFonts w:ascii="Times New Roman" w:hAnsi="Times New Roman"/>
          <w:lang w:val="es-ES_tradnl"/>
        </w:rPr>
      </w:pPr>
      <w:r>
        <w:rPr>
          <w:rStyle w:val="PleaseReviewParagraphId"/>
        </w:rPr>
        <w:t>[24]</w:t>
      </w:r>
      <w:r>
        <w:rPr>
          <w:rFonts w:ascii="Times New Roman" w:hAnsi="Times New Roman"/>
          <w:lang w:val="es-ES_tradnl"/>
        </w:rPr>
        <w:t xml:space="preserve">Utilización de enfoques de sistemas para gestionar los riesgos de plagas </w:t>
      </w:r>
      <w:r>
        <w:rPr>
          <w:rFonts w:ascii="Times New Roman" w:hAnsi="Times New Roman"/>
          <w:lang w:val="es-ES_tradnl"/>
        </w:rPr>
        <w:t>asociados al movimiento de productos de madera (2015-004).</w:t>
      </w:r>
    </w:p>
    <w:p w:rsidR="00287A29" w:rsidRDefault="007B245F">
      <w:pPr>
        <w:pStyle w:val="IPPHeading1"/>
        <w:tabs>
          <w:tab w:val="clear" w:pos="567"/>
        </w:tabs>
        <w:ind w:left="0" w:firstLine="0"/>
        <w:rPr>
          <w:rFonts w:ascii="Times New Roman" w:hAnsi="Times New Roman"/>
          <w:lang w:val="es-ES_tradnl"/>
        </w:rPr>
      </w:pPr>
      <w:r>
        <w:rPr>
          <w:rStyle w:val="PleaseReviewParagraphId"/>
          <w:b w:val="0"/>
        </w:rPr>
        <w:lastRenderedPageBreak/>
        <w:t>[25]</w:t>
      </w:r>
      <w:r>
        <w:rPr>
          <w:rFonts w:ascii="Times New Roman" w:hAnsi="Times New Roman"/>
          <w:lang w:val="es-ES_tradnl"/>
        </w:rPr>
        <w:t>Fundamento de la norma</w:t>
      </w:r>
    </w:p>
    <w:p w:rsidR="00287A29" w:rsidRDefault="007B245F">
      <w:pPr>
        <w:pStyle w:val="IPPNormal"/>
        <w:jc w:val="both"/>
        <w:rPr>
          <w:rFonts w:ascii="Times New Roman" w:hAnsi="Times New Roman"/>
          <w:lang w:val="es-ES_tradnl"/>
        </w:rPr>
      </w:pPr>
      <w:r>
        <w:rPr>
          <w:rStyle w:val="PleaseReviewParagraphId"/>
        </w:rPr>
        <w:t>[26]</w:t>
      </w:r>
      <w:r>
        <w:rPr>
          <w:rFonts w:ascii="Times New Roman" w:hAnsi="Times New Roman"/>
          <w:lang w:val="es-ES_tradnl"/>
        </w:rPr>
        <w:t>Para gestionar los riesgos de plagas asociados al movimiento de productos de madera, los países recurren predominantemente a los tratamientos. En particular, para ges</w:t>
      </w:r>
      <w:r>
        <w:rPr>
          <w:rFonts w:ascii="Times New Roman" w:hAnsi="Times New Roman"/>
          <w:lang w:val="es-ES_tradnl"/>
        </w:rPr>
        <w:t>tionar los riesgos de plagas se utilizan a menudo el tratamiento con calor o la fumigación con bromuro de metilo. La disponibilidad de bromuro de metilo está disminuyendo, en respuesta al Protocolo de Montreal relativo a las sustancias que agotan la capa d</w:t>
      </w:r>
      <w:r>
        <w:rPr>
          <w:rFonts w:ascii="Times New Roman" w:hAnsi="Times New Roman"/>
          <w:lang w:val="es-ES_tradnl"/>
        </w:rPr>
        <w:t>e ozono, y el tratamiento con calor no siempre es práctico para hacer frente al riesgo de plagas en todas las circunstancias. En algunos casos, en particular cuando una sola medida fitosanitaria no permita controlar completamente los riesgos de plagas o su</w:t>
      </w:r>
      <w:r>
        <w:rPr>
          <w:rFonts w:ascii="Times New Roman" w:hAnsi="Times New Roman"/>
          <w:lang w:val="es-ES_tradnl"/>
        </w:rPr>
        <w:t xml:space="preserve"> gestión sea difícil, un enfoque de sistemas podrá proporcionar una opción más eficaz para hacer frente a los riesgos de plagas. Además, las medidas integradas en un enfoque de sistemas podrán asimismo proporcionar otras opciones para facilitar o ampliar e</w:t>
      </w:r>
      <w:r>
        <w:rPr>
          <w:rFonts w:ascii="Times New Roman" w:hAnsi="Times New Roman"/>
          <w:lang w:val="es-ES_tradnl"/>
        </w:rPr>
        <w:t xml:space="preserve">l comercio al tiempo que se controlan eficazmente los riesgos de plagas. </w:t>
      </w:r>
    </w:p>
    <w:p w:rsidR="00287A29" w:rsidRDefault="007B245F">
      <w:pPr>
        <w:pStyle w:val="IPPNormal"/>
        <w:jc w:val="both"/>
        <w:rPr>
          <w:rFonts w:ascii="Times New Roman" w:hAnsi="Times New Roman"/>
          <w:lang w:val="es-ES_tradnl"/>
        </w:rPr>
      </w:pPr>
      <w:r>
        <w:rPr>
          <w:rStyle w:val="PleaseReviewParagraphId"/>
        </w:rPr>
        <w:t>[27]</w:t>
      </w:r>
      <w:r>
        <w:rPr>
          <w:rFonts w:ascii="Times New Roman" w:hAnsi="Times New Roman"/>
          <w:lang w:val="es-ES_tradnl"/>
        </w:rPr>
        <w:t>El enfoque de sistemas a menudo se concibe como equivalente a otras medidas fitosanitarias, pero menos restrictivo.</w:t>
      </w:r>
    </w:p>
    <w:p w:rsidR="00287A29" w:rsidRDefault="007B245F">
      <w:pPr>
        <w:pStyle w:val="IPPHeading1"/>
        <w:tabs>
          <w:tab w:val="clear" w:pos="567"/>
        </w:tabs>
        <w:ind w:left="0" w:firstLine="0"/>
        <w:rPr>
          <w:rFonts w:ascii="Times New Roman" w:hAnsi="Times New Roman"/>
          <w:lang w:val="es-ES_tradnl"/>
        </w:rPr>
      </w:pPr>
      <w:r>
        <w:rPr>
          <w:rStyle w:val="PleaseReviewParagraphId"/>
          <w:b w:val="0"/>
        </w:rPr>
        <w:t>[28]</w:t>
      </w:r>
      <w:r>
        <w:rPr>
          <w:rFonts w:ascii="Times New Roman" w:hAnsi="Times New Roman"/>
          <w:lang w:val="es-ES_tradnl"/>
        </w:rPr>
        <w:t>Alcance y finalidad</w:t>
      </w:r>
    </w:p>
    <w:p w:rsidR="00287A29" w:rsidRDefault="007B245F">
      <w:pPr>
        <w:pStyle w:val="IPPNormal"/>
        <w:spacing w:before="120" w:after="120"/>
        <w:jc w:val="both"/>
        <w:rPr>
          <w:rFonts w:ascii="Times New Roman" w:hAnsi="Times New Roman"/>
          <w:lang w:val="es-ES_tradnl"/>
        </w:rPr>
      </w:pPr>
      <w:r>
        <w:rPr>
          <w:rStyle w:val="PleaseReviewParagraphId"/>
        </w:rPr>
        <w:t>[29]</w:t>
      </w:r>
      <w:r>
        <w:rPr>
          <w:rFonts w:ascii="Times New Roman" w:hAnsi="Times New Roman"/>
          <w:lang w:val="es-ES_tradnl"/>
        </w:rPr>
        <w:t>Aunque el concepto de enfoque de s</w:t>
      </w:r>
      <w:r>
        <w:rPr>
          <w:rFonts w:ascii="Times New Roman" w:hAnsi="Times New Roman"/>
          <w:lang w:val="es-ES_tradnl"/>
        </w:rPr>
        <w:t>istemas se describe en la NIMF</w:t>
      </w:r>
      <w:r>
        <w:rPr>
          <w:lang w:val="es-ES_tradnl"/>
        </w:rPr>
        <w:t> </w:t>
      </w:r>
      <w:r>
        <w:rPr>
          <w:rFonts w:ascii="Times New Roman" w:hAnsi="Times New Roman"/>
          <w:lang w:val="es-ES_tradnl"/>
        </w:rPr>
        <w:t>14 (</w:t>
      </w:r>
      <w:r>
        <w:rPr>
          <w:rFonts w:ascii="Times New Roman" w:hAnsi="Times New Roman"/>
          <w:i/>
          <w:lang w:val="es-ES_tradnl"/>
        </w:rPr>
        <w:t>Aplicación de medidas integradas en un enfoque de sistemas para el manejo del riesgo de plagas</w:t>
      </w:r>
      <w:r>
        <w:rPr>
          <w:rFonts w:ascii="Times New Roman" w:hAnsi="Times New Roman"/>
          <w:lang w:val="es-ES_tradnl"/>
        </w:rPr>
        <w:t>) y se pone en práctica para los productos de madera en la NIMF</w:t>
      </w:r>
      <w:r>
        <w:rPr>
          <w:lang w:val="es-ES_tradnl"/>
        </w:rPr>
        <w:t> </w:t>
      </w:r>
      <w:r>
        <w:rPr>
          <w:rFonts w:ascii="Times New Roman" w:hAnsi="Times New Roman"/>
          <w:lang w:val="es-ES_tradnl"/>
        </w:rPr>
        <w:t>39 (</w:t>
      </w:r>
      <w:r>
        <w:rPr>
          <w:rFonts w:ascii="Times New Roman" w:hAnsi="Times New Roman"/>
          <w:i/>
          <w:lang w:val="es-ES_tradnl"/>
        </w:rPr>
        <w:t>Movimiento internacional de madera</w:t>
      </w:r>
      <w:r>
        <w:rPr>
          <w:rFonts w:ascii="Times New Roman" w:hAnsi="Times New Roman"/>
          <w:lang w:val="es-ES_tradnl"/>
        </w:rPr>
        <w:t xml:space="preserve">), las normas existentes </w:t>
      </w:r>
      <w:r>
        <w:rPr>
          <w:rFonts w:ascii="Times New Roman" w:hAnsi="Times New Roman"/>
          <w:lang w:val="es-ES_tradnl"/>
        </w:rPr>
        <w:t>no proporcionan orientación técnica específica sobre los tipos de medidas fitosanitarias que podrán utilizarse para hacer frente a los riesgos de plagas asociados con los productos de madera. La norma (o el anexo) que se propone debería proporcionar orient</w:t>
      </w:r>
      <w:r>
        <w:rPr>
          <w:rFonts w:ascii="Times New Roman" w:hAnsi="Times New Roman"/>
          <w:lang w:val="es-ES_tradnl"/>
        </w:rPr>
        <w:t>ación técnica específica sobre los tipos de medidas que podrán utilizarse en un enfoque de sistemas para la madera, los principales grupos de plagas controlados por las medidas, y el modo de evaluar la eficacia o efectividad de las medidas individuales, as</w:t>
      </w:r>
      <w:r>
        <w:rPr>
          <w:rFonts w:ascii="Times New Roman" w:hAnsi="Times New Roman"/>
          <w:lang w:val="es-ES_tradnl"/>
        </w:rPr>
        <w:t>í como del enfoque de sistemas en su conjunto. La norma debería proporcionar orientación sobre las responsabilidades respectivas de la organización nacional de protección fitosanitaria (ONPF), en la supervisión del sistema, y de la industria, en la aplicac</w:t>
      </w:r>
      <w:r>
        <w:rPr>
          <w:rFonts w:ascii="Times New Roman" w:hAnsi="Times New Roman"/>
          <w:lang w:val="es-ES_tradnl"/>
        </w:rPr>
        <w:t>ión de las medidas.</w:t>
      </w:r>
    </w:p>
    <w:p w:rsidR="00287A29" w:rsidRDefault="007B245F">
      <w:pPr>
        <w:pStyle w:val="IPPNormal"/>
        <w:jc w:val="both"/>
        <w:rPr>
          <w:rFonts w:ascii="Times New Roman" w:hAnsi="Times New Roman"/>
          <w:lang w:val="es-ES_tradnl"/>
        </w:rPr>
      </w:pPr>
      <w:r>
        <w:rPr>
          <w:rStyle w:val="PleaseReviewParagraphId"/>
        </w:rPr>
        <w:t>[30]</w:t>
      </w:r>
      <w:r>
        <w:rPr>
          <w:rFonts w:ascii="Times New Roman" w:hAnsi="Times New Roman"/>
          <w:lang w:val="es-ES_tradnl"/>
        </w:rPr>
        <w:t>La norma (o el anexo) debería proporcionar orientación a las ONPF sobre el uso, en el contexto de un enfoque de sistemas, de medidas fitosanitarias específicas que actúan de manera independiente pero que, aplicadas de forma conjunta</w:t>
      </w:r>
      <w:r>
        <w:rPr>
          <w:rFonts w:ascii="Times New Roman" w:hAnsi="Times New Roman"/>
          <w:lang w:val="es-ES_tradnl"/>
        </w:rPr>
        <w:t>, mitigan los riesgos de plagas cuarentenarias asociados con los productos de madera. Esta orientación debería ser lo más específica posible; por ejemplo, centrándose en los grupos de plagas asociados con la madera o en las plagas de áreas específicas dent</w:t>
      </w:r>
      <w:r>
        <w:rPr>
          <w:rFonts w:ascii="Times New Roman" w:hAnsi="Times New Roman"/>
          <w:lang w:val="es-ES_tradnl"/>
        </w:rPr>
        <w:t>ro de la madera. La norma debería basarse en la orientación ya establecida por la Convención Internacional de Protección Fitosanitaria (CIPF) y debería identificar prácticas y procedimientos específicos que podrán aplicarse de forma práctica durante la pro</w:t>
      </w:r>
      <w:r>
        <w:rPr>
          <w:rFonts w:ascii="Times New Roman" w:hAnsi="Times New Roman"/>
          <w:lang w:val="es-ES_tradnl"/>
        </w:rPr>
        <w:t xml:space="preserve">ducción de productos de madera (desde la plantación hasta la exportación) para controlar las plagas cuarentenarias. La norma debería proporcionar también orientación detallada sobre las plagas específicas controladas mediante una combinación de medidas en </w:t>
      </w:r>
      <w:r>
        <w:rPr>
          <w:rFonts w:ascii="Times New Roman" w:hAnsi="Times New Roman"/>
          <w:lang w:val="es-ES_tradnl"/>
        </w:rPr>
        <w:t>un enfoque de sistemas, y sobre el seguimiento y la supervisión necesarios para garantizar la eficacia del sistema.</w:t>
      </w:r>
    </w:p>
    <w:p w:rsidR="00287A29" w:rsidRDefault="007B245F">
      <w:pPr>
        <w:pStyle w:val="IPPHeading1"/>
        <w:rPr>
          <w:rFonts w:ascii="Times New Roman" w:hAnsi="Times New Roman"/>
          <w:lang w:val="es-ES_tradnl"/>
        </w:rPr>
      </w:pPr>
      <w:r>
        <w:rPr>
          <w:rStyle w:val="PleaseReviewParagraphId"/>
          <w:b w:val="0"/>
        </w:rPr>
        <w:t>[31]</w:t>
      </w:r>
      <w:r>
        <w:rPr>
          <w:rFonts w:ascii="Times New Roman" w:hAnsi="Times New Roman"/>
          <w:lang w:val="es-ES_tradnl"/>
        </w:rPr>
        <w:t>Tareas</w:t>
      </w:r>
    </w:p>
    <w:p w:rsidR="00287A29" w:rsidRDefault="007B245F">
      <w:pPr>
        <w:pStyle w:val="IPPNormalCloseSpace"/>
        <w:jc w:val="both"/>
        <w:rPr>
          <w:rFonts w:ascii="Times New Roman" w:hAnsi="Times New Roman"/>
          <w:lang w:val="es-ES_tradnl"/>
        </w:rPr>
      </w:pPr>
      <w:r>
        <w:rPr>
          <w:rStyle w:val="PleaseReviewParagraphId"/>
        </w:rPr>
        <w:t>[32]</w:t>
      </w:r>
      <w:r>
        <w:rPr>
          <w:rFonts w:ascii="Times New Roman" w:hAnsi="Times New Roman"/>
          <w:lang w:val="es-ES_tradnl"/>
        </w:rPr>
        <w:t xml:space="preserve">El </w:t>
      </w:r>
      <w:bookmarkStart w:id="1" w:name="_Hlk509847699"/>
      <w:r>
        <w:rPr>
          <w:rFonts w:ascii="Times New Roman" w:hAnsi="Times New Roman"/>
          <w:lang w:val="es-ES_tradnl"/>
        </w:rPr>
        <w:t xml:space="preserve">Grupo de Trabajo de Expertos (GTE) </w:t>
      </w:r>
      <w:bookmarkEnd w:id="1"/>
      <w:r>
        <w:rPr>
          <w:rFonts w:ascii="Times New Roman" w:hAnsi="Times New Roman"/>
          <w:lang w:val="es-ES_tradnl"/>
        </w:rPr>
        <w:t>debería acometer las siguientes tareas:</w:t>
      </w:r>
    </w:p>
    <w:p w:rsidR="00287A29" w:rsidRDefault="007B245F">
      <w:pPr>
        <w:pStyle w:val="IPPNumberedList"/>
        <w:numPr>
          <w:ilvl w:val="0"/>
          <w:numId w:val="40"/>
        </w:numPr>
        <w:jc w:val="both"/>
        <w:rPr>
          <w:rFonts w:ascii="Times New Roman" w:hAnsi="Times New Roman"/>
          <w:lang w:val="es-ES_tradnl"/>
        </w:rPr>
      </w:pPr>
      <w:r>
        <w:rPr>
          <w:rStyle w:val="PleaseReviewParagraphId"/>
        </w:rPr>
        <w:t>[33]</w:t>
      </w:r>
      <w:r>
        <w:rPr>
          <w:rFonts w:ascii="Times New Roman" w:hAnsi="Times New Roman"/>
          <w:lang w:val="es-ES_tradnl"/>
        </w:rPr>
        <w:t xml:space="preserve">Considerar las NIMF existentes (por </w:t>
      </w:r>
      <w:r>
        <w:rPr>
          <w:rFonts w:ascii="Times New Roman" w:hAnsi="Times New Roman"/>
          <w:lang w:val="es-ES_tradnl"/>
        </w:rPr>
        <w:t>ejemplo, la NIMF 14 (</w:t>
      </w:r>
      <w:r>
        <w:rPr>
          <w:rFonts w:ascii="Times New Roman" w:hAnsi="Times New Roman"/>
          <w:i/>
          <w:lang w:val="es-ES_tradnl"/>
        </w:rPr>
        <w:t>Aplicación de medidas integradas en un enfoque de sistemas para el manejo del riesgo de plagas</w:t>
      </w:r>
      <w:r>
        <w:rPr>
          <w:rFonts w:ascii="Times New Roman" w:hAnsi="Times New Roman"/>
          <w:lang w:val="es-ES_tradnl"/>
        </w:rPr>
        <w:t>) y la NIMF 39 (</w:t>
      </w:r>
      <w:r>
        <w:rPr>
          <w:rFonts w:ascii="Times New Roman" w:hAnsi="Times New Roman"/>
          <w:i/>
          <w:lang w:val="es-ES_tradnl"/>
        </w:rPr>
        <w:t>Movimiento internacional de madera</w:t>
      </w:r>
      <w:r>
        <w:rPr>
          <w:rFonts w:ascii="Times New Roman" w:hAnsi="Times New Roman"/>
          <w:lang w:val="es-ES_tradnl"/>
        </w:rPr>
        <w:t>)), así como todas las normas regionales pertinentes o programas acreditados basados en enf</w:t>
      </w:r>
      <w:r>
        <w:rPr>
          <w:rFonts w:ascii="Times New Roman" w:hAnsi="Times New Roman"/>
          <w:lang w:val="es-ES_tradnl"/>
        </w:rPr>
        <w:t>oques de sistemas.</w:t>
      </w:r>
    </w:p>
    <w:p w:rsidR="00287A29" w:rsidRDefault="007B245F">
      <w:pPr>
        <w:pStyle w:val="IPPNumberedList"/>
        <w:numPr>
          <w:ilvl w:val="0"/>
          <w:numId w:val="40"/>
        </w:numPr>
        <w:jc w:val="both"/>
        <w:rPr>
          <w:rFonts w:ascii="Times New Roman" w:hAnsi="Times New Roman"/>
          <w:lang w:val="es-ES_tradnl"/>
        </w:rPr>
      </w:pPr>
      <w:r>
        <w:rPr>
          <w:rStyle w:val="PleaseReviewParagraphId"/>
        </w:rPr>
        <w:t>[34]</w:t>
      </w:r>
      <w:r>
        <w:rPr>
          <w:rFonts w:ascii="Times New Roman" w:hAnsi="Times New Roman"/>
          <w:lang w:val="es-ES_tradnl"/>
        </w:rPr>
        <w:t>Describir las prácticas de producción de madera y los principales grupos de plagas asociados con los productos abarcados por la norma.</w:t>
      </w:r>
    </w:p>
    <w:p w:rsidR="00287A29" w:rsidRDefault="007B245F">
      <w:pPr>
        <w:pStyle w:val="IPPNumberedList"/>
        <w:numPr>
          <w:ilvl w:val="0"/>
          <w:numId w:val="40"/>
        </w:numPr>
        <w:jc w:val="both"/>
        <w:rPr>
          <w:rFonts w:ascii="Times New Roman" w:hAnsi="Times New Roman"/>
          <w:lang w:val="es-ES_tradnl"/>
        </w:rPr>
      </w:pPr>
      <w:r>
        <w:rPr>
          <w:rStyle w:val="PleaseReviewParagraphId"/>
        </w:rPr>
        <w:lastRenderedPageBreak/>
        <w:t>[35]</w:t>
      </w:r>
      <w:r>
        <w:rPr>
          <w:rFonts w:ascii="Times New Roman" w:hAnsi="Times New Roman"/>
          <w:lang w:val="es-ES_tradnl"/>
        </w:rPr>
        <w:t>Determinar posibles medidas fitosanitarias (por ejemplo, para grupos de plagas asociadas con l</w:t>
      </w:r>
      <w:r>
        <w:rPr>
          <w:rFonts w:ascii="Times New Roman" w:hAnsi="Times New Roman"/>
          <w:lang w:val="es-ES_tradnl"/>
        </w:rPr>
        <w:t>a madera o para plagas de áreas específicas dentro de la madera) que podrán integrarse en un enfoque de sistemas para controlar los riesgos de plagas que plantean los productos de madera, considerando las especies y características de la madera, los proces</w:t>
      </w:r>
      <w:r>
        <w:rPr>
          <w:rFonts w:ascii="Times New Roman" w:hAnsi="Times New Roman"/>
          <w:lang w:val="es-ES_tradnl"/>
        </w:rPr>
        <w:t>os de producción y las plagas que probablemente estén asociadas con el producto, y proporcionar orientación específica al respecto para las ONPF. Las medidas podrán aplicarse antes de la cosecha, durante la cosecha o durante el transporte o la transformaci</w:t>
      </w:r>
      <w:r>
        <w:rPr>
          <w:rFonts w:ascii="Times New Roman" w:hAnsi="Times New Roman"/>
          <w:lang w:val="es-ES_tradnl"/>
        </w:rPr>
        <w:t>ón de la materia prima, así como en su exportación e importación, y podrán incluir:</w:t>
      </w:r>
    </w:p>
    <w:p w:rsidR="00287A29" w:rsidRDefault="007B245F">
      <w:pPr>
        <w:pStyle w:val="IPPBullet2"/>
        <w:rPr>
          <w:rFonts w:ascii="Times New Roman" w:hAnsi="Times New Roman"/>
          <w:lang w:val="es-ES_tradnl"/>
        </w:rPr>
      </w:pPr>
      <w:r>
        <w:rPr>
          <w:rStyle w:val="PleaseReviewParagraphId"/>
        </w:rPr>
        <w:t>[36]</w:t>
      </w:r>
      <w:r>
        <w:rPr>
          <w:rFonts w:ascii="Times New Roman" w:hAnsi="Times New Roman"/>
          <w:lang w:val="es-ES_tradnl"/>
        </w:rPr>
        <w:t>la selección de la madera en función de las especies y lugares de origen</w:t>
      </w:r>
    </w:p>
    <w:p w:rsidR="00287A29" w:rsidRDefault="007B245F">
      <w:pPr>
        <w:pStyle w:val="IPPBullet2"/>
        <w:jc w:val="both"/>
        <w:rPr>
          <w:rFonts w:ascii="Times New Roman" w:hAnsi="Times New Roman"/>
        </w:rPr>
      </w:pPr>
      <w:r>
        <w:rPr>
          <w:rStyle w:val="PleaseReviewParagraphId"/>
        </w:rPr>
        <w:t>[37]</w:t>
      </w:r>
      <w:r>
        <w:rPr>
          <w:rFonts w:ascii="Times New Roman" w:hAnsi="Times New Roman"/>
        </w:rPr>
        <w:t>la inspección</w:t>
      </w:r>
    </w:p>
    <w:p w:rsidR="00287A29" w:rsidRDefault="007B245F">
      <w:pPr>
        <w:pStyle w:val="IPPBullet2"/>
        <w:jc w:val="both"/>
        <w:rPr>
          <w:rFonts w:ascii="Times New Roman" w:hAnsi="Times New Roman"/>
        </w:rPr>
      </w:pPr>
      <w:r>
        <w:rPr>
          <w:rStyle w:val="PleaseReviewParagraphId"/>
        </w:rPr>
        <w:t>[38]</w:t>
      </w:r>
      <w:r>
        <w:rPr>
          <w:rFonts w:ascii="Times New Roman" w:hAnsi="Times New Roman"/>
        </w:rPr>
        <w:t>el seguimiento de las plagas</w:t>
      </w:r>
    </w:p>
    <w:p w:rsidR="00287A29" w:rsidRDefault="007B245F">
      <w:pPr>
        <w:pStyle w:val="IPPBullet2"/>
        <w:jc w:val="both"/>
        <w:rPr>
          <w:rFonts w:ascii="Times New Roman" w:hAnsi="Times New Roman"/>
        </w:rPr>
      </w:pPr>
      <w:r>
        <w:rPr>
          <w:rStyle w:val="PleaseReviewParagraphId"/>
        </w:rPr>
        <w:t>[39]</w:t>
      </w:r>
      <w:r>
        <w:rPr>
          <w:rFonts w:ascii="Times New Roman" w:hAnsi="Times New Roman"/>
        </w:rPr>
        <w:t>la clasificación de la madera</w:t>
      </w:r>
    </w:p>
    <w:p w:rsidR="00287A29" w:rsidRDefault="007B245F">
      <w:pPr>
        <w:pStyle w:val="IPPBullet2"/>
        <w:jc w:val="both"/>
        <w:rPr>
          <w:rFonts w:ascii="Times New Roman" w:hAnsi="Times New Roman"/>
          <w:lang w:val="es-ES_tradnl"/>
        </w:rPr>
      </w:pPr>
      <w:r>
        <w:rPr>
          <w:rStyle w:val="PleaseReviewParagraphId"/>
        </w:rPr>
        <w:t>[40]</w:t>
      </w:r>
      <w:r>
        <w:rPr>
          <w:rFonts w:ascii="Times New Roman" w:hAnsi="Times New Roman"/>
          <w:lang w:val="es-ES_tradnl"/>
        </w:rPr>
        <w:t xml:space="preserve">los </w:t>
      </w:r>
      <w:r>
        <w:rPr>
          <w:rFonts w:ascii="Times New Roman" w:hAnsi="Times New Roman"/>
          <w:lang w:val="es-ES_tradnl"/>
        </w:rPr>
        <w:t>procesos de producción mecánicos como el descortezado, aserrado, cepillado y otros</w:t>
      </w:r>
    </w:p>
    <w:p w:rsidR="00287A29" w:rsidRDefault="007B245F">
      <w:pPr>
        <w:pStyle w:val="IPPBullet2"/>
        <w:jc w:val="both"/>
        <w:rPr>
          <w:rFonts w:ascii="Times New Roman" w:hAnsi="Times New Roman"/>
        </w:rPr>
      </w:pPr>
      <w:r>
        <w:rPr>
          <w:rStyle w:val="PleaseReviewParagraphId"/>
        </w:rPr>
        <w:t>[41]</w:t>
      </w:r>
      <w:r>
        <w:rPr>
          <w:rFonts w:ascii="Times New Roman" w:hAnsi="Times New Roman"/>
        </w:rPr>
        <w:t>el diagnóstico de laboratorio</w:t>
      </w:r>
    </w:p>
    <w:p w:rsidR="00287A29" w:rsidRDefault="007B245F">
      <w:pPr>
        <w:pStyle w:val="IPPBullet2"/>
        <w:jc w:val="both"/>
        <w:rPr>
          <w:rFonts w:ascii="Times New Roman" w:hAnsi="Times New Roman"/>
        </w:rPr>
      </w:pPr>
      <w:r>
        <w:rPr>
          <w:rStyle w:val="PleaseReviewParagraphId"/>
        </w:rPr>
        <w:t>[42]</w:t>
      </w:r>
      <w:r>
        <w:rPr>
          <w:rFonts w:ascii="Times New Roman" w:hAnsi="Times New Roman"/>
        </w:rPr>
        <w:t>la aplicación de tratamientos fitosanitarios</w:t>
      </w:r>
    </w:p>
    <w:p w:rsidR="00287A29" w:rsidRDefault="007B245F">
      <w:pPr>
        <w:pStyle w:val="IPPBullet2"/>
        <w:jc w:val="both"/>
        <w:rPr>
          <w:rFonts w:ascii="Times New Roman" w:hAnsi="Times New Roman"/>
          <w:lang w:val="es-ES_tradnl"/>
        </w:rPr>
      </w:pPr>
      <w:r>
        <w:rPr>
          <w:rStyle w:val="PleaseReviewParagraphId"/>
        </w:rPr>
        <w:t>[43]</w:t>
      </w:r>
      <w:r>
        <w:rPr>
          <w:rFonts w:ascii="Times New Roman" w:hAnsi="Times New Roman"/>
          <w:lang w:val="es-ES_tradnl"/>
        </w:rPr>
        <w:t xml:space="preserve">otros instrumentos aplicables para hacer frente a los riesgos de plagas identificados </w:t>
      </w:r>
      <w:r>
        <w:rPr>
          <w:rFonts w:ascii="Times New Roman" w:hAnsi="Times New Roman"/>
          <w:lang w:val="es-ES_tradnl"/>
        </w:rPr>
        <w:t>mediante el análisis de riesgo de plagas.</w:t>
      </w:r>
    </w:p>
    <w:p w:rsidR="00287A29" w:rsidRDefault="007B245F">
      <w:pPr>
        <w:pStyle w:val="IPPNumberedList"/>
        <w:numPr>
          <w:ilvl w:val="0"/>
          <w:numId w:val="40"/>
        </w:numPr>
        <w:jc w:val="both"/>
        <w:rPr>
          <w:rFonts w:ascii="Times New Roman" w:hAnsi="Times New Roman"/>
          <w:lang w:val="es-ES_tradnl"/>
        </w:rPr>
      </w:pPr>
      <w:r>
        <w:rPr>
          <w:rStyle w:val="PleaseReviewParagraphId"/>
        </w:rPr>
        <w:t>[44]</w:t>
      </w:r>
      <w:r>
        <w:rPr>
          <w:rFonts w:ascii="Times New Roman" w:hAnsi="Times New Roman"/>
          <w:lang w:val="es-ES_tradnl"/>
        </w:rPr>
        <w:t>Considerar la relación entre las áreas infestadas y las áreas libres de plagas y los aspectos generales (incluida la aplicación práctica) de la vigilancia dentro del enfoque de sistemas.</w:t>
      </w:r>
    </w:p>
    <w:p w:rsidR="00287A29" w:rsidRDefault="007B245F">
      <w:pPr>
        <w:pStyle w:val="IPPNumberedList"/>
        <w:numPr>
          <w:ilvl w:val="0"/>
          <w:numId w:val="40"/>
        </w:numPr>
        <w:jc w:val="both"/>
        <w:rPr>
          <w:rFonts w:ascii="Times New Roman" w:hAnsi="Times New Roman"/>
          <w:lang w:val="es-ES_tradnl"/>
        </w:rPr>
      </w:pPr>
      <w:r>
        <w:rPr>
          <w:rStyle w:val="PleaseReviewParagraphId"/>
        </w:rPr>
        <w:t>[45]</w:t>
      </w:r>
      <w:r>
        <w:rPr>
          <w:rFonts w:ascii="Times New Roman" w:hAnsi="Times New Roman"/>
          <w:lang w:val="es-ES_tradnl"/>
        </w:rPr>
        <w:t>Considerar si el us</w:t>
      </w:r>
      <w:r>
        <w:rPr>
          <w:rFonts w:ascii="Times New Roman" w:hAnsi="Times New Roman"/>
          <w:lang w:val="es-ES_tradnl"/>
        </w:rPr>
        <w:t>o previsto del producto afecta al riesgo de plagas.</w:t>
      </w:r>
    </w:p>
    <w:p w:rsidR="00287A29" w:rsidRDefault="007B245F">
      <w:pPr>
        <w:pStyle w:val="IPPNumberedList"/>
        <w:numPr>
          <w:ilvl w:val="0"/>
          <w:numId w:val="40"/>
        </w:numPr>
        <w:jc w:val="both"/>
        <w:rPr>
          <w:rFonts w:ascii="Times New Roman" w:hAnsi="Times New Roman"/>
          <w:lang w:val="es-ES_tradnl"/>
        </w:rPr>
      </w:pPr>
      <w:r>
        <w:rPr>
          <w:rStyle w:val="PleaseReviewParagraphId"/>
        </w:rPr>
        <w:t>[46]</w:t>
      </w:r>
      <w:r>
        <w:rPr>
          <w:rFonts w:ascii="Times New Roman" w:hAnsi="Times New Roman"/>
          <w:lang w:val="es-ES_tradnl"/>
        </w:rPr>
        <w:t>Describir los procedimientos necesarios para evaluar la eficacia de las medidas integradas y del enfoque de sistemas en su conjunto.</w:t>
      </w:r>
    </w:p>
    <w:p w:rsidR="00287A29" w:rsidRDefault="007B245F">
      <w:pPr>
        <w:pStyle w:val="IPPNumberedList"/>
        <w:numPr>
          <w:ilvl w:val="0"/>
          <w:numId w:val="40"/>
        </w:numPr>
        <w:jc w:val="both"/>
        <w:rPr>
          <w:rFonts w:ascii="Times New Roman" w:hAnsi="Times New Roman"/>
          <w:lang w:val="es-ES_tradnl"/>
        </w:rPr>
      </w:pPr>
      <w:r>
        <w:rPr>
          <w:rStyle w:val="PleaseReviewParagraphId"/>
        </w:rPr>
        <w:t>[47]</w:t>
      </w:r>
      <w:r>
        <w:rPr>
          <w:rFonts w:ascii="Times New Roman" w:hAnsi="Times New Roman"/>
          <w:lang w:val="es-ES_tradnl"/>
        </w:rPr>
        <w:t>Describir las responsabilidades específicas de la ONPF del país</w:t>
      </w:r>
      <w:r>
        <w:rPr>
          <w:rFonts w:ascii="Times New Roman" w:hAnsi="Times New Roman"/>
          <w:lang w:val="es-ES_tradnl"/>
        </w:rPr>
        <w:t xml:space="preserve"> exportador, de la ONPF del país importador y de terceros.</w:t>
      </w:r>
    </w:p>
    <w:p w:rsidR="00287A29" w:rsidRDefault="007B245F">
      <w:pPr>
        <w:pStyle w:val="IPPNumberedList"/>
        <w:numPr>
          <w:ilvl w:val="0"/>
          <w:numId w:val="40"/>
        </w:numPr>
        <w:jc w:val="both"/>
        <w:rPr>
          <w:rFonts w:ascii="Times New Roman" w:hAnsi="Times New Roman"/>
          <w:lang w:val="es-ES_tradnl"/>
        </w:rPr>
      </w:pPr>
      <w:r>
        <w:rPr>
          <w:rStyle w:val="PleaseReviewParagraphId"/>
        </w:rPr>
        <w:t>[48]</w:t>
      </w:r>
      <w:r>
        <w:rPr>
          <w:rFonts w:ascii="Times New Roman" w:hAnsi="Times New Roman"/>
          <w:lang w:val="es-ES_tradnl"/>
        </w:rPr>
        <w:t>Describir qué constituye una no conformidad y proporcionar orientación sobre las medidas correctivas que habrán de aplicarse.</w:t>
      </w:r>
    </w:p>
    <w:p w:rsidR="00287A29" w:rsidRDefault="007B245F">
      <w:pPr>
        <w:pStyle w:val="IPPNumberedList"/>
        <w:numPr>
          <w:ilvl w:val="0"/>
          <w:numId w:val="40"/>
        </w:numPr>
        <w:jc w:val="both"/>
        <w:rPr>
          <w:rFonts w:ascii="Times New Roman" w:hAnsi="Times New Roman"/>
          <w:lang w:val="es-ES_tradnl"/>
        </w:rPr>
      </w:pPr>
      <w:r>
        <w:rPr>
          <w:rStyle w:val="PleaseReviewParagraphId"/>
        </w:rPr>
        <w:t>[49]</w:t>
      </w:r>
      <w:r>
        <w:rPr>
          <w:rFonts w:ascii="Times New Roman" w:hAnsi="Times New Roman"/>
          <w:lang w:val="es-ES_tradnl"/>
        </w:rPr>
        <w:t>Considerar si este tema debería ser una norma o un anexo de una</w:t>
      </w:r>
      <w:r>
        <w:rPr>
          <w:rFonts w:ascii="Times New Roman" w:hAnsi="Times New Roman"/>
          <w:lang w:val="es-ES_tradnl"/>
        </w:rPr>
        <w:t xml:space="preserve"> norma existente (es decir, la NIMF 39).</w:t>
      </w:r>
    </w:p>
    <w:p w:rsidR="00287A29" w:rsidRDefault="007B245F">
      <w:pPr>
        <w:pStyle w:val="IPPNumberedList"/>
        <w:numPr>
          <w:ilvl w:val="0"/>
          <w:numId w:val="40"/>
        </w:numPr>
        <w:spacing w:after="180"/>
        <w:jc w:val="both"/>
        <w:rPr>
          <w:rFonts w:ascii="Times New Roman" w:hAnsi="Times New Roman"/>
          <w:lang w:val="es-ES_tradnl"/>
        </w:rPr>
      </w:pPr>
      <w:r>
        <w:rPr>
          <w:rStyle w:val="PleaseReviewParagraphId"/>
        </w:rPr>
        <w:t>[50]</w:t>
      </w:r>
      <w:r>
        <w:rPr>
          <w:rFonts w:ascii="Times New Roman" w:hAnsi="Times New Roman"/>
          <w:lang w:val="es-ES_tradnl"/>
        </w:rPr>
        <w:t>Considerar si la NIMF podría repercutir específicamente (de forma positiva o negativa) en la protección de la biodiversidad y el medio ambiente; en caso afirmativo, estos efectos deberían determinarse, abordarse</w:t>
      </w:r>
      <w:r>
        <w:rPr>
          <w:rFonts w:ascii="Times New Roman" w:hAnsi="Times New Roman"/>
          <w:lang w:val="es-ES_tradnl"/>
        </w:rPr>
        <w:t xml:space="preserve"> y aclararse en el proyecto de NIMF.</w:t>
      </w:r>
    </w:p>
    <w:p w:rsidR="00287A29" w:rsidRDefault="007B245F">
      <w:pPr>
        <w:pStyle w:val="IPPNumberedList"/>
        <w:numPr>
          <w:ilvl w:val="0"/>
          <w:numId w:val="40"/>
        </w:numPr>
        <w:spacing w:after="180"/>
        <w:jc w:val="both"/>
        <w:rPr>
          <w:rFonts w:ascii="Times New Roman" w:hAnsi="Times New Roman"/>
          <w:lang w:val="es-ES_tradnl"/>
        </w:rPr>
      </w:pPr>
      <w:r>
        <w:rPr>
          <w:rStyle w:val="PleaseReviewParagraphId"/>
        </w:rPr>
        <w:t>[51]</w:t>
      </w:r>
      <w:r>
        <w:rPr>
          <w:rFonts w:ascii="Times New Roman" w:hAnsi="Times New Roman"/>
          <w:lang w:val="es-ES_tradnl"/>
        </w:rPr>
        <w:t>Analizar la aplicación de la NIMF por las partes contratantes y determinar los posibles problemas operativos y técnicos relacionados con ella. Facilitar información y formular una posible recomendación sobre estos p</w:t>
      </w:r>
      <w:r>
        <w:rPr>
          <w:rFonts w:ascii="Times New Roman" w:hAnsi="Times New Roman"/>
          <w:lang w:val="es-ES_tradnl"/>
        </w:rPr>
        <w:t>roblemas al Comité de Normas (CN).</w:t>
      </w:r>
    </w:p>
    <w:p w:rsidR="00287A29" w:rsidRDefault="007B245F">
      <w:pPr>
        <w:pStyle w:val="IPPHeading1"/>
        <w:rPr>
          <w:rFonts w:ascii="Times New Roman" w:hAnsi="Times New Roman"/>
          <w:lang w:val="es-ES_tradnl"/>
        </w:rPr>
      </w:pPr>
      <w:r>
        <w:rPr>
          <w:rStyle w:val="PleaseReviewParagraphId"/>
          <w:b w:val="0"/>
        </w:rPr>
        <w:t>[52]</w:t>
      </w:r>
      <w:r>
        <w:rPr>
          <w:rFonts w:ascii="Times New Roman" w:hAnsi="Times New Roman"/>
          <w:lang w:val="es-ES_tradnl"/>
        </w:rPr>
        <w:t>Fuentes de recursos</w:t>
      </w:r>
    </w:p>
    <w:p w:rsidR="00287A29" w:rsidRDefault="007B245F">
      <w:pPr>
        <w:pStyle w:val="IPPNormal"/>
        <w:jc w:val="both"/>
        <w:rPr>
          <w:rFonts w:ascii="Times New Roman" w:hAnsi="Times New Roman"/>
          <w:lang w:val="es-ES_tradnl"/>
        </w:rPr>
      </w:pPr>
      <w:r>
        <w:rPr>
          <w:rStyle w:val="PleaseReviewParagraphId"/>
        </w:rPr>
        <w:t>[53]</w:t>
      </w:r>
      <w:r>
        <w:rPr>
          <w:rFonts w:ascii="Times New Roman" w:hAnsi="Times New Roman"/>
          <w:lang w:val="es-ES_tradnl"/>
        </w:rPr>
        <w:t>La financiación para la reunión podrá proceder de fuentes distintas del Programa ordinario de la CIPF (FAO). Según se recomendó en la segunda reunión de la Comisión Interina de Medidas Fitosani</w:t>
      </w:r>
      <w:r>
        <w:rPr>
          <w:rFonts w:ascii="Times New Roman" w:hAnsi="Times New Roman"/>
          <w:lang w:val="es-ES_tradnl"/>
        </w:rPr>
        <w:t>tarias (1999), siempre que sea posible, los participantes en actividades de establecimiento de normas financiarán de forma voluntaria los gastos de desplazamiento y dietas que se generen por su asistencia a las reuniones. Los participantes podrán solicitar</w:t>
      </w:r>
      <w:r>
        <w:rPr>
          <w:rFonts w:ascii="Times New Roman" w:hAnsi="Times New Roman"/>
          <w:lang w:val="es-ES_tradnl"/>
        </w:rPr>
        <w:t xml:space="preserve"> ayuda financiera, en el entendimiento de que los recursos son limitados y de que se otorgará prioridad a los participantes de países en desarrollo. Consúltese el documento </w:t>
      </w:r>
      <w:r>
        <w:rPr>
          <w:rFonts w:ascii="Times New Roman" w:hAnsi="Times New Roman"/>
          <w:i/>
          <w:lang w:val="es-ES_tradnl"/>
        </w:rPr>
        <w:t xml:space="preserve">Criteria used for prioritizing participants to receive travel assistance to attend </w:t>
      </w:r>
      <w:r>
        <w:rPr>
          <w:rFonts w:ascii="Times New Roman" w:hAnsi="Times New Roman"/>
          <w:i/>
          <w:lang w:val="es-ES_tradnl"/>
        </w:rPr>
        <w:t>meetings organized by the IPPC Secretariat</w:t>
      </w:r>
      <w:r>
        <w:rPr>
          <w:rFonts w:ascii="Times New Roman" w:hAnsi="Times New Roman"/>
          <w:lang w:val="es-ES_tradnl"/>
        </w:rPr>
        <w:t xml:space="preserve"> (Criterios de prioridad aplicados en la concesión de ayudas </w:t>
      </w:r>
      <w:r>
        <w:rPr>
          <w:rFonts w:ascii="Times New Roman" w:hAnsi="Times New Roman"/>
          <w:lang w:val="es-ES_tradnl"/>
        </w:rPr>
        <w:lastRenderedPageBreak/>
        <w:t xml:space="preserve">de viaje para financiar la asistencia a las reuniones organizadas por la Secretaría de la CIPF) publicado en el Portal fitosanitario internacional (PFI) </w:t>
      </w:r>
      <w:r>
        <w:rPr>
          <w:rFonts w:ascii="Times New Roman" w:hAnsi="Times New Roman"/>
          <w:lang w:val="es-ES_tradnl"/>
        </w:rPr>
        <w:t xml:space="preserve">(véase </w:t>
      </w:r>
      <w:hyperlink r:id="rId8">
        <w:r>
          <w:rPr>
            <w:rStyle w:val="Hyperlink"/>
            <w:rFonts w:ascii="Times New Roman" w:hAnsi="Times New Roman"/>
            <w:color w:val="0000FF"/>
            <w:lang w:val="es-ES_tradnl"/>
          </w:rPr>
          <w:t>https://www.ippc.int/es/core-activities/</w:t>
        </w:r>
      </w:hyperlink>
      <w:r>
        <w:rPr>
          <w:rFonts w:ascii="Times New Roman" w:hAnsi="Times New Roman"/>
          <w:lang w:val="es-ES_tradnl"/>
        </w:rPr>
        <w:t>).</w:t>
      </w:r>
    </w:p>
    <w:p w:rsidR="00287A29" w:rsidRDefault="007B245F">
      <w:pPr>
        <w:pStyle w:val="IPPHeading1"/>
        <w:keepLines/>
        <w:rPr>
          <w:rFonts w:ascii="Times New Roman" w:hAnsi="Times New Roman"/>
          <w:lang w:val="es-ES_tradnl"/>
        </w:rPr>
      </w:pPr>
      <w:r>
        <w:rPr>
          <w:rStyle w:val="PleaseReviewParagraphId"/>
          <w:b w:val="0"/>
        </w:rPr>
        <w:t>[54]</w:t>
      </w:r>
      <w:r>
        <w:rPr>
          <w:rFonts w:ascii="Times New Roman" w:hAnsi="Times New Roman"/>
          <w:lang w:val="es-ES_tradnl"/>
        </w:rPr>
        <w:t>Colaborador</w:t>
      </w:r>
    </w:p>
    <w:p w:rsidR="00287A29" w:rsidRDefault="007B245F">
      <w:pPr>
        <w:pStyle w:val="IPPNormal"/>
        <w:keepNext/>
        <w:keepLines/>
        <w:jc w:val="both"/>
        <w:rPr>
          <w:rFonts w:ascii="Times New Roman" w:hAnsi="Times New Roman"/>
          <w:lang w:val="es-ES_tradnl"/>
        </w:rPr>
      </w:pPr>
      <w:r>
        <w:rPr>
          <w:rStyle w:val="PleaseReviewParagraphId"/>
        </w:rPr>
        <w:t>[55]</w:t>
      </w:r>
      <w:r>
        <w:rPr>
          <w:rFonts w:ascii="Times New Roman" w:hAnsi="Times New Roman"/>
          <w:lang w:val="es-ES_tradnl"/>
        </w:rPr>
        <w:t>Por determinar.</w:t>
      </w:r>
    </w:p>
    <w:p w:rsidR="00287A29" w:rsidRDefault="007B245F">
      <w:pPr>
        <w:pStyle w:val="IPPHeading1"/>
        <w:keepLines/>
        <w:rPr>
          <w:rFonts w:ascii="Times New Roman" w:hAnsi="Times New Roman"/>
          <w:lang w:val="es-ES_tradnl"/>
        </w:rPr>
      </w:pPr>
      <w:r>
        <w:rPr>
          <w:rStyle w:val="PleaseReviewParagraphId"/>
          <w:b w:val="0"/>
        </w:rPr>
        <w:t>[56]</w:t>
      </w:r>
      <w:r>
        <w:rPr>
          <w:rFonts w:ascii="Times New Roman" w:hAnsi="Times New Roman"/>
          <w:lang w:val="es-ES_tradnl"/>
        </w:rPr>
        <w:t>Administrador</w:t>
      </w:r>
    </w:p>
    <w:p w:rsidR="00287A29" w:rsidRDefault="007B245F">
      <w:pPr>
        <w:pStyle w:val="IPPNormal"/>
        <w:jc w:val="both"/>
        <w:rPr>
          <w:rFonts w:ascii="Times New Roman" w:hAnsi="Times New Roman"/>
          <w:lang w:val="es-ES_tradnl"/>
        </w:rPr>
      </w:pPr>
      <w:r>
        <w:rPr>
          <w:rStyle w:val="PleaseReviewParagraphId"/>
        </w:rPr>
        <w:t>[57]</w:t>
      </w:r>
      <w:r>
        <w:rPr>
          <w:rFonts w:ascii="Times New Roman" w:hAnsi="Times New Roman"/>
          <w:lang w:val="es-ES_tradnl"/>
        </w:rPr>
        <w:t xml:space="preserve">Consúltese la Lista de temas de las normas de la CIPF publicada en el PFI (véase </w:t>
      </w:r>
      <w:hyperlink r:id="rId9">
        <w:r>
          <w:rPr>
            <w:rStyle w:val="Hyperlink"/>
            <w:rFonts w:ascii="Times New Roman" w:hAnsi="Times New Roman"/>
            <w:color w:val="0000FF"/>
            <w:lang w:val="es-ES_tradnl"/>
          </w:rPr>
          <w:t>https://www.ippc.int/es/core-activities/standards-setting/list-topics-ippc-standards/</w:t>
        </w:r>
      </w:hyperlink>
      <w:r>
        <w:rPr>
          <w:rFonts w:ascii="Times New Roman" w:hAnsi="Times New Roman"/>
          <w:lang w:val="es-ES_tradnl"/>
        </w:rPr>
        <w:t>).</w:t>
      </w:r>
    </w:p>
    <w:p w:rsidR="00287A29" w:rsidRDefault="007B245F">
      <w:pPr>
        <w:pStyle w:val="IPPHeading1"/>
        <w:rPr>
          <w:rFonts w:ascii="Times New Roman" w:hAnsi="Times New Roman"/>
          <w:lang w:val="es-ES_tradnl"/>
        </w:rPr>
      </w:pPr>
      <w:r>
        <w:rPr>
          <w:rStyle w:val="PleaseReviewParagraphId"/>
          <w:b w:val="0"/>
        </w:rPr>
        <w:t>[58]</w:t>
      </w:r>
      <w:r>
        <w:rPr>
          <w:rFonts w:ascii="Times New Roman" w:hAnsi="Times New Roman"/>
          <w:lang w:val="es-ES_tradnl"/>
        </w:rPr>
        <w:t>Expertos</w:t>
      </w:r>
    </w:p>
    <w:p w:rsidR="00287A29" w:rsidRDefault="007B245F">
      <w:pPr>
        <w:pStyle w:val="IPPNormalCloseSpace"/>
        <w:jc w:val="both"/>
        <w:rPr>
          <w:rFonts w:ascii="Times New Roman" w:hAnsi="Times New Roman"/>
          <w:lang w:val="es-ES_tradnl"/>
        </w:rPr>
      </w:pPr>
      <w:r>
        <w:rPr>
          <w:rStyle w:val="PleaseReviewParagraphId"/>
        </w:rPr>
        <w:t>[59]</w:t>
      </w:r>
      <w:r>
        <w:rPr>
          <w:rFonts w:ascii="Times New Roman" w:hAnsi="Times New Roman"/>
          <w:lang w:val="es-ES_tradnl"/>
        </w:rPr>
        <w:t>De cinco a siete expertos con experiencia colect</w:t>
      </w:r>
      <w:r>
        <w:rPr>
          <w:rFonts w:ascii="Times New Roman" w:hAnsi="Times New Roman"/>
          <w:lang w:val="es-ES_tradnl"/>
        </w:rPr>
        <w:t>iva en los siguientes ámbitos:</w:t>
      </w:r>
    </w:p>
    <w:p w:rsidR="00287A29" w:rsidRDefault="007B245F">
      <w:pPr>
        <w:pStyle w:val="IPPBullet1"/>
        <w:jc w:val="both"/>
        <w:rPr>
          <w:lang w:val="es-ES_tradnl"/>
        </w:rPr>
      </w:pPr>
      <w:r>
        <w:rPr>
          <w:rStyle w:val="PleaseReviewParagraphId"/>
        </w:rPr>
        <w:t>[60]</w:t>
      </w:r>
      <w:r>
        <w:rPr>
          <w:rFonts w:ascii="Times New Roman" w:hAnsi="Times New Roman"/>
          <w:lang w:val="es-ES_tradnl"/>
        </w:rPr>
        <w:t>desarrollo o aplicación de medidas fitosanitarias integradas en enfoques de sistemas para la gestión del riesgo de plagas</w:t>
      </w:r>
    </w:p>
    <w:p w:rsidR="00287A29" w:rsidRDefault="007B245F">
      <w:pPr>
        <w:pStyle w:val="IPPBullet1"/>
        <w:jc w:val="both"/>
        <w:rPr>
          <w:lang w:val="es-ES_tradnl"/>
        </w:rPr>
      </w:pPr>
      <w:r>
        <w:rPr>
          <w:rStyle w:val="PleaseReviewParagraphId"/>
        </w:rPr>
        <w:t>[61]</w:t>
      </w:r>
      <w:r>
        <w:rPr>
          <w:rFonts w:ascii="Times New Roman" w:hAnsi="Times New Roman"/>
          <w:lang w:val="es-ES_tradnl"/>
        </w:rPr>
        <w:t xml:space="preserve">diseño, supervisión y gestión de programas fitosanitarios relacionados con la producción de </w:t>
      </w:r>
      <w:r>
        <w:rPr>
          <w:rFonts w:ascii="Times New Roman" w:hAnsi="Times New Roman"/>
          <w:lang w:val="es-ES_tradnl"/>
        </w:rPr>
        <w:t>productos de madera</w:t>
      </w:r>
    </w:p>
    <w:p w:rsidR="00287A29" w:rsidRDefault="007B245F">
      <w:pPr>
        <w:pStyle w:val="IPPBullet1"/>
        <w:jc w:val="both"/>
        <w:rPr>
          <w:lang w:val="es-ES_tradnl"/>
        </w:rPr>
      </w:pPr>
      <w:r>
        <w:rPr>
          <w:rStyle w:val="PleaseReviewParagraphId"/>
        </w:rPr>
        <w:t>[62]</w:t>
      </w:r>
      <w:r>
        <w:rPr>
          <w:rFonts w:ascii="Times New Roman" w:hAnsi="Times New Roman"/>
          <w:lang w:val="es-ES_tradnl"/>
        </w:rPr>
        <w:t>inspección reglamentaria relacionada con la actividad forestal</w:t>
      </w:r>
    </w:p>
    <w:p w:rsidR="00287A29" w:rsidRDefault="007B245F">
      <w:pPr>
        <w:pStyle w:val="IPPBullet1"/>
        <w:jc w:val="both"/>
        <w:rPr>
          <w:lang w:val="es-ES_tradnl"/>
        </w:rPr>
      </w:pPr>
      <w:r>
        <w:rPr>
          <w:rStyle w:val="PleaseReviewParagraphId"/>
        </w:rPr>
        <w:t>[63]</w:t>
      </w:r>
      <w:r>
        <w:rPr>
          <w:rFonts w:ascii="Times New Roman" w:hAnsi="Times New Roman"/>
          <w:lang w:val="es-ES_tradnl"/>
        </w:rPr>
        <w:t>realización y diseño de encuestas de plagas, preferiblemente en silvicultura</w:t>
      </w:r>
      <w:r>
        <w:rPr>
          <w:lang w:val="es-ES_tradnl"/>
        </w:rPr>
        <w:t xml:space="preserve"> </w:t>
      </w:r>
    </w:p>
    <w:p w:rsidR="00287A29" w:rsidRDefault="007B245F">
      <w:pPr>
        <w:pStyle w:val="IPPBullet1"/>
        <w:jc w:val="both"/>
        <w:rPr>
          <w:lang w:val="es-ES_tradnl"/>
        </w:rPr>
      </w:pPr>
      <w:r>
        <w:rPr>
          <w:rStyle w:val="PleaseReviewParagraphId"/>
        </w:rPr>
        <w:t>[64]</w:t>
      </w:r>
      <w:r>
        <w:rPr>
          <w:rFonts w:ascii="Times New Roman" w:hAnsi="Times New Roman"/>
          <w:lang w:val="es-ES_tradnl"/>
        </w:rPr>
        <w:t>análisis de riesgo de plagas asociadas con productos de madera</w:t>
      </w:r>
    </w:p>
    <w:p w:rsidR="00287A29" w:rsidRDefault="007B245F">
      <w:pPr>
        <w:pStyle w:val="IPPBullet1Last"/>
        <w:jc w:val="both"/>
        <w:rPr>
          <w:lang w:val="es-ES_tradnl"/>
        </w:rPr>
      </w:pPr>
      <w:r>
        <w:rPr>
          <w:rStyle w:val="PleaseReviewParagraphId"/>
        </w:rPr>
        <w:t>[65]</w:t>
      </w:r>
      <w:r>
        <w:rPr>
          <w:rFonts w:ascii="Times New Roman" w:hAnsi="Times New Roman"/>
          <w:lang w:val="es-ES_tradnl"/>
        </w:rPr>
        <w:t>comprensión de l</w:t>
      </w:r>
      <w:r>
        <w:rPr>
          <w:rFonts w:ascii="Times New Roman" w:hAnsi="Times New Roman"/>
          <w:lang w:val="es-ES_tradnl"/>
        </w:rPr>
        <w:t>a silvicultura y los sistemas de producción de los bosques de zonas templadas y tropicales.</w:t>
      </w:r>
    </w:p>
    <w:p w:rsidR="00287A29" w:rsidRDefault="007B245F">
      <w:pPr>
        <w:pStyle w:val="IPPHeading1"/>
        <w:rPr>
          <w:rFonts w:ascii="Times New Roman" w:hAnsi="Times New Roman"/>
          <w:lang w:val="es-ES_tradnl"/>
        </w:rPr>
      </w:pPr>
      <w:r>
        <w:rPr>
          <w:rStyle w:val="PleaseReviewParagraphId"/>
          <w:b w:val="0"/>
        </w:rPr>
        <w:t>[66]</w:t>
      </w:r>
      <w:r>
        <w:rPr>
          <w:rFonts w:ascii="Times New Roman" w:hAnsi="Times New Roman"/>
          <w:lang w:val="es-ES_tradnl"/>
        </w:rPr>
        <w:t>Participantes</w:t>
      </w:r>
    </w:p>
    <w:p w:rsidR="00287A29" w:rsidRDefault="007B245F">
      <w:pPr>
        <w:pStyle w:val="IPPNormal"/>
        <w:jc w:val="both"/>
        <w:rPr>
          <w:lang w:val="es-ES_tradnl"/>
        </w:rPr>
      </w:pPr>
      <w:r>
        <w:rPr>
          <w:rStyle w:val="PleaseReviewParagraphId"/>
        </w:rPr>
        <w:t>[67]</w:t>
      </w:r>
      <w:r>
        <w:rPr>
          <w:rFonts w:ascii="Times New Roman" w:hAnsi="Times New Roman"/>
          <w:lang w:val="es-ES_tradnl"/>
        </w:rPr>
        <w:t>Además de a los anteriores expertos, se debería invitar a participar en la reunión o reuniones del GTE, o en parte de ellas, como experto invi</w:t>
      </w:r>
      <w:r>
        <w:rPr>
          <w:rFonts w:ascii="Times New Roman" w:hAnsi="Times New Roman"/>
          <w:lang w:val="es-ES_tradnl"/>
        </w:rPr>
        <w:t>tado, a un miembro del Grupo técnico sobre cuarentena forestal.</w:t>
      </w:r>
    </w:p>
    <w:p w:rsidR="00287A29" w:rsidRDefault="007B245F">
      <w:pPr>
        <w:pStyle w:val="IPPHeading1"/>
        <w:rPr>
          <w:rFonts w:ascii="Times New Roman" w:hAnsi="Times New Roman"/>
          <w:i/>
          <w:lang w:val="es-ES_tradnl"/>
        </w:rPr>
      </w:pPr>
      <w:r>
        <w:rPr>
          <w:rStyle w:val="PleaseReviewParagraphId"/>
          <w:b w:val="0"/>
        </w:rPr>
        <w:t>[68]</w:t>
      </w:r>
      <w:r>
        <w:rPr>
          <w:rFonts w:ascii="Times New Roman" w:hAnsi="Times New Roman"/>
          <w:lang w:val="es-ES_tradnl"/>
        </w:rPr>
        <w:t>Referencias</w:t>
      </w:r>
    </w:p>
    <w:p w:rsidR="00287A29" w:rsidRDefault="007B245F">
      <w:pPr>
        <w:pStyle w:val="IPPNormal"/>
        <w:jc w:val="both"/>
        <w:rPr>
          <w:rFonts w:ascii="Times New Roman" w:hAnsi="Times New Roman"/>
          <w:lang w:val="es-ES_tradnl"/>
        </w:rPr>
      </w:pPr>
      <w:r>
        <w:rPr>
          <w:rStyle w:val="PleaseReviewParagraphId"/>
        </w:rPr>
        <w:t>[69]</w:t>
      </w:r>
      <w:r>
        <w:rPr>
          <w:rFonts w:ascii="Times New Roman" w:hAnsi="Times New Roman"/>
          <w:lang w:val="es-ES_tradnl"/>
        </w:rPr>
        <w:t>La CIPF, las NIMF pertinentes y otras normas y acuerdos de alcance nacional, regional e internacional que puedan aplicarse a las tareas y los documentos de debate presentad</w:t>
      </w:r>
      <w:r>
        <w:rPr>
          <w:rFonts w:ascii="Times New Roman" w:hAnsi="Times New Roman"/>
          <w:lang w:val="es-ES_tradnl"/>
        </w:rPr>
        <w:t>os en relación con esta labor.</w:t>
      </w:r>
    </w:p>
    <w:p w:rsidR="00287A29" w:rsidRDefault="007B245F">
      <w:pPr>
        <w:pStyle w:val="IPPReferences"/>
        <w:jc w:val="both"/>
        <w:rPr>
          <w:rFonts w:ascii="Times New Roman" w:hAnsi="Times New Roman" w:cs="Times New Roman"/>
          <w:lang w:val="es-ES_tradnl"/>
        </w:rPr>
      </w:pPr>
      <w:r>
        <w:rPr>
          <w:rStyle w:val="PleaseReviewParagraphId"/>
        </w:rPr>
        <w:t>[70]</w:t>
      </w:r>
      <w:r>
        <w:rPr>
          <w:rFonts w:ascii="Times New Roman" w:hAnsi="Times New Roman"/>
          <w:b/>
          <w:lang w:val="es-ES_tradnl"/>
        </w:rPr>
        <w:t xml:space="preserve">NIMF 14. </w:t>
      </w:r>
      <w:r>
        <w:rPr>
          <w:rFonts w:ascii="Times New Roman" w:hAnsi="Times New Roman"/>
          <w:lang w:val="es-ES_tradnl"/>
        </w:rPr>
        <w:t xml:space="preserve">2017. </w:t>
      </w:r>
      <w:r>
        <w:rPr>
          <w:rFonts w:ascii="Times New Roman" w:hAnsi="Times New Roman"/>
          <w:i/>
          <w:lang w:val="es-ES_tradnl"/>
        </w:rPr>
        <w:t>Aplicación de medidas integradas en un enfoque de sistemas para el manejo del riesgo de plagas</w:t>
      </w:r>
      <w:r>
        <w:rPr>
          <w:rFonts w:ascii="Times New Roman" w:hAnsi="Times New Roman"/>
          <w:lang w:val="es-ES_tradnl"/>
        </w:rPr>
        <w:t>. Roma, CIPF, FAO.</w:t>
      </w:r>
    </w:p>
    <w:p w:rsidR="00287A29" w:rsidRDefault="007B245F">
      <w:pPr>
        <w:pStyle w:val="IPPReferences"/>
        <w:jc w:val="both"/>
        <w:rPr>
          <w:rFonts w:ascii="Times New Roman" w:hAnsi="Times New Roman" w:cs="Times New Roman"/>
          <w:lang w:val="es-ES_tradnl"/>
        </w:rPr>
      </w:pPr>
      <w:r>
        <w:rPr>
          <w:rStyle w:val="PleaseReviewParagraphId"/>
        </w:rPr>
        <w:t>[71]</w:t>
      </w:r>
      <w:r>
        <w:rPr>
          <w:rFonts w:ascii="Times New Roman" w:hAnsi="Times New Roman"/>
          <w:b/>
          <w:lang w:val="es-ES_tradnl"/>
        </w:rPr>
        <w:t xml:space="preserve">NIMF 39. </w:t>
      </w:r>
      <w:r>
        <w:rPr>
          <w:rFonts w:ascii="Times New Roman" w:hAnsi="Times New Roman"/>
          <w:lang w:val="es-ES_tradnl"/>
        </w:rPr>
        <w:t xml:space="preserve">2017. </w:t>
      </w:r>
      <w:r>
        <w:rPr>
          <w:rFonts w:ascii="Times New Roman" w:hAnsi="Times New Roman"/>
          <w:i/>
          <w:lang w:val="es-ES_tradnl"/>
        </w:rPr>
        <w:t>Movimiento internacional de madera</w:t>
      </w:r>
      <w:r>
        <w:rPr>
          <w:rFonts w:ascii="Times New Roman" w:hAnsi="Times New Roman"/>
          <w:lang w:val="es-ES_tradnl"/>
        </w:rPr>
        <w:t>. Roma, CIPF, FAO.</w:t>
      </w:r>
    </w:p>
    <w:p w:rsidR="00287A29" w:rsidRDefault="007B245F">
      <w:pPr>
        <w:pStyle w:val="IPPReferences"/>
        <w:spacing w:after="180"/>
        <w:jc w:val="both"/>
        <w:rPr>
          <w:rFonts w:ascii="Times New Roman" w:hAnsi="Times New Roman" w:cs="Times New Roman"/>
          <w:lang w:val="es-ES_tradnl"/>
        </w:rPr>
      </w:pPr>
      <w:r>
        <w:rPr>
          <w:rStyle w:val="PleaseReviewParagraphId"/>
        </w:rPr>
        <w:t>[72]</w:t>
      </w:r>
      <w:r>
        <w:rPr>
          <w:rFonts w:ascii="Times New Roman" w:hAnsi="Times New Roman"/>
          <w:b/>
          <w:lang w:val="es-ES_tradnl"/>
        </w:rPr>
        <w:t>PNUMA</w:t>
      </w:r>
      <w:r>
        <w:rPr>
          <w:lang w:val="es-ES_tradnl"/>
        </w:rPr>
        <w:t xml:space="preserve"> </w:t>
      </w:r>
      <w:r>
        <w:rPr>
          <w:rFonts w:ascii="Times New Roman" w:hAnsi="Times New Roman"/>
          <w:lang w:val="es-ES_tradnl"/>
        </w:rPr>
        <w:t xml:space="preserve">(Programa de las Naciones Unidas para el Medio Ambiente). 2016. </w:t>
      </w:r>
      <w:r>
        <w:rPr>
          <w:rFonts w:ascii="Times New Roman" w:hAnsi="Times New Roman"/>
          <w:i/>
          <w:lang w:val="es-ES_tradnl"/>
        </w:rPr>
        <w:t>Protocolo de Montreal relativo a las sustancias que agotan la capa de ozono</w:t>
      </w:r>
      <w:r>
        <w:rPr>
          <w:rFonts w:ascii="Times New Roman" w:hAnsi="Times New Roman"/>
          <w:lang w:val="es-ES_tradnl"/>
        </w:rPr>
        <w:t>, con ajustes y modificaciones. Secretaría del Ozono del PNUMA. Disponible en</w:t>
      </w:r>
      <w:r>
        <w:rPr>
          <w:lang w:val="es-ES_tradnl"/>
        </w:rPr>
        <w:t xml:space="preserve"> </w:t>
      </w:r>
      <w:hyperlink r:id="rId10">
        <w:r>
          <w:rPr>
            <w:rStyle w:val="Hyperlink"/>
            <w:rFonts w:ascii="Times New Roman" w:hAnsi="Times New Roman"/>
            <w:color w:val="0000FF"/>
            <w:lang w:val="es-ES_tradnl"/>
          </w:rPr>
          <w:t>http://ozone.unep.org/es/tratados-y-decisiones/el-protocolo-de-montreal-relativo-las-sustancias-que-agotan-la-capa-de-ozono</w:t>
        </w:r>
      </w:hyperlink>
      <w:r>
        <w:rPr>
          <w:rFonts w:ascii="Times New Roman" w:hAnsi="Times New Roman"/>
          <w:lang w:val="es-ES_tradnl"/>
        </w:rPr>
        <w:t xml:space="preserve"> (último acceso: 8 de marzo d</w:t>
      </w:r>
      <w:r>
        <w:rPr>
          <w:rFonts w:ascii="Times New Roman" w:hAnsi="Times New Roman"/>
          <w:lang w:val="es-ES_tradnl"/>
        </w:rPr>
        <w:t>e 2018).</w:t>
      </w:r>
    </w:p>
    <w:p w:rsidR="00287A29" w:rsidRDefault="007B245F">
      <w:pPr>
        <w:pStyle w:val="IPPHeading1"/>
        <w:rPr>
          <w:rFonts w:ascii="Times New Roman" w:hAnsi="Times New Roman"/>
          <w:bCs/>
          <w:lang w:val="es-ES_tradnl"/>
        </w:rPr>
      </w:pPr>
      <w:r>
        <w:rPr>
          <w:rStyle w:val="PleaseReviewParagraphId"/>
          <w:b w:val="0"/>
        </w:rPr>
        <w:t>[73]</w:t>
      </w:r>
      <w:r>
        <w:rPr>
          <w:rFonts w:ascii="Times New Roman" w:hAnsi="Times New Roman"/>
          <w:lang w:val="es-ES_tradnl"/>
        </w:rPr>
        <w:t>Documentos de debate</w:t>
      </w:r>
    </w:p>
    <w:p w:rsidR="00287A29" w:rsidRDefault="007B245F">
      <w:pPr>
        <w:pStyle w:val="IPPNormal"/>
        <w:jc w:val="both"/>
        <w:rPr>
          <w:rFonts w:ascii="Times New Roman" w:hAnsi="Times New Roman"/>
          <w:lang w:val="es-ES_tradnl"/>
        </w:rPr>
      </w:pPr>
      <w:r>
        <w:rPr>
          <w:rStyle w:val="PleaseReviewParagraphId"/>
        </w:rPr>
        <w:t>[74]</w:t>
      </w:r>
      <w:r>
        <w:rPr>
          <w:rFonts w:ascii="Times New Roman" w:hAnsi="Times New Roman"/>
          <w:lang w:val="es-ES_tradnl"/>
        </w:rPr>
        <w:t>Se alienta a los participantes y las partes interesadas a remitir documentos de debate a la Secretaría de la CIPF (</w:t>
      </w:r>
      <w:hyperlink r:id="rId11">
        <w:r>
          <w:rPr>
            <w:rStyle w:val="Hyperlink"/>
            <w:rFonts w:ascii="Times New Roman" w:hAnsi="Times New Roman"/>
            <w:color w:val="0000FF"/>
            <w:lang w:val="es-ES_tradnl"/>
          </w:rPr>
          <w:t>ippc@fao.org</w:t>
        </w:r>
      </w:hyperlink>
      <w:r>
        <w:rPr>
          <w:rFonts w:ascii="Times New Roman" w:hAnsi="Times New Roman"/>
          <w:lang w:val="es-ES_tradnl"/>
        </w:rPr>
        <w:t>) para examen del GTE.</w:t>
      </w:r>
    </w:p>
    <w:sectPr w:rsidR="00287A29">
      <w:pgSz w:w="11907" w:h="16840" w:code="9"/>
      <w:pgMar w:top="1554" w:right="1412" w:bottom="1412" w:left="1412" w:header="851" w:footer="851" w:gutter="0"/>
      <w:cols w:space="708"/>
      <w:titlePg/>
      <w:docGrid w:linePitch="360"/>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9ED52" w16cid:durableId="1E4A35A9"/>
  <w16cid:commentId w16cid:paraId="5C583D8D" w16cid:durableId="1E4A35AA"/>
  <w16cid:commentId w16cid:paraId="28898D6C" w16cid:durableId="1E4A35AB"/>
  <w16cid:commentId w16cid:paraId="62E91D33" w16cid:durableId="1E639AB3"/>
  <w16cid:commentId w16cid:paraId="5FE71395" w16cid:durableId="1E4A3D88"/>
  <w16cid:commentId w16cid:paraId="6164A4D3" w16cid:durableId="1E639AB5"/>
  <w16cid:commentId w16cid:paraId="1C8B28C6" w16cid:durableId="1E4BB3CD"/>
  <w16cid:commentId w16cid:paraId="29076F73" w16cid:durableId="1E639AB7"/>
  <w16cid:commentId w16cid:paraId="0FC0ADD8" w16cid:durableId="1E639DC6"/>
  <w16cid:commentId w16cid:paraId="436A0211" w16cid:durableId="1E648B7B"/>
  <w16cid:commentId w16cid:paraId="18FD351B" w16cid:durableId="1E4A399E"/>
  <w16cid:commentId w16cid:paraId="040D383C" w16cid:durableId="1E639AB9"/>
  <w16cid:commentId w16cid:paraId="25EA80F8" w16cid:durableId="1E63A422"/>
  <w16cid:commentId w16cid:paraId="7137D7A1" w16cid:durableId="1E648B7F"/>
  <w16cid:commentId w16cid:paraId="0FD35DDD" w16cid:durableId="1E4A5F61"/>
  <w16cid:commentId w16cid:paraId="46C658A3" w16cid:durableId="1E639ABB"/>
  <w16cid:commentId w16cid:paraId="57CCCFBD" w16cid:durableId="1E63A50D"/>
  <w16cid:commentId w16cid:paraId="20C384CE" w16cid:durableId="1E648B83"/>
  <w16cid:commentId w16cid:paraId="3899297D" w16cid:durableId="1E4BCF78"/>
  <w16cid:commentId w16cid:paraId="32AD1A73" w16cid:durableId="1E4B8B75"/>
  <w16cid:commentId w16cid:paraId="02BB23B0" w16cid:durableId="1E639ABE"/>
  <w16cid:commentId w16cid:paraId="26495187" w16cid:durableId="1E63A651"/>
  <w16cid:commentId w16cid:paraId="49490CF3" w16cid:durableId="1E648B88"/>
  <w16cid:commentId w16cid:paraId="757A6448" w16cid:durableId="1E4A7DF6"/>
  <w16cid:commentId w16cid:paraId="689BFD33" w16cid:durableId="1E639AC0"/>
  <w16cid:commentId w16cid:paraId="00237757" w16cid:durableId="1E63A6F1"/>
  <w16cid:commentId w16cid:paraId="39AC26F7" w16cid:durableId="1E648B8C"/>
  <w16cid:commentId w16cid:paraId="26527DF9" w16cid:durableId="1E4A7F59"/>
  <w16cid:commentId w16cid:paraId="51C1D758" w16cid:durableId="1E639AC2"/>
  <w16cid:commentId w16cid:paraId="4D6105B5" w16cid:durableId="1E63A904"/>
  <w16cid:commentId w16cid:paraId="60A959CF" w16cid:durableId="1E648B90"/>
  <w16cid:commentId w16cid:paraId="5C5F6BF0" w16cid:durableId="1E4B9E45"/>
  <w16cid:commentId w16cid:paraId="6F2EF2EA" w16cid:durableId="1E639AC4"/>
  <w16cid:commentId w16cid:paraId="2286B449" w16cid:durableId="1E63A8F4"/>
  <w16cid:commentId w16cid:paraId="76566F10" w16cid:durableId="1E648B94"/>
  <w16cid:commentId w16cid:paraId="29462663" w16cid:durableId="1E648B9E"/>
  <w16cid:commentId w16cid:paraId="5F59F53B" w16cid:durableId="1E4B8B79"/>
  <w16cid:commentId w16cid:paraId="484696D9" w16cid:durableId="1E4B8B7A"/>
  <w16cid:commentId w16cid:paraId="1943674C" w16cid:durableId="1E639AC7"/>
  <w16cid:commentId w16cid:paraId="0AF816A7" w16cid:durableId="1E63ABC4"/>
  <w16cid:commentId w16cid:paraId="3987DE24" w16cid:durableId="1E648B99"/>
  <w16cid:commentId w16cid:paraId="1006649D" w16cid:durableId="1E4A5907"/>
  <w16cid:commentId w16cid:paraId="35EF57E7" w16cid:durableId="1E639AC9"/>
  <w16cid:commentId w16cid:paraId="01F32B2E" w16cid:durableId="1E4B8B7D"/>
  <w16cid:commentId w16cid:paraId="686468ED" w16cid:durableId="1E639A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29" w:rsidRDefault="007B245F">
      <w:r>
        <w:rPr>
          <w:rStyle w:val="PleaseReviewParagraphId"/>
        </w:rPr>
        <w:t>[]</w:t>
      </w:r>
      <w:r>
        <w:rPr>
          <w:rStyle w:val="PleaseReviewParagraphId"/>
        </w:rPr>
        <w:t>[]</w:t>
      </w:r>
      <w:r>
        <w:separator/>
      </w:r>
    </w:p>
  </w:endnote>
  <w:endnote w:type="continuationSeparator" w:id="0">
    <w:p w:rsidR="00287A29" w:rsidRDefault="007B245F">
      <w:r>
        <w:rPr>
          <w:rStyle w:val="PleaseReviewParagraphId"/>
        </w:rPr>
        <w:t>[]</w:t>
      </w:r>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29" w:rsidRDefault="007B245F">
      <w:r>
        <w:rPr>
          <w:rStyle w:val="PleaseReviewParagraphId"/>
        </w:rPr>
        <w:t>[]</w:t>
      </w:r>
      <w:r>
        <w:rPr>
          <w:rStyle w:val="PleaseReviewParagraphId"/>
        </w:rPr>
        <w:t>[]</w:t>
      </w:r>
      <w:r>
        <w:separator/>
      </w:r>
    </w:p>
  </w:footnote>
  <w:footnote w:type="continuationSeparator" w:id="0">
    <w:p w:rsidR="00287A29" w:rsidRDefault="007B245F">
      <w:r>
        <w:rPr>
          <w:rStyle w:val="PleaseReviewParagraphId"/>
        </w:rPr>
        <w:t>[]</w:t>
      </w:r>
      <w:r>
        <w:rPr>
          <w:rStyle w:val="PleaseReviewParagraphId"/>
        </w:rPr>
        <w:t>[]</w:t>
      </w: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996D8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B4E7F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3C34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AFA0E4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0A2D0C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18044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DCA95E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69425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74C6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FEF7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6C400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592949"/>
    <w:multiLevelType w:val="hybridMultilevel"/>
    <w:tmpl w:val="142C2F64"/>
    <w:lvl w:ilvl="0" w:tplc="66984840">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4C0A6C"/>
    <w:multiLevelType w:val="multilevel"/>
    <w:tmpl w:val="06E871E4"/>
    <w:numStyleLink w:val="IPPParagraphnumberedlist"/>
  </w:abstractNum>
  <w:abstractNum w:abstractNumId="1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8D531D"/>
    <w:multiLevelType w:val="hybridMultilevel"/>
    <w:tmpl w:val="D45EBCF2"/>
    <w:lvl w:ilvl="0" w:tplc="22D0F690">
      <w:start w:val="1"/>
      <w:numFmt w:val="bullet"/>
      <w:lvlText w:val=""/>
      <w:lvlJc w:val="left"/>
      <w:pPr>
        <w:tabs>
          <w:tab w:val="num" w:pos="720"/>
        </w:tabs>
        <w:ind w:left="720" w:hanging="72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Arial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308C2E82"/>
    <w:multiLevelType w:val="multilevel"/>
    <w:tmpl w:val="5CA47776"/>
    <w:lvl w:ilvl="0">
      <w:start w:val="1"/>
      <w:numFmt w:val="decimal"/>
      <w:lvlText w:val="%1."/>
      <w:lvlJc w:val="left"/>
      <w:pPr>
        <w:tabs>
          <w:tab w:val="num" w:pos="360"/>
        </w:tabs>
        <w:ind w:left="360" w:hanging="360"/>
      </w:pPr>
      <w:rPr>
        <w:rFonts w:hint="default"/>
        <w:sz w:val="22"/>
        <w:szCs w:val="22"/>
      </w:rPr>
    </w:lvl>
    <w:lvl w:ilvl="1">
      <w:start w:val="1"/>
      <w:numFmt w:val="bullet"/>
      <w:lvlText w:val="o"/>
      <w:lvlJc w:val="left"/>
      <w:pPr>
        <w:tabs>
          <w:tab w:val="num" w:pos="1440"/>
        </w:tabs>
        <w:ind w:left="1440" w:hanging="360"/>
      </w:pPr>
      <w:rPr>
        <w:rFonts w:ascii="Courier New" w:hAnsi="Courier New" w:cs="Arial 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8" w15:restartNumberingAfterBreak="0">
    <w:nsid w:val="332B2841"/>
    <w:multiLevelType w:val="hybridMultilevel"/>
    <w:tmpl w:val="ECDAE9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9B32A0"/>
    <w:multiLevelType w:val="multilevel"/>
    <w:tmpl w:val="D512B0CC"/>
    <w:lvl w:ilvl="0">
      <w:start w:val="1"/>
      <w:numFmt w:val="bullet"/>
      <w:lvlText w:val=""/>
      <w:lvlJc w:val="left"/>
      <w:pPr>
        <w:tabs>
          <w:tab w:val="num" w:pos="284"/>
        </w:tabs>
        <w:ind w:left="284" w:hanging="284"/>
      </w:pPr>
      <w:rPr>
        <w:rFonts w:ascii="Symbol" w:hAnsi="Symbol" w:hint="default"/>
        <w:sz w:val="16"/>
        <w:szCs w:val="16"/>
      </w:rPr>
    </w:lvl>
    <w:lvl w:ilvl="1">
      <w:start w:val="1"/>
      <w:numFmt w:val="bullet"/>
      <w:lvlText w:val=""/>
      <w:lvlJc w:val="left"/>
      <w:pPr>
        <w:tabs>
          <w:tab w:val="num" w:pos="568"/>
        </w:tabs>
        <w:ind w:left="568" w:hanging="284"/>
      </w:pPr>
      <w:rPr>
        <w:rFonts w:ascii="Wingdings" w:hAnsi="Wingdings" w:hint="default"/>
        <w:sz w:val="16"/>
        <w:szCs w:val="16"/>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486838"/>
    <w:multiLevelType w:val="hybridMultilevel"/>
    <w:tmpl w:val="E6F4E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242664"/>
    <w:multiLevelType w:val="multilevel"/>
    <w:tmpl w:val="23EC61A0"/>
    <w:lvl w:ilvl="0">
      <w:start w:val="1"/>
      <w:numFmt w:val="bullet"/>
      <w:lvlText w:val=""/>
      <w:lvlJc w:val="left"/>
      <w:pPr>
        <w:tabs>
          <w:tab w:val="num" w:pos="284"/>
        </w:tabs>
        <w:ind w:left="284" w:hanging="284"/>
      </w:pPr>
      <w:rPr>
        <w:rFonts w:ascii="Symbol" w:hAnsi="Symbol" w:hint="default"/>
        <w:color w:val="auto"/>
        <w:sz w:val="16"/>
        <w:szCs w:val="16"/>
      </w:rPr>
    </w:lvl>
    <w:lvl w:ilvl="1" w:tentative="1">
      <w:start w:val="1"/>
      <w:numFmt w:val="bullet"/>
      <w:lvlText w:val="o"/>
      <w:lvlJc w:val="left"/>
      <w:pPr>
        <w:tabs>
          <w:tab w:val="num" w:pos="1440"/>
        </w:tabs>
        <w:ind w:left="1440" w:hanging="360"/>
      </w:pPr>
      <w:rPr>
        <w:rFonts w:ascii="Courier New" w:hAnsi="Courier New" w:cs="Arial 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8D42D3"/>
    <w:multiLevelType w:val="multilevel"/>
    <w:tmpl w:val="D05034DC"/>
    <w:lvl w:ilvl="0">
      <w:start w:val="1"/>
      <w:numFmt w:val="bullet"/>
      <w:lvlText w:val=""/>
      <w:lvlJc w:val="left"/>
      <w:pPr>
        <w:tabs>
          <w:tab w:val="num" w:pos="284"/>
        </w:tabs>
        <w:ind w:left="284" w:hanging="284"/>
      </w:pPr>
      <w:rPr>
        <w:rFonts w:ascii="Symbol" w:hAnsi="Symbol" w:hint="default"/>
        <w:sz w:val="16"/>
        <w:szCs w:val="16"/>
      </w:rPr>
    </w:lvl>
    <w:lvl w:ilvl="1">
      <w:numFmt w:val="bullet"/>
      <w:lvlText w:val="-"/>
      <w:lvlJc w:val="left"/>
      <w:pPr>
        <w:tabs>
          <w:tab w:val="num" w:pos="567"/>
        </w:tabs>
        <w:ind w:left="567" w:hanging="283"/>
      </w:pPr>
      <w:rPr>
        <w:rFonts w:ascii="Times New Roman" w:eastAsia="Times New Roman" w:hAnsi="Times New Roman" w:cs="Times New Roman" w:hint="default"/>
        <w:sz w:val="16"/>
        <w:szCs w:val="16"/>
      </w:rPr>
    </w:lvl>
    <w:lvl w:ilvl="2">
      <w:numFmt w:val="bullet"/>
      <w:lvlText w:val="-"/>
      <w:lvlJc w:val="left"/>
      <w:pPr>
        <w:tabs>
          <w:tab w:val="num" w:pos="850"/>
        </w:tabs>
        <w:ind w:left="850" w:hanging="283"/>
      </w:pPr>
      <w:rPr>
        <w:rFonts w:ascii="Times New Roman" w:eastAsia="Times New Roman" w:hAnsi="Times New Roman" w:cs="Times New Roman" w:hint="default"/>
        <w:sz w:val="16"/>
        <w:szCs w:val="16"/>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5C2D7859"/>
    <w:multiLevelType w:val="hybridMultilevel"/>
    <w:tmpl w:val="7DA46698"/>
    <w:lvl w:ilvl="0" w:tplc="040A0011">
      <w:start w:val="1"/>
      <w:numFmt w:val="decimal"/>
      <w:lvlText w:val="%1)"/>
      <w:lvlJc w:val="left"/>
      <w:pPr>
        <w:tabs>
          <w:tab w:val="num" w:pos="567"/>
        </w:tabs>
        <w:ind w:left="567" w:hanging="567"/>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D2757"/>
    <w:multiLevelType w:val="hybridMultilevel"/>
    <w:tmpl w:val="E1784FF2"/>
    <w:lvl w:ilvl="0" w:tplc="7942738C">
      <w:start w:val="1"/>
      <w:numFmt w:val="bullet"/>
      <w:pStyle w:val="IPPBullet2"/>
      <w:lvlText w:val=""/>
      <w:lvlJc w:val="left"/>
      <w:pPr>
        <w:tabs>
          <w:tab w:val="num" w:pos="1134"/>
        </w:tabs>
        <w:ind w:left="1134" w:hanging="567"/>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2C1662"/>
    <w:multiLevelType w:val="hybridMultilevel"/>
    <w:tmpl w:val="7340F6EA"/>
    <w:lvl w:ilvl="0" w:tplc="ABA8E890">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24"/>
  </w:num>
  <w:num w:numId="4">
    <w:abstractNumId w:val="23"/>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4"/>
  </w:num>
  <w:num w:numId="16">
    <w:abstractNumId w:val="18"/>
  </w:num>
  <w:num w:numId="17">
    <w:abstractNumId w:val="27"/>
  </w:num>
  <w:num w:numId="18">
    <w:abstractNumId w:val="13"/>
  </w:num>
  <w:num w:numId="19">
    <w:abstractNumId w:val="12"/>
  </w:num>
  <w:num w:numId="20">
    <w:abstractNumId w:val="17"/>
  </w:num>
  <w:num w:numId="21">
    <w:abstractNumId w:val="28"/>
  </w:num>
  <w:num w:numId="22">
    <w:abstractNumId w:val="25"/>
  </w:num>
  <w:num w:numId="23">
    <w:abstractNumId w:val="19"/>
  </w:num>
  <w:num w:numId="24">
    <w:abstractNumId w:val="29"/>
  </w:num>
  <w:num w:numId="25">
    <w:abstractNumId w:val="15"/>
  </w:num>
  <w:num w:numId="26">
    <w:abstractNumId w:val="1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abstractNumId w:val="1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abstractNumId w:val="1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abstractNumId w:val="1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0">
    <w:abstractNumId w:val="1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1">
    <w:abstractNumId w:val="1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abstractNumId w:val="11"/>
  </w:num>
  <w:num w:numId="33">
    <w:abstractNumId w:val="22"/>
  </w:num>
  <w:num w:numId="34">
    <w:abstractNumId w:val="11"/>
  </w:num>
  <w:num w:numId="35">
    <w:abstractNumId w:val="30"/>
  </w:num>
  <w:num w:numId="36">
    <w:abstractNumId w:val="21"/>
  </w:num>
  <w:num w:numId="37">
    <w:abstractNumId w:val="0"/>
  </w:num>
  <w:num w:numId="38">
    <w:abstractNumId w:val="28"/>
  </w:num>
  <w:num w:numId="39">
    <w:abstractNumId w:val="25"/>
  </w:num>
  <w:num w:numId="40">
    <w:abstractNumId w:val="2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187"/>
  <w:displayVerticalDrawingGridEvery w:val="2"/>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AC"/>
    <w:rsid w:val="00003209"/>
    <w:rsid w:val="00012DFD"/>
    <w:rsid w:val="000143FD"/>
    <w:rsid w:val="000174E6"/>
    <w:rsid w:val="000177B0"/>
    <w:rsid w:val="0002005D"/>
    <w:rsid w:val="000279A6"/>
    <w:rsid w:val="000339CB"/>
    <w:rsid w:val="000343ED"/>
    <w:rsid w:val="00034643"/>
    <w:rsid w:val="000358C3"/>
    <w:rsid w:val="0004566E"/>
    <w:rsid w:val="000461B6"/>
    <w:rsid w:val="00054421"/>
    <w:rsid w:val="000574F8"/>
    <w:rsid w:val="00071DDB"/>
    <w:rsid w:val="000739D6"/>
    <w:rsid w:val="000918C7"/>
    <w:rsid w:val="00092DC9"/>
    <w:rsid w:val="000A1101"/>
    <w:rsid w:val="000A4BB3"/>
    <w:rsid w:val="000B68B0"/>
    <w:rsid w:val="000D7999"/>
    <w:rsid w:val="000E2DF4"/>
    <w:rsid w:val="000E5208"/>
    <w:rsid w:val="000E5B9C"/>
    <w:rsid w:val="000F013E"/>
    <w:rsid w:val="000F640B"/>
    <w:rsid w:val="000F693C"/>
    <w:rsid w:val="001132EF"/>
    <w:rsid w:val="00113863"/>
    <w:rsid w:val="00122AC5"/>
    <w:rsid w:val="00123E7B"/>
    <w:rsid w:val="00126E3C"/>
    <w:rsid w:val="0013073F"/>
    <w:rsid w:val="00141982"/>
    <w:rsid w:val="00143EB1"/>
    <w:rsid w:val="001542A8"/>
    <w:rsid w:val="0015689F"/>
    <w:rsid w:val="001634E6"/>
    <w:rsid w:val="00170605"/>
    <w:rsid w:val="0018192E"/>
    <w:rsid w:val="00190518"/>
    <w:rsid w:val="001941D1"/>
    <w:rsid w:val="00195CC6"/>
    <w:rsid w:val="001A1B56"/>
    <w:rsid w:val="001A3A3C"/>
    <w:rsid w:val="001A4C25"/>
    <w:rsid w:val="001A7324"/>
    <w:rsid w:val="001A7D71"/>
    <w:rsid w:val="001B1B27"/>
    <w:rsid w:val="001B5E04"/>
    <w:rsid w:val="001C1CF9"/>
    <w:rsid w:val="001C647D"/>
    <w:rsid w:val="001D5F21"/>
    <w:rsid w:val="001F6535"/>
    <w:rsid w:val="00201FB0"/>
    <w:rsid w:val="0022273F"/>
    <w:rsid w:val="002246D3"/>
    <w:rsid w:val="002253B5"/>
    <w:rsid w:val="002445A7"/>
    <w:rsid w:val="00246E87"/>
    <w:rsid w:val="002532DA"/>
    <w:rsid w:val="00261844"/>
    <w:rsid w:val="002638C2"/>
    <w:rsid w:val="00264CAA"/>
    <w:rsid w:val="00267875"/>
    <w:rsid w:val="002734BA"/>
    <w:rsid w:val="00284F6E"/>
    <w:rsid w:val="00287A29"/>
    <w:rsid w:val="00292B7E"/>
    <w:rsid w:val="002959AC"/>
    <w:rsid w:val="002966D8"/>
    <w:rsid w:val="002A4C66"/>
    <w:rsid w:val="002B175C"/>
    <w:rsid w:val="002B388A"/>
    <w:rsid w:val="002B5C89"/>
    <w:rsid w:val="002C3BB3"/>
    <w:rsid w:val="002C5E0D"/>
    <w:rsid w:val="002C7C06"/>
    <w:rsid w:val="002D711C"/>
    <w:rsid w:val="002E6B7C"/>
    <w:rsid w:val="00306598"/>
    <w:rsid w:val="00325E56"/>
    <w:rsid w:val="00327BA7"/>
    <w:rsid w:val="0033745E"/>
    <w:rsid w:val="003441ED"/>
    <w:rsid w:val="00345577"/>
    <w:rsid w:val="0035237B"/>
    <w:rsid w:val="0035552D"/>
    <w:rsid w:val="00364D3C"/>
    <w:rsid w:val="003710F7"/>
    <w:rsid w:val="0037590F"/>
    <w:rsid w:val="00377199"/>
    <w:rsid w:val="00392141"/>
    <w:rsid w:val="003A2563"/>
    <w:rsid w:val="003A2BDB"/>
    <w:rsid w:val="003A7981"/>
    <w:rsid w:val="003B1CC2"/>
    <w:rsid w:val="003B4A92"/>
    <w:rsid w:val="003D72E6"/>
    <w:rsid w:val="003E0DF3"/>
    <w:rsid w:val="003F4A30"/>
    <w:rsid w:val="00412831"/>
    <w:rsid w:val="00413CF7"/>
    <w:rsid w:val="00431C11"/>
    <w:rsid w:val="0044220A"/>
    <w:rsid w:val="0044447F"/>
    <w:rsid w:val="00445425"/>
    <w:rsid w:val="00461BBF"/>
    <w:rsid w:val="00462DCC"/>
    <w:rsid w:val="00463A34"/>
    <w:rsid w:val="0047018F"/>
    <w:rsid w:val="00476103"/>
    <w:rsid w:val="00477880"/>
    <w:rsid w:val="004860CA"/>
    <w:rsid w:val="00487732"/>
    <w:rsid w:val="00490D9D"/>
    <w:rsid w:val="004A6E41"/>
    <w:rsid w:val="004B4835"/>
    <w:rsid w:val="004D1631"/>
    <w:rsid w:val="004D2645"/>
    <w:rsid w:val="004E3CF7"/>
    <w:rsid w:val="004F6751"/>
    <w:rsid w:val="00522A2C"/>
    <w:rsid w:val="00522DF9"/>
    <w:rsid w:val="005409E5"/>
    <w:rsid w:val="00551DE0"/>
    <w:rsid w:val="00556CFF"/>
    <w:rsid w:val="00560893"/>
    <w:rsid w:val="005746AC"/>
    <w:rsid w:val="005747AB"/>
    <w:rsid w:val="0057642A"/>
    <w:rsid w:val="00580C19"/>
    <w:rsid w:val="00590B31"/>
    <w:rsid w:val="005955EF"/>
    <w:rsid w:val="005A4C90"/>
    <w:rsid w:val="005D039C"/>
    <w:rsid w:val="005D17CA"/>
    <w:rsid w:val="005D5CD7"/>
    <w:rsid w:val="005E0357"/>
    <w:rsid w:val="005E2EC2"/>
    <w:rsid w:val="005E5ADD"/>
    <w:rsid w:val="006073E2"/>
    <w:rsid w:val="00614752"/>
    <w:rsid w:val="006350CC"/>
    <w:rsid w:val="00636620"/>
    <w:rsid w:val="0065315E"/>
    <w:rsid w:val="00655826"/>
    <w:rsid w:val="00656F6A"/>
    <w:rsid w:val="00662D8F"/>
    <w:rsid w:val="006633A6"/>
    <w:rsid w:val="006700A4"/>
    <w:rsid w:val="0068056F"/>
    <w:rsid w:val="00682F37"/>
    <w:rsid w:val="006869CF"/>
    <w:rsid w:val="006874DA"/>
    <w:rsid w:val="00696230"/>
    <w:rsid w:val="006A0F6F"/>
    <w:rsid w:val="006A79F7"/>
    <w:rsid w:val="006B4E2F"/>
    <w:rsid w:val="006C66D9"/>
    <w:rsid w:val="006C7C8C"/>
    <w:rsid w:val="006D4A55"/>
    <w:rsid w:val="006E4710"/>
    <w:rsid w:val="006E69FD"/>
    <w:rsid w:val="006F1666"/>
    <w:rsid w:val="006F4248"/>
    <w:rsid w:val="00704547"/>
    <w:rsid w:val="00713D70"/>
    <w:rsid w:val="007154FB"/>
    <w:rsid w:val="00727DCB"/>
    <w:rsid w:val="0073240B"/>
    <w:rsid w:val="0074466A"/>
    <w:rsid w:val="00752A5D"/>
    <w:rsid w:val="0075752A"/>
    <w:rsid w:val="007711DC"/>
    <w:rsid w:val="00777F98"/>
    <w:rsid w:val="00781039"/>
    <w:rsid w:val="007A1292"/>
    <w:rsid w:val="007A1EDD"/>
    <w:rsid w:val="007B039A"/>
    <w:rsid w:val="007B115C"/>
    <w:rsid w:val="007B1D92"/>
    <w:rsid w:val="007B245F"/>
    <w:rsid w:val="007B5C59"/>
    <w:rsid w:val="007C6FBC"/>
    <w:rsid w:val="007D2AB9"/>
    <w:rsid w:val="007D570C"/>
    <w:rsid w:val="007D6123"/>
    <w:rsid w:val="007F0D48"/>
    <w:rsid w:val="007F7762"/>
    <w:rsid w:val="008036FC"/>
    <w:rsid w:val="00804C95"/>
    <w:rsid w:val="008130A3"/>
    <w:rsid w:val="00815039"/>
    <w:rsid w:val="00824141"/>
    <w:rsid w:val="00825364"/>
    <w:rsid w:val="00826834"/>
    <w:rsid w:val="00832C44"/>
    <w:rsid w:val="008530A5"/>
    <w:rsid w:val="008650AB"/>
    <w:rsid w:val="00880F5B"/>
    <w:rsid w:val="008836CD"/>
    <w:rsid w:val="00884AD8"/>
    <w:rsid w:val="008C15DB"/>
    <w:rsid w:val="008C536E"/>
    <w:rsid w:val="008C590F"/>
    <w:rsid w:val="008D0869"/>
    <w:rsid w:val="008D0D57"/>
    <w:rsid w:val="008D32FB"/>
    <w:rsid w:val="008D554A"/>
    <w:rsid w:val="008E279F"/>
    <w:rsid w:val="008E6343"/>
    <w:rsid w:val="008F2853"/>
    <w:rsid w:val="00901D03"/>
    <w:rsid w:val="0090200B"/>
    <w:rsid w:val="009026ED"/>
    <w:rsid w:val="009156A8"/>
    <w:rsid w:val="00915DBB"/>
    <w:rsid w:val="009226D2"/>
    <w:rsid w:val="009229CD"/>
    <w:rsid w:val="0092303E"/>
    <w:rsid w:val="00924A77"/>
    <w:rsid w:val="009261D0"/>
    <w:rsid w:val="00936720"/>
    <w:rsid w:val="00936803"/>
    <w:rsid w:val="00945BEF"/>
    <w:rsid w:val="00980A91"/>
    <w:rsid w:val="00986763"/>
    <w:rsid w:val="0099323F"/>
    <w:rsid w:val="009A2B1D"/>
    <w:rsid w:val="009A6F51"/>
    <w:rsid w:val="009B4403"/>
    <w:rsid w:val="009E11CF"/>
    <w:rsid w:val="009F1EA9"/>
    <w:rsid w:val="00A1205A"/>
    <w:rsid w:val="00A1362F"/>
    <w:rsid w:val="00A14BC1"/>
    <w:rsid w:val="00A14F03"/>
    <w:rsid w:val="00A34956"/>
    <w:rsid w:val="00A53C42"/>
    <w:rsid w:val="00A57005"/>
    <w:rsid w:val="00A60AB7"/>
    <w:rsid w:val="00A92210"/>
    <w:rsid w:val="00AA02DF"/>
    <w:rsid w:val="00AA49EC"/>
    <w:rsid w:val="00AB57C0"/>
    <w:rsid w:val="00AE353B"/>
    <w:rsid w:val="00AF0867"/>
    <w:rsid w:val="00B02EE1"/>
    <w:rsid w:val="00B1504F"/>
    <w:rsid w:val="00B2058D"/>
    <w:rsid w:val="00B20DEB"/>
    <w:rsid w:val="00B45995"/>
    <w:rsid w:val="00B47349"/>
    <w:rsid w:val="00B50DB9"/>
    <w:rsid w:val="00B52072"/>
    <w:rsid w:val="00B523B1"/>
    <w:rsid w:val="00B5522A"/>
    <w:rsid w:val="00B72E52"/>
    <w:rsid w:val="00B75C50"/>
    <w:rsid w:val="00B9141A"/>
    <w:rsid w:val="00B94BCB"/>
    <w:rsid w:val="00BB1408"/>
    <w:rsid w:val="00BC0841"/>
    <w:rsid w:val="00BC503F"/>
    <w:rsid w:val="00BE4B74"/>
    <w:rsid w:val="00BF0073"/>
    <w:rsid w:val="00C00D80"/>
    <w:rsid w:val="00C02138"/>
    <w:rsid w:val="00C1572B"/>
    <w:rsid w:val="00C27772"/>
    <w:rsid w:val="00C31FC5"/>
    <w:rsid w:val="00C34C0B"/>
    <w:rsid w:val="00C40A40"/>
    <w:rsid w:val="00C54105"/>
    <w:rsid w:val="00C57435"/>
    <w:rsid w:val="00C60D65"/>
    <w:rsid w:val="00C70FCF"/>
    <w:rsid w:val="00C76DF8"/>
    <w:rsid w:val="00C83FDD"/>
    <w:rsid w:val="00CA4DD5"/>
    <w:rsid w:val="00CA58A1"/>
    <w:rsid w:val="00CA683F"/>
    <w:rsid w:val="00CA7518"/>
    <w:rsid w:val="00CB2CBB"/>
    <w:rsid w:val="00CC68AA"/>
    <w:rsid w:val="00CD5F1A"/>
    <w:rsid w:val="00CE09A2"/>
    <w:rsid w:val="00CF1705"/>
    <w:rsid w:val="00CF2AB6"/>
    <w:rsid w:val="00D04456"/>
    <w:rsid w:val="00D050F3"/>
    <w:rsid w:val="00D061AF"/>
    <w:rsid w:val="00D06E1B"/>
    <w:rsid w:val="00D132DE"/>
    <w:rsid w:val="00D20CDA"/>
    <w:rsid w:val="00D329D8"/>
    <w:rsid w:val="00D33B18"/>
    <w:rsid w:val="00D512DF"/>
    <w:rsid w:val="00D7343B"/>
    <w:rsid w:val="00D81F02"/>
    <w:rsid w:val="00D90C0F"/>
    <w:rsid w:val="00D945AF"/>
    <w:rsid w:val="00D97E4F"/>
    <w:rsid w:val="00DB010B"/>
    <w:rsid w:val="00DB2490"/>
    <w:rsid w:val="00DD1063"/>
    <w:rsid w:val="00DE2D51"/>
    <w:rsid w:val="00DF68B1"/>
    <w:rsid w:val="00E06312"/>
    <w:rsid w:val="00E15F6A"/>
    <w:rsid w:val="00E224DC"/>
    <w:rsid w:val="00E27E6E"/>
    <w:rsid w:val="00E3087B"/>
    <w:rsid w:val="00E41428"/>
    <w:rsid w:val="00E70CB0"/>
    <w:rsid w:val="00E72727"/>
    <w:rsid w:val="00E821D7"/>
    <w:rsid w:val="00E911FB"/>
    <w:rsid w:val="00EA5675"/>
    <w:rsid w:val="00EB60F5"/>
    <w:rsid w:val="00EE052C"/>
    <w:rsid w:val="00EE0C4B"/>
    <w:rsid w:val="00EF6A38"/>
    <w:rsid w:val="00F114A0"/>
    <w:rsid w:val="00F16382"/>
    <w:rsid w:val="00F25C4F"/>
    <w:rsid w:val="00F33A8D"/>
    <w:rsid w:val="00F34621"/>
    <w:rsid w:val="00F35074"/>
    <w:rsid w:val="00F361C4"/>
    <w:rsid w:val="00F37255"/>
    <w:rsid w:val="00F3746C"/>
    <w:rsid w:val="00F41D91"/>
    <w:rsid w:val="00F66AC7"/>
    <w:rsid w:val="00F80183"/>
    <w:rsid w:val="00F943AB"/>
    <w:rsid w:val="00F97210"/>
    <w:rsid w:val="00FA15B1"/>
    <w:rsid w:val="00FA1885"/>
    <w:rsid w:val="00FB1E88"/>
    <w:rsid w:val="00FB3004"/>
    <w:rsid w:val="00FB304A"/>
    <w:rsid w:val="00FC06B7"/>
    <w:rsid w:val="00FD27E2"/>
    <w:rsid w:val="00FE1960"/>
    <w:rsid w:val="00FF580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0F9A6E1A-4E30-47B7-88E8-9BEA5EFC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5F"/>
    <w:pPr>
      <w:spacing w:after="160" w:line="259" w:lineRule="auto"/>
    </w:pPr>
    <w:rPr>
      <w:rFonts w:asciiTheme="minorHAnsi" w:eastAsiaTheme="minorHAnsi" w:hAnsiTheme="minorHAnsi" w:cstheme="minorBidi"/>
      <w:sz w:val="22"/>
      <w:szCs w:val="22"/>
      <w:lang w:val="en-US" w:eastAsia="en-US" w:bidi="ar-SA"/>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b/>
      <w:bCs/>
      <w:i/>
      <w:iCs/>
      <w:sz w:val="28"/>
      <w:szCs w:val="28"/>
    </w:rPr>
  </w:style>
  <w:style w:type="paragraph" w:styleId="Heading3">
    <w:name w:val="heading 3"/>
    <w:basedOn w:val="Normal"/>
    <w:next w:val="Normal"/>
    <w:link w:val="Heading3Char"/>
    <w:qFormat/>
    <w:pPr>
      <w:keepNext/>
      <w:spacing w:before="240" w:after="60"/>
      <w:outlineLvl w:val="2"/>
    </w:pPr>
    <w:rPr>
      <w:b/>
      <w:bCs/>
      <w:sz w:val="26"/>
      <w:szCs w:val="26"/>
    </w:rPr>
  </w:style>
  <w:style w:type="character" w:default="1" w:styleId="DefaultParagraphFont">
    <w:name w:val="Default Paragraph Font"/>
    <w:uiPriority w:val="1"/>
    <w:semiHidden/>
    <w:unhideWhenUsed/>
    <w:rsid w:val="007B24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245F"/>
  </w:style>
  <w:style w:type="paragraph" w:styleId="Footer">
    <w:name w:val="footer"/>
    <w:basedOn w:val="Normal"/>
    <w:link w:val="FooterChar"/>
    <w:pPr>
      <w:tabs>
        <w:tab w:val="center" w:pos="4680"/>
        <w:tab w:val="right" w:pos="9360"/>
      </w:tabs>
    </w:pPr>
  </w:style>
  <w:style w:type="character" w:styleId="PageNumber">
    <w:name w:val="page number"/>
    <w:rPr>
      <w:rFonts w:ascii="Arial" w:hAnsi="Arial"/>
      <w:b/>
      <w:sz w:val="18"/>
    </w:rPr>
  </w:style>
  <w:style w:type="paragraph" w:customStyle="1" w:styleId="Contents">
    <w:name w:val="Contents"/>
    <w:pPr>
      <w:tabs>
        <w:tab w:val="left" w:pos="-1440"/>
        <w:tab w:val="left" w:pos="-720"/>
        <w:tab w:val="left" w:pos="0"/>
        <w:tab w:val="left" w:pos="835"/>
        <w:tab w:val="left" w:pos="1392"/>
      </w:tabs>
      <w:suppressAutoHyphens/>
      <w:jc w:val="both"/>
    </w:pPr>
    <w:rPr>
      <w:rFonts w:ascii="Courier" w:hAnsi="Courier"/>
      <w:spacing w:val="-3"/>
      <w:sz w:val="24"/>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b/>
      <w:bCs/>
      <w:sz w:val="22"/>
      <w:szCs w:val="24"/>
      <w:lang w:val="es-ES"/>
    </w:rPr>
  </w:style>
  <w:style w:type="character" w:customStyle="1" w:styleId="Heading2Char">
    <w:name w:val="Heading 2 Char"/>
    <w:link w:val="Heading2"/>
    <w:rPr>
      <w:rFonts w:ascii="Calibri" w:hAnsi="Calibri"/>
      <w:b/>
      <w:bCs/>
      <w:i/>
      <w:iCs/>
      <w:sz w:val="28"/>
      <w:szCs w:val="28"/>
      <w:lang w:val="es-ES"/>
    </w:rPr>
  </w:style>
  <w:style w:type="character" w:customStyle="1" w:styleId="Heading3Char">
    <w:name w:val="Heading 3 Char"/>
    <w:link w:val="Heading3"/>
    <w:rPr>
      <w:rFonts w:ascii="Calibri" w:hAnsi="Calibri"/>
      <w:b/>
      <w:bCs/>
      <w:sz w:val="26"/>
      <w:szCs w:val="26"/>
      <w:lang w:val="es-E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link w:val="FootnoteText"/>
    <w:semiHidden/>
    <w:rPr>
      <w:szCs w:val="24"/>
      <w:lang w:val="es-ES"/>
    </w:rPr>
  </w:style>
  <w:style w:type="character" w:styleId="FootnoteReference">
    <w:name w:val="footnote reference"/>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pPr>
    <w:rPr>
      <w:rFonts w:ascii="Arial" w:eastAsia="Times" w:hAnsi="Arial"/>
      <w:sz w:val="18"/>
      <w:lang w:val="es-ES" w:eastAsia="es-ES"/>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character" w:customStyle="1" w:styleId="FooterChar">
    <w:name w:val="Footer Char"/>
    <w:link w:val="Footer"/>
    <w:rPr>
      <w:sz w:val="22"/>
      <w:szCs w:val="24"/>
      <w:lang w:val="es-E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s-ES"/>
    </w:rPr>
  </w:style>
  <w:style w:type="paragraph" w:customStyle="1" w:styleId="IPPBullet2">
    <w:name w:val="IPP Bullet2"/>
    <w:basedOn w:val="IPPNormal"/>
    <w:next w:val="IPPBullet1"/>
    <w:qFormat/>
    <w:pPr>
      <w:numPr>
        <w:numId w:val="21"/>
      </w:numPr>
      <w:tabs>
        <w:tab w:val="left" w:pos="567"/>
      </w:tabs>
      <w:spacing w:after="60"/>
    </w:pPr>
  </w:style>
  <w:style w:type="paragraph" w:customStyle="1" w:styleId="IPPQuote">
    <w:name w:val="IPP Quote"/>
    <w:basedOn w:val="IPPNormal"/>
    <w:qFormat/>
    <w:pPr>
      <w:ind w:left="851" w:right="851"/>
    </w:pPr>
    <w:rPr>
      <w:sz w:val="18"/>
    </w:rPr>
  </w:style>
  <w:style w:type="paragraph" w:customStyle="1" w:styleId="IPPNormal">
    <w:name w:val="IPP Normal"/>
    <w:basedOn w:val="Normal"/>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pPr>
      <w:keepNext/>
      <w:tabs>
        <w:tab w:val="left" w:pos="567"/>
      </w:tabs>
      <w:spacing w:before="120" w:after="120"/>
      <w:ind w:left="567" w:hanging="567"/>
    </w:pPr>
    <w:rPr>
      <w:b/>
      <w:i/>
    </w:rPr>
  </w:style>
  <w:style w:type="character" w:customStyle="1" w:styleId="IPPnormalitalics">
    <w:name w:val="IPP normal italics"/>
    <w:rPr>
      <w:rFonts w:ascii="Times New Roman" w:hAnsi="Times New Roman"/>
      <w:i/>
      <w:sz w:val="22"/>
      <w:lang w:val="es-ES"/>
    </w:rPr>
  </w:style>
  <w:style w:type="character" w:customStyle="1" w:styleId="IPPNormalbold">
    <w:name w:val="IPP Normal bold"/>
    <w:rPr>
      <w:rFonts w:ascii="Times New Roman" w:eastAsia="Times" w:hAnsi="Times New Roman"/>
      <w:b/>
      <w:sz w:val="22"/>
      <w:szCs w:val="21"/>
      <w:lang w:val="es-E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rPr>
  </w:style>
  <w:style w:type="paragraph" w:customStyle="1" w:styleId="IPPHeading1">
    <w:name w:val="IPP Heading1"/>
    <w:basedOn w:val="IPPNormal"/>
    <w:next w:val="IPPNormal"/>
    <w:qFormat/>
    <w:pPr>
      <w:keepNext/>
      <w:tabs>
        <w:tab w:val="left" w:pos="567"/>
      </w:tabs>
      <w:spacing w:before="240" w:after="120"/>
      <w:ind w:left="567" w:hanging="567"/>
      <w:outlineLvl w:val="1"/>
    </w:pPr>
    <w:rPr>
      <w:b/>
      <w:sz w:val="24"/>
    </w:rPr>
  </w:style>
  <w:style w:type="paragraph" w:customStyle="1" w:styleId="IPPSubhead">
    <w:name w:val="IPP Subhead"/>
    <w:basedOn w:val="Normal"/>
    <w:qFormat/>
    <w:pPr>
      <w:keepNext/>
      <w:ind w:left="567" w:hanging="567"/>
    </w:pPr>
    <w:rPr>
      <w:b/>
      <w:bCs/>
      <w:iCs/>
    </w:rPr>
  </w:style>
  <w:style w:type="character" w:customStyle="1" w:styleId="IPPNormalunderlined">
    <w:name w:val="IPP Normal underlined"/>
    <w:rPr>
      <w:rFonts w:ascii="Times New Roman" w:hAnsi="Times New Roman"/>
      <w:sz w:val="22"/>
      <w:u w:val="single"/>
      <w:lang w:val="es-ES"/>
    </w:rPr>
  </w:style>
  <w:style w:type="paragraph" w:customStyle="1" w:styleId="IPPBullet1">
    <w:name w:val="IPP Bullet1"/>
    <w:basedOn w:val="IPPBullet1Last"/>
    <w:qFormat/>
    <w:pPr>
      <w:spacing w:after="60"/>
    </w:pPr>
  </w:style>
  <w:style w:type="paragraph" w:customStyle="1" w:styleId="IPPBullet1Last">
    <w:name w:val="IPP Bullet1Last"/>
    <w:basedOn w:val="IPPNormal"/>
    <w:next w:val="IPPNormal"/>
    <w:autoRedefine/>
    <w:qFormat/>
    <w:pPr>
      <w:numPr>
        <w:numId w:val="22"/>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pPr>
    <w:rPr>
      <w:rFonts w:ascii="Arial" w:hAnsi="Arial"/>
      <w:sz w:val="18"/>
    </w:rPr>
  </w:style>
  <w:style w:type="paragraph" w:customStyle="1" w:styleId="IPPAnnexHead">
    <w:name w:val="IPP AnnexHead"/>
    <w:basedOn w:val="IPPNormal"/>
    <w:next w:val="IPPNormal"/>
    <w:qFormat/>
    <w:pPr>
      <w:keepNext/>
      <w:tabs>
        <w:tab w:val="left" w:pos="567"/>
      </w:tabs>
      <w:spacing w:before="120"/>
      <w:outlineLvl w:val="1"/>
    </w:pPr>
    <w:rPr>
      <w:b/>
      <w:sz w:val="24"/>
    </w:rPr>
  </w:style>
  <w:style w:type="numbering" w:customStyle="1" w:styleId="IPPParagraphnumberedlist">
    <w:name w:val="IPP Paragraph numbered list"/>
    <w:pPr>
      <w:numPr>
        <w:numId w:val="20"/>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s-ES"/>
    </w:rPr>
  </w:style>
  <w:style w:type="paragraph" w:styleId="TOC5">
    <w:name w:val="toc 5"/>
    <w:basedOn w:val="Normal"/>
    <w:next w:val="Normal"/>
    <w:autoRedefine/>
    <w:uiPriority w:val="39"/>
    <w:pPr>
      <w:spacing w:after="120"/>
      <w:ind w:left="880"/>
    </w:pPr>
    <w:rPr>
      <w:rFonts w:eastAsia="Times"/>
      <w:lang w:val="es-ES"/>
    </w:rPr>
  </w:style>
  <w:style w:type="paragraph" w:styleId="TOC6">
    <w:name w:val="toc 6"/>
    <w:basedOn w:val="Normal"/>
    <w:next w:val="Normal"/>
    <w:autoRedefine/>
    <w:uiPriority w:val="39"/>
    <w:pPr>
      <w:spacing w:after="120"/>
      <w:ind w:left="1100"/>
    </w:pPr>
    <w:rPr>
      <w:rFonts w:eastAsia="Times"/>
      <w:lang w:val="es-ES"/>
    </w:rPr>
  </w:style>
  <w:style w:type="paragraph" w:styleId="TOC7">
    <w:name w:val="toc 7"/>
    <w:basedOn w:val="Normal"/>
    <w:next w:val="Normal"/>
    <w:autoRedefine/>
    <w:uiPriority w:val="39"/>
    <w:pPr>
      <w:spacing w:after="120"/>
      <w:ind w:left="1320"/>
    </w:pPr>
    <w:rPr>
      <w:rFonts w:eastAsia="Times"/>
      <w:lang w:val="es-ES"/>
    </w:rPr>
  </w:style>
  <w:style w:type="paragraph" w:styleId="TOC8">
    <w:name w:val="toc 8"/>
    <w:basedOn w:val="Normal"/>
    <w:next w:val="Normal"/>
    <w:autoRedefine/>
    <w:uiPriority w:val="39"/>
    <w:pPr>
      <w:spacing w:after="120"/>
      <w:ind w:left="1540"/>
    </w:pPr>
    <w:rPr>
      <w:rFonts w:eastAsia="Times"/>
      <w:lang w:val="es-ES"/>
    </w:rPr>
  </w:style>
  <w:style w:type="paragraph" w:styleId="TOC9">
    <w:name w:val="toc 9"/>
    <w:basedOn w:val="Normal"/>
    <w:next w:val="Normal"/>
    <w:autoRedefine/>
    <w:uiPriority w:val="39"/>
    <w:pPr>
      <w:spacing w:after="120"/>
      <w:ind w:left="1760"/>
    </w:pPr>
    <w:rPr>
      <w:rFonts w:eastAsia="Times"/>
      <w:lang w:val="es-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pPr>
  </w:style>
  <w:style w:type="paragraph" w:customStyle="1" w:styleId="IPPHeaderlandscape">
    <w:name w:val="IPP Header landscape"/>
    <w:basedOn w:val="IPPHeader"/>
    <w:qFormat/>
    <w:pPr>
      <w:tabs>
        <w:tab w:val="clear" w:pos="9072"/>
        <w:tab w:val="right" w:pos="13892"/>
      </w:tabs>
      <w:spacing w:after="0"/>
    </w:pPr>
  </w:style>
  <w:style w:type="paragraph" w:styleId="PlainText">
    <w:name w:val="Plain Text"/>
    <w:basedOn w:val="Normal"/>
    <w:link w:val="PlainTextChar"/>
    <w:uiPriority w:val="99"/>
    <w:unhideWhenUsed/>
    <w:rPr>
      <w:rFonts w:ascii="Courier" w:eastAsia="Times" w:hAnsi="Courier"/>
      <w:sz w:val="21"/>
      <w:szCs w:val="21"/>
      <w:lang w:val="es-ES"/>
    </w:rPr>
  </w:style>
  <w:style w:type="character" w:customStyle="1" w:styleId="PlainTextChar">
    <w:name w:val="Plain Text Char"/>
    <w:link w:val="PlainText"/>
    <w:uiPriority w:val="99"/>
    <w:rPr>
      <w:rFonts w:ascii="Courier" w:eastAsia="Times" w:hAnsi="Courier"/>
      <w:sz w:val="21"/>
      <w:szCs w:val="21"/>
      <w:lang w:val="es-ES"/>
    </w:rPr>
  </w:style>
  <w:style w:type="paragraph" w:customStyle="1" w:styleId="IPPLetterList">
    <w:name w:val="IPP LetterList"/>
    <w:basedOn w:val="IPPBullet2"/>
    <w:qFormat/>
    <w:pPr>
      <w:numPr>
        <w:numId w:val="17"/>
      </w:numPr>
    </w:pPr>
  </w:style>
  <w:style w:type="paragraph" w:customStyle="1" w:styleId="IPPLetterListIndent">
    <w:name w:val="IPP LetterList Indent"/>
    <w:basedOn w:val="IPPLetterList"/>
    <w:qFormat/>
    <w:pPr>
      <w:numPr>
        <w:numId w:val="18"/>
      </w:numPr>
    </w:pPr>
  </w:style>
  <w:style w:type="paragraph" w:customStyle="1" w:styleId="IPPFooterLandscape">
    <w:name w:val="IPP Footer Landscape"/>
    <w:basedOn w:val="IPPHeaderlandscape"/>
    <w:qFormat/>
    <w:pPr>
      <w:pBdr>
        <w:top w:val="single" w:sz="4" w:space="1" w:color="auto"/>
        <w:bottom w:val="none" w:sz="0" w:space="0" w:color="auto"/>
      </w:pBdr>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23"/>
      </w:numPr>
      <w:ind w:left="567" w:hanging="567"/>
    </w:pPr>
  </w:style>
  <w:style w:type="paragraph" w:customStyle="1" w:styleId="IPPHdg2Num">
    <w:name w:val="IPP Hdg2Num"/>
    <w:basedOn w:val="IPPHeading2"/>
    <w:next w:val="IPPNormal"/>
    <w:qFormat/>
    <w:pPr>
      <w:numPr>
        <w:ilvl w:val="1"/>
        <w:numId w:val="24"/>
      </w:numPr>
      <w:ind w:hanging="792"/>
    </w:pPr>
  </w:style>
  <w:style w:type="paragraph" w:customStyle="1" w:styleId="IPPNumberedList">
    <w:name w:val="IPP NumberedList"/>
    <w:basedOn w:val="IPPBullet1"/>
    <w:qFormat/>
    <w:pPr>
      <w:numPr>
        <w:numId w:val="32"/>
      </w:numPr>
    </w:pPr>
  </w:style>
  <w:style w:type="paragraph" w:customStyle="1" w:styleId="IPPTitle16ptIndent">
    <w:name w:val="IPP Title16pt Indent"/>
    <w:basedOn w:val="Normal"/>
    <w:qFormat/>
    <w:pPr>
      <w:spacing w:after="720"/>
      <w:ind w:left="1701" w:right="1701"/>
      <w:jc w:val="center"/>
    </w:pPr>
    <w:rPr>
      <w:rFonts w:ascii="Arial" w:hAnsi="Arial" w:cs="Arial"/>
      <w:b/>
      <w:bCs/>
      <w:sz w:val="32"/>
      <w:szCs w:val="32"/>
    </w:rPr>
  </w:style>
  <w:style w:type="paragraph" w:customStyle="1" w:styleId="IPPArialPubHist">
    <w:name w:val="IPP Arial PubHist"/>
    <w:basedOn w:val="IPPArial"/>
    <w:qFormat/>
    <w:pPr>
      <w:keepNext/>
      <w:spacing w:after="60"/>
    </w:pPr>
    <w:rPr>
      <w:rFonts w:cs="Arial"/>
      <w:smallCaps/>
      <w:sz w:val="16"/>
      <w:szCs w:val="16"/>
    </w:rPr>
  </w:style>
  <w:style w:type="paragraph" w:customStyle="1" w:styleId="Comments">
    <w:name w:val="Comments"/>
    <w:basedOn w:val="Normal"/>
    <w:pPr>
      <w:ind w:left="284" w:hanging="284"/>
    </w:pPr>
    <w:rPr>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qFormat/>
    <w:rPr>
      <w:lang w:val="es-ES" w:eastAsia="es-E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s-ES" w:eastAsia="es-ES"/>
    </w:rPr>
  </w:style>
  <w:style w:type="character" w:styleId="Hyperlink">
    <w:name w:val="Hyperlink"/>
    <w:rPr>
      <w:color w:val="0563C1"/>
      <w:u w:val="single"/>
    </w:rPr>
  </w:style>
  <w:style w:type="character" w:customStyle="1" w:styleId="PleaseReviewParagraphId">
    <w:name w:val="PleaseReviewParagraphId"/>
    <w:rPr>
      <w:rFonts w:ascii="Arial" w:hAnsi="Arial"/>
      <w:b w:val="0"/>
      <w:i w:val="0"/>
      <w:color w:val="000080"/>
      <w:sz w:val="16"/>
      <w:u w:val="none"/>
    </w:rPr>
  </w:style>
  <w:style w:type="paragraph" w:customStyle="1" w:styleId="PleaseReviewReport">
    <w:name w:val="PleaseReview_Report"/>
    <w:pPr>
      <w:spacing w:before="5" w:after="5"/>
    </w:pPr>
    <w:rPr>
      <w:rFonts w:ascii="Verdana" w:hAnsi="Verdana" w:cs="Verdana"/>
      <w:sz w:val="16"/>
      <w:szCs w:val="16"/>
    </w:rPr>
  </w:style>
  <w:style w:type="character" w:styleId="FollowedHyperlink">
    <w:name w:val="FollowedHyperlink"/>
    <w:basedOn w:val="DefaultParagraphFont"/>
    <w:rPr>
      <w:color w:val="954F72" w:themeColor="followed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styleId="Revision">
    <w:name w:val="Revision"/>
    <w:hidden/>
    <w:semiHidden/>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969365">
      <w:bodyDiv w:val="1"/>
      <w:marLeft w:val="0"/>
      <w:marRight w:val="0"/>
      <w:marTop w:val="0"/>
      <w:marBottom w:val="0"/>
      <w:divBdr>
        <w:top w:val="none" w:sz="0" w:space="0" w:color="auto"/>
        <w:left w:val="none" w:sz="0" w:space="0" w:color="auto"/>
        <w:bottom w:val="none" w:sz="0" w:space="0" w:color="auto"/>
        <w:right w:val="none" w:sz="0" w:space="0" w:color="auto"/>
      </w:divBdr>
    </w:div>
    <w:div w:id="19978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pc.int/es/core-activ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pc@fao.org" TargetMode="External"/><Relationship Id="rId5" Type="http://schemas.openxmlformats.org/officeDocument/2006/relationships/webSettings" Target="webSettings.xml"/><Relationship Id="rId10" Type="http://schemas.openxmlformats.org/officeDocument/2006/relationships/hyperlink" Target="http://ozone.unep.org/es/tratados-y-decisiones/el-protocolo-de-montreal-relativo-las-sustancias-que-agotan-la-capa-de-ozono" TargetMode="External"/><Relationship Id="rId4" Type="http://schemas.openxmlformats.org/officeDocument/2006/relationships/settings" Target="settings.xml"/><Relationship Id="rId9" Type="http://schemas.openxmlformats.org/officeDocument/2006/relationships/hyperlink" Target="https://www.ippc.int/es/core-activities/standards-setting/list-topics-ippc-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CA9D405A-D305-4761-9C52-C67B929E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Spec_31_ISPM15_revision_2013-01-03.doc</vt:lpstr>
    </vt:vector>
  </TitlesOfParts>
  <Company>CFIA-ACIA</Company>
  <LinksUpToDate>false</LinksUpToDate>
  <CharactersWithSpaces>12051</CharactersWithSpaces>
  <SharedDoc>false</SharedDoc>
  <HLinks>
    <vt:vector size="6" baseType="variant">
      <vt:variant>
        <vt:i4>655375</vt:i4>
      </vt:variant>
      <vt:variant>
        <vt:i4>0</vt:i4>
      </vt:variant>
      <vt:variant>
        <vt:i4>0</vt:i4>
      </vt:variant>
      <vt:variant>
        <vt:i4>5</vt:i4>
      </vt:variant>
      <vt:variant>
        <vt:lpwstr>https://www.ippc.int/en/core-activities/standards-setting/list-topics-ippc-standards/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Spec_31_ISPM15_revision_2013-01-03.doc</dc:title>
  <dc:subject/>
  <dc:creator>Greg Wolff</dc:creator>
  <cp:keywords/>
  <cp:lastModifiedBy>Cassin, Aoife (AGDI)</cp:lastModifiedBy>
  <cp:revision>2</cp:revision>
  <cp:lastPrinted>2018-06-08T15:27:00Z</cp:lastPrinted>
  <dcterms:created xsi:type="dcterms:W3CDTF">2018-06-28T13:37:00Z</dcterms:created>
  <dcterms:modified xsi:type="dcterms:W3CDTF">2018-06-28T13:37:00Z</dcterms:modified>
</cp:coreProperties>
</file>