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31" w:rsidRPr="00831876" w:rsidRDefault="00DD3731" w:rsidP="00DD3731">
      <w:pPr>
        <w:spacing w:after="180"/>
        <w:ind w:left="567" w:right="697"/>
        <w:jc w:val="center"/>
        <w:rPr>
          <w:noProof/>
          <w:szCs w:val="24"/>
          <w:lang w:val="fr-FR"/>
        </w:rPr>
      </w:pPr>
      <w:r w:rsidRPr="00831876">
        <w:rPr>
          <w:b/>
          <w:noProof/>
          <w:szCs w:val="24"/>
          <w:lang w:val="fr-FR"/>
        </w:rPr>
        <w:t xml:space="preserve">Appel à candidatures d'experts auprès de la Convention internationale </w:t>
      </w:r>
      <w:r w:rsidRPr="00831876">
        <w:rPr>
          <w:b/>
          <w:noProof/>
          <w:szCs w:val="24"/>
          <w:lang w:val="fr-FR"/>
        </w:rPr>
        <w:br/>
        <w:t>pour la protecti</w:t>
      </w:r>
      <w:bookmarkStart w:id="0" w:name="_GoBack"/>
      <w:bookmarkEnd w:id="0"/>
      <w:r w:rsidRPr="00831876">
        <w:rPr>
          <w:b/>
          <w:noProof/>
          <w:szCs w:val="24"/>
          <w:lang w:val="fr-FR"/>
        </w:rPr>
        <w:t>on des végétaux</w:t>
      </w:r>
    </w:p>
    <w:p w:rsidR="00DD3731" w:rsidRDefault="00DD3731" w:rsidP="00DD3731">
      <w:pPr>
        <w:pStyle w:val="Default"/>
        <w:spacing w:after="60"/>
        <w:ind w:left="567" w:right="697"/>
        <w:jc w:val="both"/>
        <w:rPr>
          <w:noProof/>
          <w:sz w:val="22"/>
          <w:szCs w:val="22"/>
          <w:lang w:val="fr-FR"/>
        </w:rPr>
      </w:pPr>
      <w:r w:rsidRPr="009A6EFA">
        <w:rPr>
          <w:noProof/>
          <w:sz w:val="22"/>
          <w:szCs w:val="22"/>
          <w:lang w:val="fr-FR"/>
        </w:rPr>
        <w:t xml:space="preserve">Le Secrétariat de la Convention internationale pour la protection des végétaux (CIPV) lance un appel à candidatures </w:t>
      </w:r>
      <w:r w:rsidRPr="000B7209">
        <w:rPr>
          <w:noProof/>
          <w:sz w:val="22"/>
          <w:szCs w:val="22"/>
          <w:lang w:val="fr-FR"/>
        </w:rPr>
        <w:t>d'experts dûment qualifiés qui seront ap</w:t>
      </w:r>
      <w:r>
        <w:rPr>
          <w:noProof/>
          <w:sz w:val="22"/>
          <w:szCs w:val="22"/>
          <w:lang w:val="fr-FR"/>
        </w:rPr>
        <w:t>pelés à siéger</w:t>
      </w:r>
      <w:r w:rsidR="000300BA">
        <w:rPr>
          <w:noProof/>
          <w:sz w:val="22"/>
          <w:szCs w:val="22"/>
          <w:lang w:val="fr-FR"/>
        </w:rPr>
        <w:t xml:space="preserve"> au sein du</w:t>
      </w:r>
      <w:r>
        <w:rPr>
          <w:noProof/>
          <w:sz w:val="22"/>
          <w:szCs w:val="22"/>
          <w:lang w:val="fr-FR"/>
        </w:rPr>
        <w:t>:</w:t>
      </w:r>
    </w:p>
    <w:p w:rsidR="00DD3731" w:rsidRDefault="00DD3731" w:rsidP="00831876">
      <w:pPr>
        <w:pStyle w:val="Default"/>
        <w:numPr>
          <w:ilvl w:val="0"/>
          <w:numId w:val="2"/>
        </w:numPr>
        <w:spacing w:after="120"/>
        <w:ind w:right="697"/>
        <w:jc w:val="both"/>
        <w:rPr>
          <w:sz w:val="22"/>
          <w:szCs w:val="22"/>
          <w:lang w:val="fr-FR"/>
        </w:rPr>
      </w:pPr>
      <w:r w:rsidRPr="00831876">
        <w:rPr>
          <w:noProof/>
          <w:sz w:val="22"/>
          <w:szCs w:val="22"/>
          <w:lang w:val="fr-FR"/>
        </w:rPr>
        <w:t>groupe d'experts chargé</w:t>
      </w:r>
      <w:r w:rsidR="000300BA">
        <w:rPr>
          <w:noProof/>
          <w:sz w:val="22"/>
          <w:szCs w:val="22"/>
          <w:lang w:val="fr-FR"/>
        </w:rPr>
        <w:t xml:space="preserve"> </w:t>
      </w:r>
      <w:r w:rsidRPr="00831876">
        <w:rPr>
          <w:noProof/>
          <w:sz w:val="22"/>
          <w:szCs w:val="22"/>
          <w:lang w:val="fr-FR"/>
        </w:rPr>
        <w:t xml:space="preserve">d’élaborer </w:t>
      </w:r>
      <w:r w:rsidR="0087264D" w:rsidRPr="00831876">
        <w:rPr>
          <w:noProof/>
          <w:sz w:val="22"/>
          <w:szCs w:val="22"/>
          <w:lang w:val="fr-FR"/>
        </w:rPr>
        <w:t xml:space="preserve">un projet </w:t>
      </w:r>
      <w:r w:rsidRPr="00831876">
        <w:rPr>
          <w:noProof/>
          <w:sz w:val="22"/>
          <w:szCs w:val="22"/>
          <w:lang w:val="fr-FR"/>
        </w:rPr>
        <w:t>d</w:t>
      </w:r>
      <w:r w:rsidR="000300BA">
        <w:rPr>
          <w:noProof/>
          <w:sz w:val="22"/>
          <w:szCs w:val="22"/>
          <w:lang w:val="fr-FR"/>
        </w:rPr>
        <w:t>e</w:t>
      </w:r>
      <w:r w:rsidRPr="00831876">
        <w:rPr>
          <w:noProof/>
          <w:sz w:val="22"/>
          <w:szCs w:val="22"/>
          <w:lang w:val="fr-FR"/>
        </w:rPr>
        <w:t xml:space="preserve"> norme internationale </w:t>
      </w:r>
      <w:r w:rsidR="000300BA">
        <w:rPr>
          <w:noProof/>
          <w:sz w:val="22"/>
          <w:szCs w:val="22"/>
          <w:lang w:val="fr-FR"/>
        </w:rPr>
        <w:t>pour les mesures phytosanitaire</w:t>
      </w:r>
      <w:r w:rsidR="000300BA" w:rsidRPr="000C17C0">
        <w:rPr>
          <w:noProof/>
          <w:sz w:val="22"/>
          <w:szCs w:val="22"/>
          <w:lang w:val="fr-FR"/>
        </w:rPr>
        <w:t xml:space="preserve">s </w:t>
      </w:r>
      <w:r w:rsidRPr="00831876">
        <w:rPr>
          <w:noProof/>
          <w:sz w:val="22"/>
          <w:szCs w:val="22"/>
          <w:lang w:val="fr-FR"/>
        </w:rPr>
        <w:t>relative</w:t>
      </w:r>
      <w:r w:rsidRPr="009A6EFA">
        <w:rPr>
          <w:noProof/>
          <w:sz w:val="22"/>
          <w:szCs w:val="22"/>
          <w:lang w:val="fr-FR"/>
        </w:rPr>
        <w:t xml:space="preserve">: aux </w:t>
      </w:r>
      <w:r w:rsidR="0087264D" w:rsidRPr="0087264D">
        <w:rPr>
          <w:i/>
          <w:sz w:val="22"/>
          <w:szCs w:val="22"/>
          <w:lang w:val="fr-FR"/>
        </w:rPr>
        <w:t>Indications sur la gestion du risque phytosanitaire</w:t>
      </w:r>
      <w:r w:rsidRPr="009D0434">
        <w:rPr>
          <w:i/>
          <w:sz w:val="22"/>
          <w:szCs w:val="22"/>
          <w:lang w:val="fr-FR"/>
        </w:rPr>
        <w:t xml:space="preserve"> </w:t>
      </w:r>
      <w:r w:rsidRPr="009D0434">
        <w:rPr>
          <w:iCs/>
          <w:sz w:val="22"/>
          <w:szCs w:val="22"/>
          <w:lang w:val="fr-FR"/>
        </w:rPr>
        <w:t>(2014-00</w:t>
      </w:r>
      <w:r w:rsidR="0087264D">
        <w:rPr>
          <w:iCs/>
          <w:sz w:val="22"/>
          <w:szCs w:val="22"/>
          <w:lang w:val="fr-FR"/>
        </w:rPr>
        <w:t>1</w:t>
      </w:r>
      <w:r w:rsidRPr="009D0434">
        <w:rPr>
          <w:iCs/>
          <w:sz w:val="22"/>
          <w:szCs w:val="22"/>
          <w:lang w:val="fr-FR"/>
        </w:rPr>
        <w:t>)</w:t>
      </w:r>
      <w:r w:rsidR="000300BA">
        <w:rPr>
          <w:sz w:val="22"/>
          <w:szCs w:val="22"/>
          <w:lang w:val="fr-FR"/>
        </w:rPr>
        <w:t>.</w:t>
      </w:r>
    </w:p>
    <w:p w:rsidR="00DD3731" w:rsidRDefault="00DD3731">
      <w:pPr>
        <w:pStyle w:val="Default"/>
        <w:spacing w:after="180"/>
        <w:ind w:left="567" w:right="697"/>
        <w:jc w:val="both"/>
        <w:rPr>
          <w:noProof/>
          <w:sz w:val="22"/>
          <w:szCs w:val="22"/>
          <w:lang w:val="fr-FR"/>
        </w:rPr>
      </w:pPr>
      <w:r w:rsidRPr="009A6EFA">
        <w:rPr>
          <w:noProof/>
          <w:sz w:val="22"/>
          <w:szCs w:val="22"/>
          <w:lang w:val="fr-FR"/>
        </w:rPr>
        <w:t xml:space="preserve">Les candidatures doivent être envoyées le </w:t>
      </w:r>
      <w:r w:rsidR="0087264D">
        <w:rPr>
          <w:b/>
          <w:sz w:val="22"/>
          <w:szCs w:val="22"/>
          <w:lang w:val="fr-FR"/>
        </w:rPr>
        <w:t>20</w:t>
      </w:r>
      <w:r w:rsidRPr="00E65DB5">
        <w:rPr>
          <w:b/>
          <w:sz w:val="22"/>
          <w:szCs w:val="22"/>
          <w:lang w:val="fr-FR"/>
        </w:rPr>
        <w:t xml:space="preserve"> </w:t>
      </w:r>
      <w:r w:rsidR="00007DEC">
        <w:rPr>
          <w:b/>
          <w:sz w:val="22"/>
          <w:szCs w:val="22"/>
          <w:lang w:val="fr-FR"/>
        </w:rPr>
        <w:t>s</w:t>
      </w:r>
      <w:r w:rsidR="008D0401">
        <w:rPr>
          <w:b/>
          <w:sz w:val="22"/>
          <w:szCs w:val="22"/>
          <w:lang w:val="fr-FR"/>
        </w:rPr>
        <w:t>eptembre</w:t>
      </w:r>
      <w:r w:rsidRPr="00E65DB5">
        <w:rPr>
          <w:b/>
          <w:sz w:val="22"/>
          <w:szCs w:val="22"/>
          <w:lang w:val="fr-FR"/>
        </w:rPr>
        <w:t xml:space="preserve"> 201</w:t>
      </w:r>
      <w:r>
        <w:rPr>
          <w:b/>
          <w:sz w:val="22"/>
          <w:szCs w:val="22"/>
          <w:lang w:val="fr-FR"/>
        </w:rPr>
        <w:t>7</w:t>
      </w:r>
      <w:r w:rsidRPr="009A6EFA">
        <w:rPr>
          <w:noProof/>
          <w:sz w:val="22"/>
          <w:szCs w:val="22"/>
          <w:lang w:val="fr-FR"/>
        </w:rPr>
        <w:t xml:space="preserve"> au plus tard.</w:t>
      </w:r>
    </w:p>
    <w:p w:rsidR="00DD3731" w:rsidRPr="00A31702" w:rsidRDefault="00DD3731" w:rsidP="00DD3731">
      <w:pPr>
        <w:numPr>
          <w:ilvl w:val="0"/>
          <w:numId w:val="3"/>
        </w:numPr>
        <w:tabs>
          <w:tab w:val="left" w:pos="567"/>
        </w:tabs>
        <w:spacing w:after="180"/>
        <w:ind w:left="567" w:right="697"/>
        <w:jc w:val="both"/>
        <w:rPr>
          <w:b/>
          <w:noProof/>
          <w:snapToGrid w:val="0"/>
          <w:color w:val="000000"/>
          <w:sz w:val="22"/>
          <w:szCs w:val="22"/>
          <w:u w:val="single"/>
          <w:lang w:val="fr-FR" w:eastAsia="en-US"/>
        </w:rPr>
      </w:pPr>
      <w:r w:rsidRPr="00A31702">
        <w:rPr>
          <w:b/>
          <w:noProof/>
          <w:snapToGrid w:val="0"/>
          <w:color w:val="000000"/>
          <w:sz w:val="22"/>
          <w:szCs w:val="22"/>
          <w:u w:val="single"/>
          <w:lang w:val="fr-FR" w:eastAsia="en-US"/>
        </w:rPr>
        <w:t>Instructions relatives à la présentation des candidatures</w:t>
      </w:r>
    </w:p>
    <w:p w:rsidR="00DD3731" w:rsidRPr="009A6EFA" w:rsidRDefault="00DD3731" w:rsidP="00DD3731">
      <w:pPr>
        <w:tabs>
          <w:tab w:val="left" w:pos="567"/>
        </w:tabs>
        <w:spacing w:after="180"/>
        <w:ind w:left="567" w:right="697"/>
        <w:jc w:val="both"/>
        <w:rPr>
          <w:noProof/>
          <w:snapToGrid w:val="0"/>
          <w:color w:val="000000"/>
          <w:sz w:val="22"/>
          <w:szCs w:val="22"/>
          <w:lang w:val="fr-FR" w:eastAsia="en-US"/>
        </w:rPr>
      </w:pPr>
      <w:r w:rsidRPr="009A6EFA">
        <w:rPr>
          <w:noProof/>
          <w:snapToGrid w:val="0"/>
          <w:color w:val="000000"/>
          <w:sz w:val="22"/>
          <w:szCs w:val="22"/>
          <w:lang w:val="fr-FR" w:eastAsia="en-US"/>
        </w:rPr>
        <w:t xml:space="preserve">Pour être acceptées, les candidatures doivent être présentées par les </w:t>
      </w:r>
      <w:r w:rsidRPr="00E60007">
        <w:rPr>
          <w:noProof/>
          <w:snapToGrid w:val="0"/>
          <w:color w:val="000000"/>
          <w:sz w:val="22"/>
          <w:szCs w:val="22"/>
          <w:lang w:val="fr-FR" w:eastAsia="en-US"/>
        </w:rPr>
        <w:t>parties contractantes</w:t>
      </w:r>
      <w:r>
        <w:rPr>
          <w:noProof/>
          <w:snapToGrid w:val="0"/>
          <w:color w:val="000000"/>
          <w:sz w:val="22"/>
          <w:szCs w:val="22"/>
          <w:lang w:val="fr-FR" w:eastAsia="en-US"/>
        </w:rPr>
        <w:t xml:space="preserve"> </w:t>
      </w:r>
      <w:r w:rsidRPr="009A6EFA">
        <w:rPr>
          <w:noProof/>
          <w:snapToGrid w:val="0"/>
          <w:color w:val="000000"/>
          <w:sz w:val="22"/>
          <w:szCs w:val="22"/>
          <w:lang w:val="fr-FR" w:eastAsia="en-US"/>
        </w:rPr>
        <w:t>ou par les organisations nationales ou régionales de la protection des végétaux (ONPV ou ORPV). Elles doivent être soumises par l'intermédiaire du point de contact de l’ONPV ou de l’ORPV concernée, tandis que les candidatures spontanées doivent être accompagnées d'une lettre de soutien émanant d'une autorité gouvernementale.</w:t>
      </w:r>
    </w:p>
    <w:p w:rsidR="00DD3731" w:rsidRPr="009A6EFA" w:rsidRDefault="00DD3731" w:rsidP="00DD3731">
      <w:pPr>
        <w:tabs>
          <w:tab w:val="left" w:pos="567"/>
        </w:tabs>
        <w:spacing w:after="180"/>
        <w:ind w:left="567" w:right="697"/>
        <w:jc w:val="both"/>
        <w:rPr>
          <w:noProof/>
          <w:snapToGrid w:val="0"/>
          <w:color w:val="000000"/>
          <w:sz w:val="22"/>
          <w:szCs w:val="22"/>
          <w:lang w:val="fr-FR" w:eastAsia="en-US"/>
        </w:rPr>
      </w:pPr>
      <w:r w:rsidRPr="009A6EFA">
        <w:rPr>
          <w:noProof/>
          <w:snapToGrid w:val="0"/>
          <w:color w:val="000000"/>
          <w:sz w:val="22"/>
          <w:szCs w:val="22"/>
          <w:lang w:val="fr-FR" w:eastAsia="en-US"/>
        </w:rPr>
        <w:t xml:space="preserve">Une candidature ne peut être présentée que si le candidat a accepté la proposition, s’il est disponible pour participer aux réunions dont les dates figurent sur le </w:t>
      </w:r>
      <w:hyperlink r:id="rId5" w:history="1">
        <w:r w:rsidR="000300BA">
          <w:rPr>
            <w:rStyle w:val="Hyperlink"/>
            <w:noProof/>
            <w:snapToGrid w:val="0"/>
            <w:sz w:val="22"/>
            <w:szCs w:val="22"/>
            <w:lang w:val="fr-FR" w:eastAsia="en-US"/>
          </w:rPr>
          <w:t>calendrier 2018 de la CIPV</w:t>
        </w:r>
      </w:hyperlink>
      <w:r w:rsidRPr="009A6EFA">
        <w:rPr>
          <w:noProof/>
          <w:snapToGrid w:val="0"/>
          <w:color w:val="000000"/>
          <w:sz w:val="22"/>
          <w:szCs w:val="22"/>
          <w:lang w:val="fr-FR" w:eastAsia="en-US"/>
        </w:rPr>
        <w:t xml:space="preserve"> et s’il peut allouer un temps suffisant à la tâche qui l’attend. Chaque candidature doit être accompagnée des documents suivants:</w:t>
      </w:r>
    </w:p>
    <w:p w:rsidR="00DD3731" w:rsidRPr="009A6EFA" w:rsidRDefault="00DD3731">
      <w:pPr>
        <w:pStyle w:val="ListParagraph"/>
        <w:numPr>
          <w:ilvl w:val="0"/>
          <w:numId w:val="1"/>
        </w:numPr>
        <w:tabs>
          <w:tab w:val="left" w:pos="1134"/>
        </w:tabs>
        <w:ind w:left="1134" w:right="697" w:hanging="567"/>
        <w:jc w:val="both"/>
        <w:rPr>
          <w:bCs/>
          <w:noProof/>
          <w:snapToGrid w:val="0"/>
          <w:color w:val="000000"/>
          <w:sz w:val="22"/>
          <w:szCs w:val="22"/>
          <w:lang w:val="fr-FR" w:eastAsia="en-US"/>
        </w:rPr>
      </w:pPr>
      <w:r w:rsidRPr="009A6EFA">
        <w:rPr>
          <w:b/>
          <w:noProof/>
          <w:snapToGrid w:val="0"/>
          <w:color w:val="000000"/>
          <w:sz w:val="22"/>
          <w:szCs w:val="22"/>
          <w:lang w:val="fr-FR" w:eastAsia="en-US"/>
        </w:rPr>
        <w:t xml:space="preserve">Le formulaire avec les coordonnées du candidat et un résumé de ses compétences, dûment rempli </w:t>
      </w:r>
      <w:r w:rsidRPr="009A6EFA">
        <w:rPr>
          <w:bCs/>
          <w:noProof/>
          <w:snapToGrid w:val="0"/>
          <w:color w:val="000000"/>
          <w:sz w:val="22"/>
          <w:szCs w:val="22"/>
          <w:lang w:val="fr-FR" w:eastAsia="en-US"/>
        </w:rPr>
        <w:t>- Toutes les sections doivent être remplies, y compris celles qui concernent les coordonnées, les études et la formation professionnelle. Les compétences du candidat souhaités doivent faire l’objet d’une description précise. Le fichier</w:t>
      </w:r>
      <w:r w:rsidR="000300BA">
        <w:rPr>
          <w:bCs/>
          <w:noProof/>
          <w:snapToGrid w:val="0"/>
          <w:color w:val="000000"/>
          <w:sz w:val="22"/>
          <w:szCs w:val="22"/>
          <w:lang w:val="fr-FR" w:eastAsia="en-US"/>
        </w:rPr>
        <w:t xml:space="preserve"> (version MS word préférée)</w:t>
      </w:r>
      <w:r w:rsidRPr="009A6EFA">
        <w:rPr>
          <w:bCs/>
          <w:noProof/>
          <w:snapToGrid w:val="0"/>
          <w:color w:val="000000"/>
          <w:sz w:val="22"/>
          <w:szCs w:val="22"/>
          <w:lang w:val="fr-FR" w:eastAsia="en-US"/>
        </w:rPr>
        <w:t xml:space="preserve"> doit porter le nom suivant: </w:t>
      </w:r>
      <w:r w:rsidRPr="009A6EFA">
        <w:rPr>
          <w:b/>
          <w:bCs/>
          <w:noProof/>
          <w:snapToGrid w:val="0"/>
          <w:color w:val="000000"/>
          <w:sz w:val="22"/>
          <w:szCs w:val="22"/>
          <w:lang w:val="fr-FR" w:eastAsia="en-US"/>
        </w:rPr>
        <w:t>PAYS_NOM DU CANDIDAT_Prénom_</w:t>
      </w:r>
      <w:r w:rsidR="008D0401">
        <w:rPr>
          <w:b/>
          <w:bCs/>
          <w:noProof/>
          <w:snapToGrid w:val="0"/>
          <w:color w:val="000000"/>
          <w:sz w:val="22"/>
          <w:szCs w:val="22"/>
          <w:lang w:val="fr-FR" w:eastAsia="en-US"/>
        </w:rPr>
        <w:t>Summary</w:t>
      </w:r>
      <w:r w:rsidRPr="00831876">
        <w:rPr>
          <w:noProof/>
          <w:snapToGrid w:val="0"/>
          <w:color w:val="000000"/>
          <w:sz w:val="22"/>
          <w:szCs w:val="22"/>
          <w:lang w:val="fr-FR" w:eastAsia="en-US"/>
        </w:rPr>
        <w:t>.</w:t>
      </w:r>
      <w:r w:rsidRPr="009A6EFA">
        <w:rPr>
          <w:bCs/>
          <w:noProof/>
          <w:snapToGrid w:val="0"/>
          <w:color w:val="000000"/>
          <w:sz w:val="22"/>
          <w:szCs w:val="22"/>
          <w:lang w:val="fr-FR" w:eastAsia="en-US"/>
        </w:rPr>
        <w:t xml:space="preserve"> </w:t>
      </w:r>
      <w:r w:rsidRPr="009A6EFA">
        <w:rPr>
          <w:b/>
          <w:noProof/>
          <w:snapToGrid w:val="0"/>
          <w:color w:val="000000"/>
          <w:sz w:val="22"/>
          <w:szCs w:val="22"/>
          <w:lang w:val="fr-FR" w:eastAsia="en-US"/>
        </w:rPr>
        <w:t xml:space="preserve"> </w:t>
      </w:r>
    </w:p>
    <w:p w:rsidR="00DD3731" w:rsidRPr="009A6EFA" w:rsidRDefault="00DD3731" w:rsidP="00DD3731">
      <w:pPr>
        <w:pStyle w:val="ListParagraph"/>
        <w:numPr>
          <w:ilvl w:val="0"/>
          <w:numId w:val="1"/>
        </w:numPr>
        <w:tabs>
          <w:tab w:val="left" w:pos="1134"/>
        </w:tabs>
        <w:ind w:left="1134" w:right="697" w:hanging="567"/>
        <w:jc w:val="both"/>
        <w:rPr>
          <w:b/>
          <w:noProof/>
          <w:snapToGrid w:val="0"/>
          <w:color w:val="000000"/>
          <w:sz w:val="22"/>
          <w:szCs w:val="22"/>
          <w:lang w:val="fr-FR" w:eastAsia="en-US"/>
        </w:rPr>
      </w:pPr>
      <w:r w:rsidRPr="009A6EFA">
        <w:rPr>
          <w:b/>
          <w:noProof/>
          <w:snapToGrid w:val="0"/>
          <w:color w:val="000000"/>
          <w:sz w:val="22"/>
          <w:szCs w:val="22"/>
          <w:lang w:val="fr-FR" w:eastAsia="en-US"/>
        </w:rPr>
        <w:t xml:space="preserve">Le formulaire avec l’énoncé d'engagement, dûment rempli et signé </w:t>
      </w:r>
      <w:r w:rsidRPr="009A6EFA">
        <w:rPr>
          <w:bCs/>
          <w:noProof/>
          <w:snapToGrid w:val="0"/>
          <w:color w:val="000000"/>
          <w:sz w:val="22"/>
          <w:szCs w:val="22"/>
          <w:lang w:val="fr-FR" w:eastAsia="en-US"/>
        </w:rPr>
        <w:t xml:space="preserve">- Ce texte doit être lu attentivement par le candidat et faire l'objet d'une discussion entre le candidat et son employeur. Le formulaire doit ensuite être signé et soumis en même temps que la candidature (sous la forme d'un document scanné, par exemple un fichier PDF). Le fichier doit porter le nom suivant: </w:t>
      </w:r>
      <w:r w:rsidRPr="009A6EFA">
        <w:rPr>
          <w:b/>
          <w:bCs/>
          <w:noProof/>
          <w:snapToGrid w:val="0"/>
          <w:color w:val="000000"/>
          <w:sz w:val="22"/>
          <w:szCs w:val="22"/>
          <w:lang w:val="fr-FR" w:eastAsia="en-US"/>
        </w:rPr>
        <w:t>PAYS_NOM DU CANDIDAT_Prénom_Commitment.</w:t>
      </w:r>
      <w:r w:rsidRPr="009A6EFA">
        <w:rPr>
          <w:bCs/>
          <w:noProof/>
          <w:snapToGrid w:val="0"/>
          <w:color w:val="000000"/>
          <w:sz w:val="22"/>
          <w:szCs w:val="22"/>
          <w:lang w:val="fr-FR" w:eastAsia="en-US"/>
        </w:rPr>
        <w:t xml:space="preserve"> </w:t>
      </w:r>
      <w:r w:rsidRPr="009A6EFA">
        <w:rPr>
          <w:b/>
          <w:noProof/>
          <w:snapToGrid w:val="0"/>
          <w:color w:val="000000"/>
          <w:sz w:val="22"/>
          <w:szCs w:val="22"/>
          <w:lang w:val="fr-FR" w:eastAsia="en-US"/>
        </w:rPr>
        <w:t xml:space="preserve"> </w:t>
      </w:r>
    </w:p>
    <w:p w:rsidR="00DD3731" w:rsidRPr="00A31702" w:rsidRDefault="00DD3731" w:rsidP="00DD3731">
      <w:pPr>
        <w:pStyle w:val="ListParagraph"/>
        <w:numPr>
          <w:ilvl w:val="0"/>
          <w:numId w:val="1"/>
        </w:numPr>
        <w:tabs>
          <w:tab w:val="left" w:pos="1134"/>
        </w:tabs>
        <w:spacing w:after="180"/>
        <w:ind w:left="1134" w:right="697" w:hanging="567"/>
        <w:jc w:val="both"/>
        <w:rPr>
          <w:noProof/>
          <w:snapToGrid w:val="0"/>
          <w:color w:val="000000"/>
          <w:sz w:val="22"/>
          <w:szCs w:val="22"/>
          <w:lang w:val="fr-FR" w:eastAsia="en-US"/>
        </w:rPr>
      </w:pPr>
      <w:r w:rsidRPr="00A31702">
        <w:rPr>
          <w:b/>
          <w:noProof/>
          <w:snapToGrid w:val="0"/>
          <w:color w:val="000000"/>
          <w:sz w:val="22"/>
          <w:szCs w:val="22"/>
          <w:lang w:val="fr-FR" w:eastAsia="en-US"/>
        </w:rPr>
        <w:t xml:space="preserve">Le curriculum vitae du candidat (CV) </w:t>
      </w:r>
      <w:r w:rsidRPr="00A31702">
        <w:rPr>
          <w:bCs/>
          <w:noProof/>
          <w:snapToGrid w:val="0"/>
          <w:color w:val="000000"/>
          <w:sz w:val="22"/>
          <w:szCs w:val="22"/>
          <w:lang w:val="fr-FR" w:eastAsia="en-US"/>
        </w:rPr>
        <w:t>-</w:t>
      </w:r>
      <w:r w:rsidRPr="00A31702">
        <w:rPr>
          <w:b/>
          <w:noProof/>
          <w:snapToGrid w:val="0"/>
          <w:color w:val="000000"/>
          <w:sz w:val="22"/>
          <w:szCs w:val="22"/>
          <w:lang w:val="fr-FR" w:eastAsia="en-US"/>
        </w:rPr>
        <w:t xml:space="preserve"> </w:t>
      </w:r>
      <w:r w:rsidRPr="00A31702">
        <w:rPr>
          <w:bCs/>
          <w:noProof/>
          <w:snapToGrid w:val="0"/>
          <w:color w:val="000000"/>
          <w:sz w:val="22"/>
          <w:szCs w:val="22"/>
          <w:lang w:val="fr-FR" w:eastAsia="en-US"/>
        </w:rPr>
        <w:t xml:space="preserve">Le CV du candidat sous forme électronique (seulement un traitement de texte, par exemple un fichier MS Word). Le fichier doit porter le nom suivant : </w:t>
      </w:r>
      <w:r w:rsidRPr="00A31702">
        <w:rPr>
          <w:b/>
          <w:bCs/>
          <w:noProof/>
          <w:snapToGrid w:val="0"/>
          <w:color w:val="000000"/>
          <w:sz w:val="22"/>
          <w:szCs w:val="22"/>
          <w:lang w:val="fr-FR" w:eastAsia="en-US"/>
        </w:rPr>
        <w:t>PAYS_NOM DU CANDIDAT_Prénom_CV</w:t>
      </w:r>
      <w:r w:rsidRPr="00A31702">
        <w:rPr>
          <w:bCs/>
          <w:noProof/>
          <w:snapToGrid w:val="0"/>
          <w:color w:val="000000"/>
          <w:sz w:val="22"/>
          <w:szCs w:val="22"/>
          <w:lang w:val="fr-FR" w:eastAsia="en-US"/>
        </w:rPr>
        <w:t>.</w:t>
      </w:r>
    </w:p>
    <w:p w:rsidR="00DD3731" w:rsidRDefault="00DD3731">
      <w:pPr>
        <w:tabs>
          <w:tab w:val="left" w:pos="567"/>
        </w:tabs>
        <w:spacing w:after="180"/>
        <w:ind w:left="567" w:right="697"/>
        <w:jc w:val="both"/>
        <w:rPr>
          <w:b/>
          <w:noProof/>
          <w:sz w:val="22"/>
          <w:szCs w:val="22"/>
          <w:u w:val="single"/>
          <w:lang w:val="fr-FR"/>
        </w:rPr>
      </w:pPr>
      <w:r w:rsidRPr="009A6EFA">
        <w:rPr>
          <w:noProof/>
          <w:snapToGrid w:val="0"/>
          <w:color w:val="000000"/>
          <w:sz w:val="22"/>
          <w:szCs w:val="22"/>
          <w:lang w:val="fr-FR" w:eastAsia="en-US"/>
        </w:rPr>
        <w:t>Les candidatures doivent être envoyées au Secrétariat de la CIPV par courrier électronique (</w:t>
      </w:r>
      <w:hyperlink r:id="rId6" w:history="1">
        <w:r w:rsidRPr="009A6EFA">
          <w:rPr>
            <w:rStyle w:val="Hyperlink"/>
            <w:noProof/>
            <w:snapToGrid w:val="0"/>
            <w:sz w:val="22"/>
            <w:szCs w:val="22"/>
            <w:lang w:val="fr-FR" w:eastAsia="en-US"/>
          </w:rPr>
          <w:t>ippc@fao.org</w:t>
        </w:r>
      </w:hyperlink>
      <w:r w:rsidRPr="009A6EFA">
        <w:rPr>
          <w:noProof/>
          <w:snapToGrid w:val="0"/>
          <w:color w:val="000000"/>
          <w:sz w:val="22"/>
          <w:szCs w:val="22"/>
          <w:lang w:val="fr-FR" w:eastAsia="en-US"/>
        </w:rPr>
        <w:t xml:space="preserve">) avant le </w:t>
      </w:r>
      <w:r w:rsidR="008D0401">
        <w:rPr>
          <w:b/>
          <w:bCs/>
          <w:snapToGrid w:val="0"/>
          <w:color w:val="000000"/>
          <w:sz w:val="22"/>
          <w:szCs w:val="22"/>
          <w:lang w:val="fr-FR" w:eastAsia="en-US"/>
        </w:rPr>
        <w:t>20</w:t>
      </w:r>
      <w:r w:rsidRPr="00E65DB5">
        <w:rPr>
          <w:b/>
          <w:bCs/>
          <w:snapToGrid w:val="0"/>
          <w:color w:val="000000"/>
          <w:sz w:val="22"/>
          <w:szCs w:val="22"/>
          <w:lang w:val="fr-FR" w:eastAsia="en-US"/>
        </w:rPr>
        <w:t xml:space="preserve"> </w:t>
      </w:r>
      <w:r w:rsidR="00007DEC">
        <w:rPr>
          <w:b/>
          <w:bCs/>
          <w:snapToGrid w:val="0"/>
          <w:color w:val="000000"/>
          <w:sz w:val="22"/>
          <w:szCs w:val="22"/>
          <w:lang w:val="fr-FR" w:eastAsia="en-US"/>
        </w:rPr>
        <w:t>s</w:t>
      </w:r>
      <w:r w:rsidR="008D0401">
        <w:rPr>
          <w:b/>
          <w:bCs/>
          <w:snapToGrid w:val="0"/>
          <w:color w:val="000000"/>
          <w:sz w:val="22"/>
          <w:szCs w:val="22"/>
          <w:lang w:val="fr-FR" w:eastAsia="en-US"/>
        </w:rPr>
        <w:t>eptembre</w:t>
      </w:r>
      <w:r w:rsidRPr="00E65DB5">
        <w:rPr>
          <w:b/>
          <w:bCs/>
          <w:snapToGrid w:val="0"/>
          <w:color w:val="000000"/>
          <w:sz w:val="22"/>
          <w:szCs w:val="22"/>
          <w:lang w:val="fr-FR" w:eastAsia="en-US"/>
        </w:rPr>
        <w:t xml:space="preserve"> 201</w:t>
      </w:r>
      <w:r>
        <w:rPr>
          <w:b/>
          <w:bCs/>
          <w:snapToGrid w:val="0"/>
          <w:color w:val="000000"/>
          <w:sz w:val="22"/>
          <w:szCs w:val="22"/>
          <w:lang w:val="fr-FR" w:eastAsia="en-US"/>
        </w:rPr>
        <w:t>7</w:t>
      </w:r>
      <w:r w:rsidRPr="009A6EFA">
        <w:rPr>
          <w:noProof/>
          <w:snapToGrid w:val="0"/>
          <w:color w:val="000000"/>
          <w:sz w:val="22"/>
          <w:szCs w:val="22"/>
          <w:lang w:val="fr-FR" w:eastAsia="en-US"/>
        </w:rPr>
        <w:t xml:space="preserve">. Le nom du pays ou de l’ORPV qui transmet la candidature et la mention « Call for Experts » seront indiqués en objet du message. Le </w:t>
      </w:r>
      <w:r w:rsidR="000300BA">
        <w:rPr>
          <w:noProof/>
          <w:snapToGrid w:val="0"/>
          <w:color w:val="000000"/>
          <w:sz w:val="22"/>
          <w:szCs w:val="22"/>
          <w:lang w:val="fr-FR" w:eastAsia="en-US"/>
        </w:rPr>
        <w:t>Comité des normes (</w:t>
      </w:r>
      <w:r w:rsidRPr="009A6EFA">
        <w:rPr>
          <w:noProof/>
          <w:snapToGrid w:val="0"/>
          <w:color w:val="000000"/>
          <w:sz w:val="22"/>
          <w:szCs w:val="22"/>
          <w:lang w:val="fr-FR" w:eastAsia="en-US"/>
        </w:rPr>
        <w:t>CN</w:t>
      </w:r>
      <w:r w:rsidR="000300BA">
        <w:rPr>
          <w:noProof/>
          <w:snapToGrid w:val="0"/>
          <w:color w:val="000000"/>
          <w:sz w:val="22"/>
          <w:szCs w:val="22"/>
          <w:lang w:val="fr-FR" w:eastAsia="en-US"/>
        </w:rPr>
        <w:t>)</w:t>
      </w:r>
      <w:r w:rsidRPr="009A6EFA">
        <w:rPr>
          <w:noProof/>
          <w:snapToGrid w:val="0"/>
          <w:color w:val="000000"/>
          <w:sz w:val="22"/>
          <w:szCs w:val="22"/>
          <w:lang w:val="fr-FR" w:eastAsia="en-US"/>
        </w:rPr>
        <w:t xml:space="preserve"> examinera les candidatures et sélectionnera les experts en fonction de leur expérience. Les experts sélectionnés seront contactés par le Secrétariat une fois leur candidature confirmée.  </w:t>
      </w:r>
    </w:p>
    <w:p w:rsidR="00DD3731" w:rsidRPr="00AA4C7C" w:rsidRDefault="00DD3731" w:rsidP="00DD3731">
      <w:pPr>
        <w:pStyle w:val="Default"/>
        <w:numPr>
          <w:ilvl w:val="0"/>
          <w:numId w:val="3"/>
        </w:numPr>
        <w:spacing w:after="180"/>
        <w:ind w:right="697"/>
        <w:jc w:val="both"/>
        <w:rPr>
          <w:b/>
          <w:noProof/>
          <w:sz w:val="22"/>
          <w:szCs w:val="22"/>
          <w:u w:val="single"/>
          <w:lang w:val="fr-FR"/>
        </w:rPr>
      </w:pPr>
      <w:r w:rsidRPr="00AA4C7C">
        <w:rPr>
          <w:b/>
          <w:noProof/>
          <w:sz w:val="22"/>
          <w:szCs w:val="22"/>
          <w:u w:val="single"/>
          <w:lang w:val="fr-FR"/>
        </w:rPr>
        <w:t>Critères utilisés pour déterminer les participants susceptibles de bénéficier en priorité d'une aide du Secrétariat de la CIPV pour participer aux réunions</w:t>
      </w:r>
    </w:p>
    <w:p w:rsidR="00DD3731" w:rsidRDefault="00DD3731" w:rsidP="00DD3731">
      <w:pPr>
        <w:tabs>
          <w:tab w:val="num" w:pos="-240"/>
          <w:tab w:val="left" w:pos="567"/>
        </w:tabs>
        <w:spacing w:after="180"/>
        <w:ind w:left="567" w:right="697"/>
        <w:jc w:val="both"/>
        <w:rPr>
          <w:b/>
          <w:noProof/>
          <w:sz w:val="22"/>
          <w:szCs w:val="22"/>
          <w:u w:val="single"/>
          <w:lang w:val="fr-FR"/>
        </w:rPr>
      </w:pPr>
      <w:r w:rsidRPr="009A6EFA">
        <w:rPr>
          <w:noProof/>
          <w:color w:val="000000"/>
          <w:sz w:val="22"/>
          <w:szCs w:val="22"/>
          <w:lang w:val="fr-FR"/>
        </w:rPr>
        <w:t xml:space="preserve">La prise en charge des frais de voyage et de l'indemnité journalière de subsistance d'un participant à une réunion de la CIPV incombe à l'organisation qui l’emploie. Si l'employeur n'est pas en mesure d'allouer des fonds suffisants, les participants sont invités à faire appel à </w:t>
      </w:r>
      <w:r w:rsidRPr="009A6EFA">
        <w:rPr>
          <w:noProof/>
          <w:color w:val="000000"/>
          <w:sz w:val="22"/>
          <w:szCs w:val="22"/>
          <w:lang w:val="fr-FR"/>
        </w:rPr>
        <w:lastRenderedPageBreak/>
        <w:t>d'autres sources d'assistance. Lorsque les efforts déployés pour obtenir une aide sont avérés mais ont été infructueux, une demande d'aide (pour couvrir les frais de voyage et de subsistance) peut être présentée au Secrétariat de la CIPV. Les fonds dont le Secrétariat dispose pour faciliter la particip</w:t>
      </w:r>
      <w:r>
        <w:rPr>
          <w:noProof/>
          <w:color w:val="000000"/>
          <w:sz w:val="22"/>
          <w:szCs w:val="22"/>
          <w:lang w:val="fr-FR"/>
        </w:rPr>
        <w:t xml:space="preserve">ation aux réunions sont limités et le </w:t>
      </w:r>
      <w:r w:rsidRPr="009A6EFA">
        <w:rPr>
          <w:noProof/>
          <w:color w:val="000000"/>
          <w:sz w:val="22"/>
          <w:szCs w:val="22"/>
          <w:lang w:val="fr-FR"/>
        </w:rPr>
        <w:t xml:space="preserve">Secrétariat </w:t>
      </w:r>
      <w:r w:rsidRPr="00A31702">
        <w:rPr>
          <w:noProof/>
          <w:color w:val="000000"/>
          <w:sz w:val="22"/>
          <w:szCs w:val="22"/>
          <w:lang w:val="fr-FR"/>
        </w:rPr>
        <w:t xml:space="preserve">suit </w:t>
      </w:r>
      <w:hyperlink r:id="rId7" w:history="1">
        <w:r w:rsidRPr="00A31702">
          <w:rPr>
            <w:rStyle w:val="Hyperlink"/>
            <w:noProof/>
            <w:sz w:val="22"/>
            <w:szCs w:val="22"/>
            <w:lang w:val="fr-FR"/>
          </w:rPr>
          <w:t>les critères de financement de la CIPV</w:t>
        </w:r>
      </w:hyperlink>
      <w:r w:rsidRPr="009A6EFA">
        <w:rPr>
          <w:noProof/>
          <w:color w:val="000000"/>
          <w:sz w:val="22"/>
          <w:szCs w:val="22"/>
          <w:lang w:val="fr-FR"/>
        </w:rPr>
        <w:t>.</w:t>
      </w:r>
    </w:p>
    <w:p w:rsidR="00DD3731" w:rsidRPr="00A73C55" w:rsidRDefault="00DD3731" w:rsidP="00DD3731">
      <w:pPr>
        <w:tabs>
          <w:tab w:val="num" w:pos="-240"/>
          <w:tab w:val="left" w:pos="567"/>
        </w:tabs>
        <w:spacing w:after="180"/>
        <w:ind w:left="567" w:right="697"/>
        <w:jc w:val="both"/>
        <w:rPr>
          <w:color w:val="000000"/>
          <w:sz w:val="22"/>
          <w:szCs w:val="22"/>
          <w:lang w:val="fr-FR"/>
        </w:rPr>
      </w:pPr>
      <w:r w:rsidRPr="00A73C55">
        <w:rPr>
          <w:color w:val="000000"/>
          <w:sz w:val="22"/>
          <w:szCs w:val="22"/>
          <w:lang w:val="fr-FR"/>
        </w:rPr>
        <w:t xml:space="preserve">Les participants devront participer à toutes les sessions de la réunion et ceux qui prévoient une participation partielle devront payer leurs frais de voyage. </w:t>
      </w:r>
    </w:p>
    <w:p w:rsidR="00DD3731" w:rsidRDefault="00DD3731" w:rsidP="00DD3731">
      <w:pPr>
        <w:pStyle w:val="Default"/>
        <w:numPr>
          <w:ilvl w:val="0"/>
          <w:numId w:val="3"/>
        </w:numPr>
        <w:spacing w:after="180"/>
        <w:ind w:right="697"/>
        <w:jc w:val="both"/>
        <w:rPr>
          <w:b/>
          <w:noProof/>
          <w:sz w:val="22"/>
          <w:szCs w:val="22"/>
          <w:u w:val="single"/>
          <w:lang w:val="fr-FR"/>
        </w:rPr>
      </w:pPr>
      <w:r w:rsidRPr="009A6EFA">
        <w:rPr>
          <w:b/>
          <w:noProof/>
          <w:sz w:val="22"/>
          <w:szCs w:val="22"/>
          <w:u w:val="single"/>
          <w:lang w:val="fr-FR"/>
        </w:rPr>
        <w:t>Qualifications requises</w:t>
      </w:r>
    </w:p>
    <w:p w:rsidR="00DD3731" w:rsidRPr="009A6EFA" w:rsidRDefault="00DD3731">
      <w:pPr>
        <w:spacing w:after="180"/>
        <w:ind w:left="567" w:right="697"/>
        <w:jc w:val="both"/>
        <w:rPr>
          <w:noProof/>
          <w:sz w:val="22"/>
          <w:szCs w:val="22"/>
          <w:lang w:val="fr-FR"/>
        </w:rPr>
      </w:pPr>
      <w:r w:rsidRPr="009A6EFA">
        <w:rPr>
          <w:bCs/>
          <w:noProof/>
          <w:sz w:val="22"/>
          <w:szCs w:val="22"/>
          <w:lang w:val="fr-FR"/>
        </w:rPr>
        <w:t>Le CN choisit les experts dont les compétences et l'expérience sont les plus proches des qualifications spécifiquement requises.</w:t>
      </w:r>
      <w:r>
        <w:rPr>
          <w:bCs/>
          <w:noProof/>
          <w:sz w:val="22"/>
          <w:szCs w:val="22"/>
          <w:lang w:val="fr-FR"/>
        </w:rPr>
        <w:t xml:space="preserve"> </w:t>
      </w:r>
    </w:p>
    <w:p w:rsidR="00DD3731" w:rsidRPr="00245D7B" w:rsidRDefault="00DD3731" w:rsidP="00831876">
      <w:pPr>
        <w:pStyle w:val="Default"/>
        <w:ind w:left="567" w:right="697"/>
        <w:jc w:val="both"/>
        <w:rPr>
          <w:bCs/>
          <w:noProof/>
          <w:snapToGrid w:val="0"/>
          <w:sz w:val="22"/>
          <w:szCs w:val="22"/>
          <w:lang w:val="fr-FR" w:eastAsia="en-US"/>
        </w:rPr>
      </w:pPr>
      <w:r w:rsidRPr="009A6EFA">
        <w:rPr>
          <w:b/>
          <w:bCs/>
          <w:noProof/>
          <w:snapToGrid w:val="0"/>
          <w:sz w:val="22"/>
          <w:szCs w:val="22"/>
          <w:lang w:val="fr-FR" w:eastAsia="en-US"/>
        </w:rPr>
        <w:t xml:space="preserve">Qualifications requises pour le groupe </w:t>
      </w:r>
      <w:r w:rsidRPr="006B4C8F">
        <w:rPr>
          <w:b/>
          <w:bCs/>
          <w:noProof/>
          <w:snapToGrid w:val="0"/>
          <w:sz w:val="22"/>
          <w:szCs w:val="22"/>
          <w:lang w:val="fr-FR" w:eastAsia="en-US"/>
        </w:rPr>
        <w:t xml:space="preserve">d'experts chargé d’élaborer </w:t>
      </w:r>
      <w:r w:rsidR="006411B7">
        <w:rPr>
          <w:b/>
          <w:bCs/>
          <w:noProof/>
          <w:snapToGrid w:val="0"/>
          <w:sz w:val="22"/>
          <w:szCs w:val="22"/>
          <w:lang w:val="fr-FR" w:eastAsia="en-US"/>
        </w:rPr>
        <w:t>une</w:t>
      </w:r>
      <w:r w:rsidR="006411B7" w:rsidRPr="006B4C8F">
        <w:rPr>
          <w:b/>
          <w:bCs/>
          <w:noProof/>
          <w:snapToGrid w:val="0"/>
          <w:sz w:val="22"/>
          <w:szCs w:val="22"/>
          <w:lang w:val="fr-FR" w:eastAsia="en-US"/>
        </w:rPr>
        <w:t xml:space="preserve"> </w:t>
      </w:r>
      <w:r w:rsidRPr="006B4C8F">
        <w:rPr>
          <w:b/>
          <w:bCs/>
          <w:noProof/>
          <w:snapToGrid w:val="0"/>
          <w:sz w:val="22"/>
          <w:szCs w:val="22"/>
          <w:lang w:val="fr-FR" w:eastAsia="en-US"/>
        </w:rPr>
        <w:t xml:space="preserve">norme internationale relative: aux </w:t>
      </w:r>
      <w:r w:rsidR="00CF532A" w:rsidRPr="00CF532A">
        <w:rPr>
          <w:b/>
          <w:bCs/>
          <w:i/>
          <w:iCs/>
          <w:noProof/>
          <w:snapToGrid w:val="0"/>
          <w:sz w:val="22"/>
          <w:szCs w:val="22"/>
          <w:lang w:val="fr-FR" w:eastAsia="en-US"/>
        </w:rPr>
        <w:t>Indications sur la gestion du risque phytosanitaire</w:t>
      </w:r>
      <w:r w:rsidRPr="006B4C8F">
        <w:rPr>
          <w:b/>
          <w:bCs/>
          <w:i/>
          <w:iCs/>
          <w:noProof/>
          <w:snapToGrid w:val="0"/>
          <w:sz w:val="22"/>
          <w:szCs w:val="22"/>
          <w:lang w:val="fr-FR" w:eastAsia="en-US"/>
        </w:rPr>
        <w:t xml:space="preserve"> </w:t>
      </w:r>
      <w:r w:rsidRPr="006B4C8F">
        <w:rPr>
          <w:b/>
          <w:bCs/>
          <w:noProof/>
          <w:snapToGrid w:val="0"/>
          <w:sz w:val="22"/>
          <w:szCs w:val="22"/>
          <w:lang w:val="fr-FR" w:eastAsia="en-US"/>
        </w:rPr>
        <w:t>(2014-00</w:t>
      </w:r>
      <w:r w:rsidR="00CF532A">
        <w:rPr>
          <w:b/>
          <w:bCs/>
          <w:noProof/>
          <w:snapToGrid w:val="0"/>
          <w:sz w:val="22"/>
          <w:szCs w:val="22"/>
          <w:lang w:val="fr-FR" w:eastAsia="en-US"/>
        </w:rPr>
        <w:t>1</w:t>
      </w:r>
      <w:r w:rsidRPr="006B4C8F">
        <w:rPr>
          <w:b/>
          <w:bCs/>
          <w:noProof/>
          <w:snapToGrid w:val="0"/>
          <w:sz w:val="22"/>
          <w:szCs w:val="22"/>
          <w:lang w:val="fr-FR" w:eastAsia="en-US"/>
        </w:rPr>
        <w:t>)</w:t>
      </w:r>
      <w:r w:rsidR="00CF532A">
        <w:rPr>
          <w:b/>
          <w:bCs/>
          <w:noProof/>
          <w:snapToGrid w:val="0"/>
          <w:sz w:val="22"/>
          <w:szCs w:val="22"/>
          <w:lang w:val="fr-FR" w:eastAsia="en-US"/>
        </w:rPr>
        <w:t xml:space="preserve"> </w:t>
      </w:r>
      <w:r w:rsidRPr="00E65DB5">
        <w:rPr>
          <w:color w:val="auto"/>
          <w:sz w:val="22"/>
          <w:szCs w:val="22"/>
          <w:lang w:val="fr-FR"/>
        </w:rPr>
        <w:t>(voir</w:t>
      </w:r>
      <w:r w:rsidRPr="009A6EFA">
        <w:rPr>
          <w:color w:val="auto"/>
          <w:sz w:val="22"/>
          <w:szCs w:val="22"/>
          <w:lang w:val="fr-FR"/>
        </w:rPr>
        <w:t xml:space="preserve"> la</w:t>
      </w:r>
      <w:r w:rsidRPr="00E65DB5">
        <w:rPr>
          <w:color w:val="auto"/>
          <w:sz w:val="22"/>
          <w:szCs w:val="22"/>
          <w:lang w:val="fr-FR"/>
        </w:rPr>
        <w:t xml:space="preserve"> </w:t>
      </w:r>
      <w:hyperlink r:id="rId8" w:history="1">
        <w:r w:rsidRPr="006B4C8F">
          <w:rPr>
            <w:rStyle w:val="Hyperlink"/>
            <w:i/>
            <w:sz w:val="22"/>
            <w:szCs w:val="22"/>
            <w:lang w:val="fr-FR"/>
          </w:rPr>
          <w:t>Spécification 6</w:t>
        </w:r>
        <w:r w:rsidR="00CF532A">
          <w:rPr>
            <w:rStyle w:val="Hyperlink"/>
            <w:i/>
            <w:sz w:val="22"/>
            <w:szCs w:val="22"/>
            <w:lang w:val="fr-FR"/>
          </w:rPr>
          <w:t>3</w:t>
        </w:r>
      </w:hyperlink>
      <w:r w:rsidRPr="00E65DB5">
        <w:rPr>
          <w:color w:val="auto"/>
          <w:sz w:val="22"/>
          <w:szCs w:val="22"/>
          <w:lang w:val="fr-FR"/>
        </w:rPr>
        <w:t>)</w:t>
      </w:r>
      <w:r>
        <w:rPr>
          <w:color w:val="auto"/>
          <w:sz w:val="22"/>
          <w:szCs w:val="22"/>
          <w:lang w:val="fr-FR"/>
        </w:rPr>
        <w:t>.</w:t>
      </w:r>
    </w:p>
    <w:p w:rsidR="00DD3731" w:rsidRDefault="00DD3731" w:rsidP="00DD3731">
      <w:pPr>
        <w:pStyle w:val="Default"/>
        <w:ind w:left="927" w:right="697"/>
        <w:jc w:val="both"/>
        <w:rPr>
          <w:bCs/>
          <w:noProof/>
          <w:snapToGrid w:val="0"/>
          <w:sz w:val="22"/>
          <w:szCs w:val="22"/>
          <w:lang w:val="fr-FR" w:eastAsia="en-US"/>
        </w:rPr>
      </w:pPr>
    </w:p>
    <w:p w:rsidR="006411B7" w:rsidRDefault="006411B7" w:rsidP="00DD3731">
      <w:pPr>
        <w:spacing w:after="180"/>
        <w:ind w:left="567" w:right="697"/>
        <w:jc w:val="both"/>
        <w:rPr>
          <w:bCs/>
          <w:noProof/>
          <w:snapToGrid w:val="0"/>
          <w:color w:val="000000"/>
          <w:sz w:val="22"/>
          <w:szCs w:val="22"/>
          <w:lang w:val="fr-FR" w:eastAsia="en-US"/>
        </w:rPr>
      </w:pPr>
      <w:r w:rsidRPr="006411B7">
        <w:rPr>
          <w:bCs/>
          <w:noProof/>
          <w:snapToGrid w:val="0"/>
          <w:color w:val="000000"/>
          <w:sz w:val="22"/>
          <w:szCs w:val="22"/>
          <w:lang w:val="fr-FR" w:eastAsia="en-US"/>
        </w:rPr>
        <w:t>Six à huit experts dont les spécialités conjuguées leur permettent</w:t>
      </w:r>
      <w:r>
        <w:rPr>
          <w:bCs/>
          <w:noProof/>
          <w:snapToGrid w:val="0"/>
          <w:color w:val="000000"/>
          <w:sz w:val="22"/>
          <w:szCs w:val="22"/>
          <w:lang w:val="fr-FR" w:eastAsia="en-US"/>
        </w:rPr>
        <w:t> :</w:t>
      </w:r>
    </w:p>
    <w:p w:rsidR="006411B7" w:rsidRDefault="006411B7" w:rsidP="00831876">
      <w:pPr>
        <w:pStyle w:val="ListParagraph"/>
        <w:numPr>
          <w:ilvl w:val="0"/>
          <w:numId w:val="2"/>
        </w:numPr>
        <w:spacing w:after="180"/>
        <w:ind w:right="697"/>
        <w:jc w:val="both"/>
        <w:rPr>
          <w:bCs/>
          <w:noProof/>
          <w:snapToGrid w:val="0"/>
          <w:color w:val="000000"/>
          <w:sz w:val="22"/>
          <w:szCs w:val="22"/>
          <w:lang w:val="fr-FR" w:eastAsia="en-US"/>
        </w:rPr>
      </w:pPr>
      <w:r w:rsidRPr="00831876">
        <w:rPr>
          <w:bCs/>
          <w:noProof/>
          <w:snapToGrid w:val="0"/>
          <w:color w:val="000000"/>
          <w:sz w:val="22"/>
          <w:szCs w:val="22"/>
          <w:lang w:val="fr-FR" w:eastAsia="en-US"/>
        </w:rPr>
        <w:t xml:space="preserve">de conduire des </w:t>
      </w:r>
      <w:r>
        <w:rPr>
          <w:bCs/>
          <w:noProof/>
          <w:snapToGrid w:val="0"/>
          <w:color w:val="000000"/>
          <w:sz w:val="22"/>
          <w:szCs w:val="22"/>
          <w:lang w:val="fr-FR" w:eastAsia="en-US"/>
        </w:rPr>
        <w:t>analyses du risque phytosanitaire (</w:t>
      </w:r>
      <w:r w:rsidRPr="00831876">
        <w:rPr>
          <w:bCs/>
          <w:noProof/>
          <w:snapToGrid w:val="0"/>
          <w:color w:val="000000"/>
          <w:sz w:val="22"/>
          <w:szCs w:val="22"/>
          <w:lang w:val="fr-FR" w:eastAsia="en-US"/>
        </w:rPr>
        <w:t>ARP</w:t>
      </w:r>
      <w:r>
        <w:rPr>
          <w:bCs/>
          <w:noProof/>
          <w:snapToGrid w:val="0"/>
          <w:color w:val="000000"/>
          <w:sz w:val="22"/>
          <w:szCs w:val="22"/>
          <w:lang w:val="fr-FR" w:eastAsia="en-US"/>
        </w:rPr>
        <w:t>)</w:t>
      </w:r>
      <w:r w:rsidRPr="00831876">
        <w:rPr>
          <w:bCs/>
          <w:noProof/>
          <w:snapToGrid w:val="0"/>
          <w:color w:val="000000"/>
          <w:sz w:val="22"/>
          <w:szCs w:val="22"/>
          <w:lang w:val="fr-FR" w:eastAsia="en-US"/>
        </w:rPr>
        <w:t xml:space="preserve">, </w:t>
      </w:r>
    </w:p>
    <w:p w:rsidR="006411B7" w:rsidRDefault="006411B7" w:rsidP="00831876">
      <w:pPr>
        <w:pStyle w:val="ListParagraph"/>
        <w:numPr>
          <w:ilvl w:val="0"/>
          <w:numId w:val="2"/>
        </w:numPr>
        <w:spacing w:after="180"/>
        <w:ind w:right="697"/>
        <w:jc w:val="both"/>
        <w:rPr>
          <w:bCs/>
          <w:noProof/>
          <w:snapToGrid w:val="0"/>
          <w:color w:val="000000"/>
          <w:sz w:val="22"/>
          <w:szCs w:val="22"/>
          <w:lang w:val="fr-FR" w:eastAsia="en-US"/>
        </w:rPr>
      </w:pPr>
      <w:r w:rsidRPr="00831876">
        <w:rPr>
          <w:bCs/>
          <w:noProof/>
          <w:snapToGrid w:val="0"/>
          <w:color w:val="000000"/>
          <w:sz w:val="22"/>
          <w:szCs w:val="22"/>
          <w:lang w:val="fr-FR" w:eastAsia="en-US"/>
        </w:rPr>
        <w:t>d’évaluer et de sélectionner des options de gestion du risque phytosanitaire</w:t>
      </w:r>
      <w:r>
        <w:rPr>
          <w:bCs/>
          <w:noProof/>
          <w:snapToGrid w:val="0"/>
          <w:color w:val="000000"/>
          <w:sz w:val="22"/>
          <w:szCs w:val="22"/>
          <w:lang w:val="fr-FR" w:eastAsia="en-US"/>
        </w:rPr>
        <w:t>,</w:t>
      </w:r>
    </w:p>
    <w:p w:rsidR="006411B7" w:rsidRDefault="006411B7" w:rsidP="00831876">
      <w:pPr>
        <w:pStyle w:val="ListParagraph"/>
        <w:numPr>
          <w:ilvl w:val="0"/>
          <w:numId w:val="2"/>
        </w:numPr>
        <w:spacing w:after="180"/>
        <w:ind w:right="697"/>
        <w:jc w:val="both"/>
        <w:rPr>
          <w:bCs/>
          <w:noProof/>
          <w:snapToGrid w:val="0"/>
          <w:color w:val="000000"/>
          <w:sz w:val="22"/>
          <w:szCs w:val="22"/>
          <w:lang w:val="fr-FR" w:eastAsia="en-US"/>
        </w:rPr>
      </w:pPr>
      <w:r w:rsidRPr="00831876">
        <w:rPr>
          <w:bCs/>
          <w:noProof/>
          <w:snapToGrid w:val="0"/>
          <w:color w:val="000000"/>
          <w:sz w:val="22"/>
          <w:szCs w:val="22"/>
          <w:lang w:val="fr-FR" w:eastAsia="en-US"/>
        </w:rPr>
        <w:t xml:space="preserve">et d’appliquer des mesures phytosanitaires dans le cadre du commerce international de végétaux et de produits végétaux. </w:t>
      </w:r>
    </w:p>
    <w:p w:rsidR="006411B7" w:rsidRPr="00831876" w:rsidRDefault="006411B7" w:rsidP="003A42BE">
      <w:pPr>
        <w:spacing w:after="180"/>
        <w:ind w:left="567" w:right="697"/>
        <w:jc w:val="both"/>
        <w:rPr>
          <w:bCs/>
          <w:noProof/>
          <w:sz w:val="22"/>
          <w:szCs w:val="22"/>
          <w:lang w:val="fr-FR"/>
        </w:rPr>
      </w:pPr>
      <w:r w:rsidRPr="00831876">
        <w:rPr>
          <w:bCs/>
          <w:noProof/>
          <w:sz w:val="22"/>
          <w:szCs w:val="22"/>
          <w:lang w:val="fr-FR"/>
        </w:rPr>
        <w:t xml:space="preserve">La priorité sera donnée aux experts ayant une expérience et des compétences considérables dans plusieurs de ces domaines. </w:t>
      </w:r>
    </w:p>
    <w:p w:rsidR="00007DEC" w:rsidRDefault="00CF532A" w:rsidP="00DD3731">
      <w:pPr>
        <w:spacing w:after="180"/>
        <w:ind w:left="567" w:right="697"/>
        <w:jc w:val="both"/>
        <w:rPr>
          <w:bCs/>
          <w:noProof/>
          <w:sz w:val="22"/>
          <w:szCs w:val="22"/>
          <w:lang w:val="fr-FR"/>
        </w:rPr>
      </w:pPr>
      <w:r w:rsidRPr="009A6EFA">
        <w:rPr>
          <w:bCs/>
          <w:noProof/>
          <w:sz w:val="22"/>
          <w:szCs w:val="22"/>
          <w:lang w:val="fr-FR"/>
        </w:rPr>
        <w:t>Les groupes de travail conduisent leurs débats et leurs travaux en anglais, par conséquent les experts doivent bien maîtriser cette langue.</w:t>
      </w:r>
    </w:p>
    <w:p w:rsidR="00DD3731" w:rsidRPr="009A6EFA" w:rsidRDefault="00DD3731">
      <w:pPr>
        <w:spacing w:after="180"/>
        <w:ind w:left="567" w:right="697"/>
        <w:jc w:val="both"/>
        <w:rPr>
          <w:bCs/>
          <w:noProof/>
          <w:snapToGrid w:val="0"/>
          <w:sz w:val="22"/>
          <w:szCs w:val="22"/>
          <w:lang w:val="fr-FR" w:eastAsia="en-US"/>
        </w:rPr>
      </w:pPr>
      <w:r w:rsidRPr="009A6EFA">
        <w:rPr>
          <w:bCs/>
          <w:noProof/>
          <w:sz w:val="22"/>
          <w:szCs w:val="22"/>
          <w:lang w:val="fr-FR"/>
        </w:rPr>
        <w:t>Les experts sélectionnés doivent être disponibles pour participer à la réunion du groupe travail</w:t>
      </w:r>
      <w:r w:rsidRPr="009A6EFA">
        <w:rPr>
          <w:noProof/>
          <w:sz w:val="22"/>
          <w:szCs w:val="22"/>
          <w:lang w:val="fr-FR"/>
        </w:rPr>
        <w:t xml:space="preserve"> en 201</w:t>
      </w:r>
      <w:r w:rsidR="00007DEC">
        <w:rPr>
          <w:noProof/>
          <w:sz w:val="22"/>
          <w:szCs w:val="22"/>
          <w:lang w:val="fr-FR"/>
        </w:rPr>
        <w:t>8</w:t>
      </w:r>
      <w:r w:rsidRPr="009A6EFA">
        <w:rPr>
          <w:noProof/>
          <w:sz w:val="22"/>
          <w:szCs w:val="22"/>
          <w:lang w:val="fr-FR"/>
        </w:rPr>
        <w:t xml:space="preserve">, </w:t>
      </w:r>
      <w:r w:rsidRPr="009A6EFA">
        <w:rPr>
          <w:sz w:val="22"/>
          <w:szCs w:val="22"/>
          <w:lang w:val="fr-FR"/>
        </w:rPr>
        <w:t>actuellement</w:t>
      </w:r>
      <w:r w:rsidRPr="009A6EFA">
        <w:rPr>
          <w:noProof/>
          <w:sz w:val="22"/>
          <w:szCs w:val="22"/>
          <w:lang w:val="fr-FR"/>
        </w:rPr>
        <w:t xml:space="preserve"> prévue du </w:t>
      </w:r>
      <w:r w:rsidR="00007DEC">
        <w:rPr>
          <w:noProof/>
          <w:sz w:val="22"/>
          <w:szCs w:val="22"/>
          <w:lang w:val="fr-FR"/>
        </w:rPr>
        <w:t>5</w:t>
      </w:r>
      <w:r>
        <w:rPr>
          <w:sz w:val="22"/>
          <w:szCs w:val="22"/>
          <w:lang w:val="fr-FR"/>
        </w:rPr>
        <w:t xml:space="preserve"> au </w:t>
      </w:r>
      <w:r w:rsidR="00007DEC">
        <w:rPr>
          <w:sz w:val="22"/>
          <w:szCs w:val="22"/>
          <w:lang w:val="fr-FR"/>
        </w:rPr>
        <w:t>9</w:t>
      </w:r>
      <w:r>
        <w:rPr>
          <w:sz w:val="22"/>
          <w:szCs w:val="22"/>
          <w:lang w:val="fr-FR"/>
        </w:rPr>
        <w:t xml:space="preserve"> </w:t>
      </w:r>
      <w:r w:rsidR="00007DEC">
        <w:rPr>
          <w:sz w:val="22"/>
          <w:szCs w:val="22"/>
          <w:lang w:val="fr-FR"/>
        </w:rPr>
        <w:t>septembre</w:t>
      </w:r>
      <w:r>
        <w:rPr>
          <w:sz w:val="22"/>
          <w:szCs w:val="22"/>
          <w:lang w:val="fr-FR"/>
        </w:rPr>
        <w:t xml:space="preserve"> 201</w:t>
      </w:r>
      <w:r w:rsidR="006411B7">
        <w:rPr>
          <w:sz w:val="22"/>
          <w:szCs w:val="22"/>
          <w:lang w:val="fr-FR"/>
        </w:rPr>
        <w:t>8</w:t>
      </w:r>
      <w:r w:rsidRPr="009A6EFA">
        <w:rPr>
          <w:sz w:val="22"/>
          <w:szCs w:val="22"/>
          <w:lang w:val="fr-FR"/>
        </w:rPr>
        <w:t xml:space="preserve"> à</w:t>
      </w:r>
      <w:r w:rsidR="00F42FC8">
        <w:rPr>
          <w:sz w:val="22"/>
          <w:szCs w:val="22"/>
          <w:lang w:val="fr-FR"/>
        </w:rPr>
        <w:t xml:space="preserve"> </w:t>
      </w:r>
      <w:r w:rsidR="00007DEC">
        <w:rPr>
          <w:sz w:val="22"/>
          <w:szCs w:val="22"/>
          <w:lang w:val="fr-FR"/>
        </w:rPr>
        <w:t>Rome</w:t>
      </w:r>
      <w:r>
        <w:rPr>
          <w:sz w:val="22"/>
          <w:szCs w:val="22"/>
          <w:lang w:val="fr-FR"/>
        </w:rPr>
        <w:t xml:space="preserve">, </w:t>
      </w:r>
      <w:r w:rsidR="006411B7">
        <w:rPr>
          <w:sz w:val="22"/>
          <w:szCs w:val="22"/>
          <w:lang w:val="fr-FR"/>
        </w:rPr>
        <w:t>Italie,</w:t>
      </w:r>
      <w:r w:rsidR="00007DEC">
        <w:rPr>
          <w:sz w:val="22"/>
          <w:szCs w:val="22"/>
          <w:lang w:val="fr-FR"/>
        </w:rPr>
        <w:t xml:space="preserve"> ou</w:t>
      </w:r>
      <w:r w:rsidR="006411B7">
        <w:rPr>
          <w:sz w:val="22"/>
          <w:szCs w:val="22"/>
          <w:lang w:val="fr-FR"/>
        </w:rPr>
        <w:t xml:space="preserve"> dans</w:t>
      </w:r>
      <w:r w:rsidR="00007DEC">
        <w:rPr>
          <w:sz w:val="22"/>
          <w:szCs w:val="22"/>
          <w:lang w:val="fr-FR"/>
        </w:rPr>
        <w:t xml:space="preserve"> un autre pays Méditerranéen</w:t>
      </w:r>
      <w:r w:rsidR="006411B7">
        <w:rPr>
          <w:sz w:val="22"/>
          <w:szCs w:val="22"/>
          <w:lang w:val="fr-FR"/>
        </w:rPr>
        <w:t xml:space="preserve"> (le lieu exact sera prochainement confirmé)</w:t>
      </w:r>
      <w:r w:rsidRPr="009A6EFA">
        <w:rPr>
          <w:sz w:val="22"/>
          <w:szCs w:val="22"/>
          <w:lang w:val="fr-FR"/>
        </w:rPr>
        <w:t>. En cas de changement, de nouvelles dates seront indiquée</w:t>
      </w:r>
      <w:r w:rsidR="003A42BE">
        <w:rPr>
          <w:sz w:val="22"/>
          <w:szCs w:val="22"/>
          <w:lang w:val="fr-FR"/>
        </w:rPr>
        <w:t>s</w:t>
      </w:r>
      <w:r w:rsidRPr="009A6EFA">
        <w:rPr>
          <w:noProof/>
          <w:sz w:val="22"/>
          <w:szCs w:val="22"/>
          <w:lang w:val="fr-FR"/>
        </w:rPr>
        <w:t xml:space="preserve"> sur le </w:t>
      </w:r>
      <w:hyperlink r:id="rId9" w:history="1">
        <w:r w:rsidR="006411B7">
          <w:rPr>
            <w:rStyle w:val="Hyperlink"/>
            <w:noProof/>
            <w:snapToGrid w:val="0"/>
            <w:sz w:val="22"/>
            <w:szCs w:val="22"/>
            <w:lang w:val="fr-FR" w:eastAsia="en-US"/>
          </w:rPr>
          <w:t>calendrier 2018 de la CIPV</w:t>
        </w:r>
      </w:hyperlink>
      <w:r w:rsidRPr="009A6EFA">
        <w:rPr>
          <w:noProof/>
          <w:sz w:val="22"/>
          <w:szCs w:val="22"/>
          <w:lang w:val="fr-FR" w:eastAsia="en-US"/>
        </w:rPr>
        <w:t>.</w:t>
      </w:r>
    </w:p>
    <w:p w:rsidR="009971AB" w:rsidRPr="00DD3731" w:rsidRDefault="009971AB" w:rsidP="00831876">
      <w:pPr>
        <w:pStyle w:val="Default"/>
        <w:spacing w:after="180"/>
        <w:ind w:right="697"/>
        <w:jc w:val="both"/>
      </w:pPr>
    </w:p>
    <w:sectPr w:rsidR="009971AB" w:rsidRPr="00DD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967"/>
    <w:multiLevelType w:val="hybridMultilevel"/>
    <w:tmpl w:val="CB367A3A"/>
    <w:lvl w:ilvl="0" w:tplc="864C7F72">
      <w:start w:val="1"/>
      <w:numFmt w:val="decimal"/>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C228DB"/>
    <w:multiLevelType w:val="hybridMultilevel"/>
    <w:tmpl w:val="3F8C5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C58390F"/>
    <w:multiLevelType w:val="hybridMultilevel"/>
    <w:tmpl w:val="59DCB566"/>
    <w:lvl w:ilvl="0" w:tplc="04090001">
      <w:start w:val="1"/>
      <w:numFmt w:val="bullet"/>
      <w:lvlText w:val=""/>
      <w:lvlJc w:val="left"/>
      <w:pPr>
        <w:ind w:left="1026" w:hanging="360"/>
      </w:pPr>
      <w:rPr>
        <w:rFonts w:ascii="Symbol" w:hAnsi="Symbol" w:hint="default"/>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 w15:restartNumberingAfterBreak="0">
    <w:nsid w:val="50B15412"/>
    <w:multiLevelType w:val="hybridMultilevel"/>
    <w:tmpl w:val="0D42F5FE"/>
    <w:lvl w:ilvl="0" w:tplc="3BD6E21A">
      <w:start w:val="3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B5646CF"/>
    <w:multiLevelType w:val="hybridMultilevel"/>
    <w:tmpl w:val="89E80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C3"/>
    <w:rsid w:val="00007DEC"/>
    <w:rsid w:val="000300BA"/>
    <w:rsid w:val="003A42BE"/>
    <w:rsid w:val="006411B7"/>
    <w:rsid w:val="006B047A"/>
    <w:rsid w:val="00831876"/>
    <w:rsid w:val="0087264D"/>
    <w:rsid w:val="008D0401"/>
    <w:rsid w:val="00986201"/>
    <w:rsid w:val="009971AB"/>
    <w:rsid w:val="00B826C3"/>
    <w:rsid w:val="00CF532A"/>
    <w:rsid w:val="00DD3731"/>
    <w:rsid w:val="00F42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A10D-5E6B-419F-91E3-5718C96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C3"/>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6C3"/>
    <w:rPr>
      <w:color w:val="0000FF"/>
      <w:u w:val="single"/>
    </w:rPr>
  </w:style>
  <w:style w:type="paragraph" w:customStyle="1" w:styleId="Default">
    <w:name w:val="Default"/>
    <w:rsid w:val="00B826C3"/>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ListParagraph">
    <w:name w:val="List Paragraph"/>
    <w:basedOn w:val="Normal"/>
    <w:uiPriority w:val="34"/>
    <w:qFormat/>
    <w:rsid w:val="00B826C3"/>
    <w:pPr>
      <w:ind w:left="720"/>
      <w:contextualSpacing/>
    </w:pPr>
    <w:rPr>
      <w:szCs w:val="24"/>
    </w:rPr>
  </w:style>
  <w:style w:type="paragraph" w:styleId="BalloonText">
    <w:name w:val="Balloon Text"/>
    <w:basedOn w:val="Normal"/>
    <w:link w:val="BalloonTextChar"/>
    <w:uiPriority w:val="99"/>
    <w:semiHidden/>
    <w:unhideWhenUsed/>
    <w:rsid w:val="00030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BA"/>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030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244/" TargetMode="External"/><Relationship Id="rId3" Type="http://schemas.openxmlformats.org/officeDocument/2006/relationships/settings" Target="settings.xml"/><Relationship Id="rId7" Type="http://schemas.openxmlformats.org/officeDocument/2006/relationships/hyperlink" Target="https://www.ippc.int/static/media/files/publication/en/2016/08/CriteriaForPrioritizingTravellers_2016-08-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pc@fao.org" TargetMode="External"/><Relationship Id="rId11" Type="http://schemas.openxmlformats.org/officeDocument/2006/relationships/theme" Target="theme/theme1.xml"/><Relationship Id="rId5" Type="http://schemas.openxmlformats.org/officeDocument/2006/relationships/hyperlink" Target="https://www.ippc.int/en/year/calendar/?year=2018&amp;month=1&amp;day=1&amp;hour=0&amp;minute=0&amp;secon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pc.int/en/year/calendar/?year=2018&amp;month=1&amp;day=1&amp;hour=0&amp;minute=0&amp;seco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Wlodarczyk, Piotr (AGDI)</cp:lastModifiedBy>
  <cp:revision>3</cp:revision>
  <dcterms:created xsi:type="dcterms:W3CDTF">2017-08-04T13:14:00Z</dcterms:created>
  <dcterms:modified xsi:type="dcterms:W3CDTF">2017-08-04T13:15:00Z</dcterms:modified>
</cp:coreProperties>
</file>