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92" w:rsidRDefault="0093140B">
      <w:pPr>
        <w:jc w:val="center"/>
      </w:pPr>
      <w:r>
        <w:rPr>
          <w:rStyle w:val="PleaseReviewParagraphId"/>
          <w:noProof/>
          <w:sz w:val="20"/>
        </w:rPr>
        <w:t xml:space="preserve">[PleaseReview document review. Review title: 2019 First Consultation: Draft PT: Irradiation treatment for Bactrocera dorsalis (2017-015). Document title: </w:t>
      </w:r>
      <w:r>
        <w:rPr>
          <w:rStyle w:val="PleaseReviewParagraphId"/>
          <w:noProof/>
          <w:sz w:val="20"/>
        </w:rPr>
        <w:t>2017-015_DraftPT_Ir_Bactrocera_dorsalis_2019-03-21_fr.docx]</w:t>
      </w:r>
    </w:p>
    <w:p w:rsidR="008B1A92" w:rsidRDefault="0093140B">
      <w:pPr>
        <w:pStyle w:val="IPPHeadSection"/>
      </w:pPr>
      <w:r>
        <w:rPr>
          <w:rStyle w:val="PleaseReviewParagraphId"/>
          <w:b w:val="0"/>
        </w:rPr>
        <w:t>[1]</w:t>
      </w:r>
      <w:bookmarkStart w:id="0" w:name="_Toc121913536"/>
      <w:r>
        <w:t xml:space="preserve">Projet d’annexe à la NIMP 28: </w:t>
      </w:r>
      <w:r>
        <w:rPr>
          <w:caps w:val="0"/>
        </w:rPr>
        <w:t>Traitements par irradiation contre </w:t>
      </w:r>
      <w:r>
        <w:rPr>
          <w:i/>
          <w:caps w:val="0"/>
        </w:rPr>
        <w:t>Bactrocera dorsalis</w:t>
      </w:r>
      <w:r>
        <w:rPr>
          <w:caps w:val="0"/>
        </w:rPr>
        <w:t xml:space="preserve"> (2017-015)</w:t>
      </w:r>
    </w:p>
    <w:p w:rsidR="008B1A92" w:rsidRDefault="0093140B">
      <w:pPr>
        <w:pStyle w:val="IPPHeading1"/>
        <w:rPr>
          <w:b w:val="0"/>
          <w:bCs/>
        </w:rPr>
      </w:pPr>
      <w:r>
        <w:rPr>
          <w:rStyle w:val="PleaseReviewParagraphId"/>
          <w:b w:val="0"/>
        </w:rPr>
        <w:t>[2]</w:t>
      </w:r>
      <w: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B1A92">
        <w:trPr>
          <w:trHeight w:val="286"/>
        </w:trPr>
        <w:tc>
          <w:tcPr>
            <w:tcW w:w="9039" w:type="dxa"/>
            <w:gridSpan w:val="2"/>
            <w:tcBorders>
              <w:top w:val="single" w:sz="4" w:space="0" w:color="auto"/>
              <w:left w:val="single" w:sz="4" w:space="0" w:color="auto"/>
              <w:right w:val="single" w:sz="4" w:space="0" w:color="auto"/>
            </w:tcBorders>
          </w:tcPr>
          <w:p w:rsidR="008B1A92" w:rsidRDefault="0093140B">
            <w:pPr>
              <w:pStyle w:val="IPPArialTable"/>
            </w:pPr>
            <w:r>
              <w:rPr>
                <w:rStyle w:val="PleaseReviewParagraphId"/>
              </w:rPr>
              <w:t>[3]</w:t>
            </w:r>
            <w:r>
              <w:t xml:space="preserve">Cet encadré ne fait pas officiellement partie de l’annexe et </w:t>
            </w:r>
            <w:r>
              <w:t>il sera modifié par le Secrétariat de la CIPV après l’adoption.</w:t>
            </w:r>
          </w:p>
        </w:tc>
      </w:tr>
      <w:tr w:rsidR="008B1A92">
        <w:trPr>
          <w:trHeight w:val="286"/>
        </w:trPr>
        <w:tc>
          <w:tcPr>
            <w:tcW w:w="2273" w:type="dxa"/>
            <w:tcBorders>
              <w:left w:val="single" w:sz="4" w:space="0" w:color="auto"/>
            </w:tcBorders>
          </w:tcPr>
          <w:p w:rsidR="008B1A92" w:rsidRDefault="0093140B">
            <w:pPr>
              <w:pStyle w:val="IPPArialTable"/>
              <w:rPr>
                <w:b/>
                <w:bCs/>
              </w:rPr>
            </w:pPr>
            <w:r>
              <w:rPr>
                <w:rStyle w:val="PleaseReviewParagraphId"/>
              </w:rPr>
              <w:t>[4]</w:t>
            </w:r>
            <w:r>
              <w:rPr>
                <w:b/>
                <w:bCs/>
              </w:rPr>
              <w:t>Date du présent document</w:t>
            </w:r>
          </w:p>
        </w:tc>
        <w:tc>
          <w:tcPr>
            <w:tcW w:w="6766" w:type="dxa"/>
            <w:tcBorders>
              <w:right w:val="single" w:sz="4" w:space="0" w:color="auto"/>
            </w:tcBorders>
          </w:tcPr>
          <w:p w:rsidR="008B1A92" w:rsidRDefault="0093140B">
            <w:pPr>
              <w:pStyle w:val="IPPArialTable"/>
            </w:pPr>
            <w:r>
              <w:rPr>
                <w:rStyle w:val="PleaseReviewParagraphId"/>
              </w:rPr>
              <w:t>[5]</w:t>
            </w:r>
            <w:r>
              <w:t>2019-03-21</w:t>
            </w:r>
          </w:p>
        </w:tc>
      </w:tr>
      <w:tr w:rsidR="008B1A92">
        <w:trPr>
          <w:trHeight w:val="286"/>
        </w:trPr>
        <w:tc>
          <w:tcPr>
            <w:tcW w:w="2273" w:type="dxa"/>
            <w:tcBorders>
              <w:left w:val="single" w:sz="4" w:space="0" w:color="auto"/>
            </w:tcBorders>
          </w:tcPr>
          <w:p w:rsidR="008B1A92" w:rsidRDefault="0093140B">
            <w:pPr>
              <w:pStyle w:val="IPPArialTable"/>
              <w:rPr>
                <w:b/>
                <w:bCs/>
              </w:rPr>
            </w:pPr>
            <w:r>
              <w:rPr>
                <w:rStyle w:val="PleaseReviewParagraphId"/>
              </w:rPr>
              <w:t>[6]</w:t>
            </w:r>
            <w:r>
              <w:rPr>
                <w:b/>
                <w:bCs/>
              </w:rPr>
              <w:t>Catégorie du document</w:t>
            </w:r>
          </w:p>
        </w:tc>
        <w:tc>
          <w:tcPr>
            <w:tcW w:w="6766" w:type="dxa"/>
            <w:tcBorders>
              <w:right w:val="single" w:sz="4" w:space="0" w:color="auto"/>
            </w:tcBorders>
          </w:tcPr>
          <w:p w:rsidR="008B1A92" w:rsidRDefault="0093140B">
            <w:pPr>
              <w:pStyle w:val="IPPArialTable"/>
              <w:rPr>
                <w:highlight w:val="cyan"/>
              </w:rPr>
            </w:pPr>
            <w:r>
              <w:rPr>
                <w:rStyle w:val="PleaseReviewParagraphId"/>
              </w:rPr>
              <w:t>[7]</w:t>
            </w:r>
            <w:r>
              <w:t>Projet d’annexe à la NIMP 28</w:t>
            </w:r>
          </w:p>
        </w:tc>
      </w:tr>
      <w:tr w:rsidR="008B1A92">
        <w:trPr>
          <w:trHeight w:val="299"/>
        </w:trPr>
        <w:tc>
          <w:tcPr>
            <w:tcW w:w="2273" w:type="dxa"/>
            <w:tcBorders>
              <w:left w:val="single" w:sz="4" w:space="0" w:color="auto"/>
            </w:tcBorders>
          </w:tcPr>
          <w:p w:rsidR="008B1A92" w:rsidRDefault="0093140B">
            <w:pPr>
              <w:pStyle w:val="IPPArialTable"/>
              <w:rPr>
                <w:b/>
                <w:bCs/>
              </w:rPr>
            </w:pPr>
            <w:r>
              <w:rPr>
                <w:rStyle w:val="PleaseReviewParagraphId"/>
              </w:rPr>
              <w:t>[8]</w:t>
            </w:r>
            <w:r>
              <w:rPr>
                <w:b/>
                <w:bCs/>
              </w:rPr>
              <w:t>Étape de la préparation du document</w:t>
            </w:r>
          </w:p>
        </w:tc>
        <w:tc>
          <w:tcPr>
            <w:tcW w:w="6766" w:type="dxa"/>
            <w:tcBorders>
              <w:right w:val="single" w:sz="4" w:space="0" w:color="auto"/>
            </w:tcBorders>
          </w:tcPr>
          <w:p w:rsidR="008B1A92" w:rsidRDefault="0093140B">
            <w:pPr>
              <w:pStyle w:val="IPPArialTable"/>
            </w:pPr>
            <w:r>
              <w:rPr>
                <w:rStyle w:val="PleaseReviewParagraphId"/>
              </w:rPr>
              <w:t>[9]</w:t>
            </w:r>
            <w:r>
              <w:t>Préalable à la première consultation</w:t>
            </w:r>
          </w:p>
        </w:tc>
      </w:tr>
      <w:tr w:rsidR="008B1A92">
        <w:trPr>
          <w:trHeight w:val="491"/>
        </w:trPr>
        <w:tc>
          <w:tcPr>
            <w:tcW w:w="2273" w:type="dxa"/>
            <w:tcBorders>
              <w:left w:val="single" w:sz="4" w:space="0" w:color="auto"/>
              <w:bottom w:val="single" w:sz="2" w:space="0" w:color="7F7F7F"/>
            </w:tcBorders>
          </w:tcPr>
          <w:p w:rsidR="008B1A92" w:rsidRDefault="0093140B">
            <w:pPr>
              <w:pStyle w:val="IPPArialTable"/>
              <w:rPr>
                <w:b/>
                <w:bCs/>
              </w:rPr>
            </w:pPr>
            <w:r>
              <w:rPr>
                <w:rStyle w:val="PleaseReviewParagraphId"/>
              </w:rPr>
              <w:t>[10]</w:t>
            </w:r>
            <w:r>
              <w:rPr>
                <w:b/>
                <w:bCs/>
              </w:rPr>
              <w:t>Principales étapes</w:t>
            </w:r>
          </w:p>
        </w:tc>
        <w:tc>
          <w:tcPr>
            <w:tcW w:w="6766" w:type="dxa"/>
            <w:tcBorders>
              <w:bottom w:val="single" w:sz="2" w:space="0" w:color="7F7F7F"/>
              <w:right w:val="single" w:sz="4" w:space="0" w:color="auto"/>
            </w:tcBorders>
          </w:tcPr>
          <w:p w:rsidR="008B1A92" w:rsidRDefault="0093140B">
            <w:pPr>
              <w:pStyle w:val="IPPArialTable"/>
            </w:pPr>
            <w:r>
              <w:rPr>
                <w:rStyle w:val="PleaseReviewParagraphId"/>
              </w:rPr>
              <w:t>[11]</w:t>
            </w:r>
            <w:r>
              <w:t>2017-06 Le traitement est présenté en réponse à l’appel à communication de traitements de 2017-02.</w:t>
            </w:r>
          </w:p>
          <w:p w:rsidR="008B1A92" w:rsidRDefault="0093140B">
            <w:pPr>
              <w:pStyle w:val="IPPArialTable"/>
            </w:pPr>
            <w:r>
              <w:rPr>
                <w:rStyle w:val="PleaseReviewParagraphId"/>
              </w:rPr>
              <w:t>[12]</w:t>
            </w:r>
            <w:r>
              <w:t xml:space="preserve">2018-01 Le Groupe technique sur les traitements phytosanitaires (GTTP) examine le projet et demande un complément d’information à </w:t>
            </w:r>
            <w:r>
              <w:t xml:space="preserve">l’auteur. </w:t>
            </w:r>
          </w:p>
          <w:p w:rsidR="008B1A92" w:rsidRDefault="0093140B">
            <w:pPr>
              <w:pStyle w:val="IPPArialTable"/>
              <w:rPr>
                <w:rFonts w:cs="Arial"/>
                <w:szCs w:val="18"/>
              </w:rPr>
            </w:pPr>
            <w:r>
              <w:rPr>
                <w:rStyle w:val="PleaseReviewParagraphId"/>
              </w:rPr>
              <w:t>[13]</w:t>
            </w:r>
            <w:r>
              <w:t>2018-04 L’auteur fournit des informations complémentaires.</w:t>
            </w:r>
          </w:p>
          <w:p w:rsidR="008B1A92" w:rsidRDefault="0093140B">
            <w:pPr>
              <w:pStyle w:val="IPPArialTable"/>
            </w:pPr>
            <w:r>
              <w:rPr>
                <w:rStyle w:val="PleaseReviewParagraphId"/>
              </w:rPr>
              <w:t>[14]</w:t>
            </w:r>
            <w:r>
              <w:t xml:space="preserve">2018-05 Le Comité des normes (CN) ajoute le thème </w:t>
            </w:r>
            <w:r>
              <w:rPr>
                <w:i/>
              </w:rPr>
              <w:t xml:space="preserve">Traitement par irradiation de toutes les marchandises fraîches contre la mouche orientale des fruits </w:t>
            </w:r>
            <w:r>
              <w:t>Bactrocera dorsalis</w:t>
            </w:r>
            <w:r>
              <w:rPr>
                <w:i/>
              </w:rPr>
              <w:t xml:space="preserve"> </w:t>
            </w:r>
            <w:r>
              <w:t>(2017-0</w:t>
            </w:r>
            <w:r>
              <w:t>15) au programme de travail du GTTP avec le degré de priorité 3.</w:t>
            </w:r>
          </w:p>
          <w:p w:rsidR="008B1A92" w:rsidRDefault="0093140B">
            <w:pPr>
              <w:pStyle w:val="IPPArialTable"/>
            </w:pPr>
            <w:r>
              <w:rPr>
                <w:rStyle w:val="PleaseReviewParagraphId"/>
              </w:rPr>
              <w:t>[15]</w:t>
            </w:r>
            <w:r>
              <w:t>2018-06 Le GTTP révise le projet de texte et le recommande au CN pour consultation.</w:t>
            </w:r>
          </w:p>
          <w:p w:rsidR="008B1A92" w:rsidRDefault="0093140B">
            <w:pPr>
              <w:pStyle w:val="IPPArialTable"/>
            </w:pPr>
            <w:r>
              <w:rPr>
                <w:rStyle w:val="PleaseReviewParagraphId"/>
              </w:rPr>
              <w:t>[16]</w:t>
            </w:r>
            <w:r>
              <w:t>2018-11 Le GTTP procède à un dernier examen du projet dans le cadre d’un forum en ligne (2018_eTPPT</w:t>
            </w:r>
            <w:r>
              <w:t>_Oct_02).</w:t>
            </w:r>
          </w:p>
          <w:p w:rsidR="008B1A92" w:rsidRDefault="0093140B">
            <w:pPr>
              <w:pStyle w:val="IPPArialTable"/>
              <w:rPr>
                <w:rFonts w:cs="Arial"/>
                <w:color w:val="4472C4"/>
                <w:szCs w:val="18"/>
              </w:rPr>
            </w:pPr>
            <w:r>
              <w:rPr>
                <w:rStyle w:val="PleaseReviewParagraphId"/>
              </w:rPr>
              <w:t>[17]</w:t>
            </w:r>
            <w:r>
              <w:t>2019-01 Le CN approuve le projet par décision électronique en vue de sa présentation pour consultation (2019_eSC_May_06).</w:t>
            </w:r>
          </w:p>
        </w:tc>
      </w:tr>
      <w:tr w:rsidR="008B1A92">
        <w:trPr>
          <w:trHeight w:val="491"/>
        </w:trPr>
        <w:tc>
          <w:tcPr>
            <w:tcW w:w="2273" w:type="dxa"/>
            <w:tcBorders>
              <w:left w:val="single" w:sz="4" w:space="0" w:color="auto"/>
              <w:bottom w:val="single" w:sz="4" w:space="0" w:color="auto"/>
            </w:tcBorders>
          </w:tcPr>
          <w:p w:rsidR="008B1A92" w:rsidRDefault="0093140B">
            <w:pPr>
              <w:pStyle w:val="IPPArialTable"/>
              <w:rPr>
                <w:b/>
                <w:bCs/>
              </w:rPr>
            </w:pPr>
            <w:r>
              <w:rPr>
                <w:rStyle w:val="PleaseReviewParagraphId"/>
              </w:rPr>
              <w:t>[18]</w:t>
            </w:r>
            <w:r>
              <w:rPr>
                <w:b/>
                <w:bCs/>
              </w:rPr>
              <w:t>Expert responsable du traitement</w:t>
            </w:r>
          </w:p>
        </w:tc>
        <w:tc>
          <w:tcPr>
            <w:tcW w:w="6766" w:type="dxa"/>
            <w:tcBorders>
              <w:bottom w:val="single" w:sz="4" w:space="0" w:color="auto"/>
              <w:right w:val="single" w:sz="4" w:space="0" w:color="auto"/>
            </w:tcBorders>
          </w:tcPr>
          <w:p w:rsidR="008B1A92" w:rsidRDefault="0093140B">
            <w:pPr>
              <w:pStyle w:val="IPPArialTable"/>
            </w:pPr>
            <w:r>
              <w:rPr>
                <w:rStyle w:val="PleaseReviewParagraphId"/>
              </w:rPr>
              <w:t>[19]</w:t>
            </w:r>
            <w:r>
              <w:t>2017-07 M. Andrew PARKER (AIEA)</w:t>
            </w:r>
          </w:p>
        </w:tc>
      </w:tr>
      <w:tr w:rsidR="008B1A92">
        <w:trPr>
          <w:trHeight w:val="491"/>
        </w:trPr>
        <w:tc>
          <w:tcPr>
            <w:tcW w:w="2273" w:type="dxa"/>
            <w:tcBorders>
              <w:top w:val="single" w:sz="4" w:space="0" w:color="auto"/>
            </w:tcBorders>
          </w:tcPr>
          <w:p w:rsidR="008B1A92" w:rsidRDefault="0093140B">
            <w:pPr>
              <w:pStyle w:val="IPPArialTable"/>
              <w:rPr>
                <w:b/>
                <w:bCs/>
              </w:rPr>
            </w:pPr>
            <w:r>
              <w:rPr>
                <w:rStyle w:val="PleaseReviewParagraphId"/>
              </w:rPr>
              <w:t>[20]</w:t>
            </w:r>
            <w:r>
              <w:rPr>
                <w:b/>
                <w:bCs/>
              </w:rPr>
              <w:t>Notes</w:t>
            </w:r>
          </w:p>
        </w:tc>
        <w:tc>
          <w:tcPr>
            <w:tcW w:w="6766" w:type="dxa"/>
            <w:tcBorders>
              <w:top w:val="single" w:sz="4" w:space="0" w:color="auto"/>
            </w:tcBorders>
          </w:tcPr>
          <w:p w:rsidR="008B1A92" w:rsidRDefault="0093140B">
            <w:pPr>
              <w:pStyle w:val="IPPArialTable"/>
            </w:pPr>
            <w:r>
              <w:rPr>
                <w:rStyle w:val="PleaseReviewParagraphId"/>
              </w:rPr>
              <w:t>[21]</w:t>
            </w:r>
            <w:r>
              <w:t>2018-07 Révision éditoriale</w:t>
            </w:r>
          </w:p>
        </w:tc>
      </w:tr>
    </w:tbl>
    <w:p w:rsidR="008B1A92" w:rsidRDefault="0093140B">
      <w:pPr>
        <w:pStyle w:val="IPPHeading1"/>
      </w:pPr>
      <w:r>
        <w:rPr>
          <w:rStyle w:val="PleaseReviewParagraphId"/>
          <w:b w:val="0"/>
        </w:rPr>
        <w:t>[22]</w:t>
      </w:r>
      <w:r>
        <w:t>Champ d’application du traitement</w:t>
      </w:r>
    </w:p>
    <w:p w:rsidR="008B1A92" w:rsidRDefault="0093140B">
      <w:pPr>
        <w:pStyle w:val="IPPParagraphnumbering"/>
        <w:numPr>
          <w:ilvl w:val="0"/>
          <w:numId w:val="0"/>
        </w:numPr>
      </w:pPr>
      <w:r>
        <w:rPr>
          <w:rStyle w:val="PleaseReviewParagraphId"/>
        </w:rPr>
        <w:t>[23]</w:t>
      </w:r>
      <w:r>
        <w:t>Ce traitement décrit l’irradiation de fruits et de légumes à la dose minimale absorbée de 116 Gy afin d’empêcher l’émergence de</w:t>
      </w:r>
      <w:r>
        <w:rPr>
          <w:i/>
        </w:rPr>
        <w:t xml:space="preserve"> Bactrocera dorsalis</w:t>
      </w:r>
      <w:r>
        <w:t xml:space="preserve"> adultes avec le degré d’efficacité déclarée</w:t>
      </w:r>
      <w:r>
        <w:rPr>
          <w:rStyle w:val="FootnoteReference"/>
          <w:lang w:val="en-GB"/>
        </w:rPr>
        <w:footnoteReference w:id="1"/>
      </w:r>
      <w:r>
        <w:t xml:space="preserve">. </w:t>
      </w:r>
    </w:p>
    <w:p w:rsidR="008B1A92" w:rsidRDefault="0093140B">
      <w:pPr>
        <w:pStyle w:val="IPPHeading1"/>
      </w:pPr>
      <w:r>
        <w:rPr>
          <w:rStyle w:val="PleaseReviewParagraphId"/>
          <w:b w:val="0"/>
        </w:rPr>
        <w:lastRenderedPageBreak/>
        <w:t>[25]</w:t>
      </w:r>
      <w:r>
        <w:t xml:space="preserve">Description du </w:t>
      </w:r>
      <w:r>
        <w:t>traitement</w:t>
      </w:r>
    </w:p>
    <w:p w:rsidR="008B1A92" w:rsidRDefault="0093140B">
      <w:pPr>
        <w:pStyle w:val="IPPParagraphnumbering"/>
        <w:numPr>
          <w:ilvl w:val="0"/>
          <w:numId w:val="0"/>
        </w:numPr>
        <w:tabs>
          <w:tab w:val="left" w:pos="2552"/>
        </w:tabs>
      </w:pPr>
      <w:r>
        <w:rPr>
          <w:rStyle w:val="PleaseReviewParagraphId"/>
        </w:rPr>
        <w:t>[26]</w:t>
      </w:r>
      <w:r>
        <w:rPr>
          <w:b/>
        </w:rPr>
        <w:t>Nom du traitement</w:t>
      </w:r>
      <w:r>
        <w:tab/>
        <w:t xml:space="preserve">Traitement par irradiation contre </w:t>
      </w:r>
      <w:r>
        <w:rPr>
          <w:i/>
        </w:rPr>
        <w:t>Bactrocera dorsalis</w:t>
      </w:r>
      <w:r>
        <w:t xml:space="preserve"> </w:t>
      </w:r>
    </w:p>
    <w:p w:rsidR="008B1A92" w:rsidRDefault="0093140B">
      <w:pPr>
        <w:pStyle w:val="IPPParagraphnumbering"/>
        <w:numPr>
          <w:ilvl w:val="0"/>
          <w:numId w:val="0"/>
        </w:numPr>
        <w:tabs>
          <w:tab w:val="left" w:pos="2552"/>
        </w:tabs>
      </w:pPr>
      <w:r>
        <w:rPr>
          <w:rStyle w:val="PleaseReviewParagraphId"/>
        </w:rPr>
        <w:t>[27]</w:t>
      </w:r>
      <w:r>
        <w:rPr>
          <w:b/>
        </w:rPr>
        <w:t>Matière active</w:t>
      </w:r>
      <w:r>
        <w:tab/>
        <w:t>Sans objet</w:t>
      </w:r>
    </w:p>
    <w:p w:rsidR="008B1A92" w:rsidRDefault="0093140B">
      <w:pPr>
        <w:pStyle w:val="IPPParagraphnumbering"/>
        <w:numPr>
          <w:ilvl w:val="0"/>
          <w:numId w:val="0"/>
        </w:numPr>
        <w:tabs>
          <w:tab w:val="left" w:pos="2552"/>
        </w:tabs>
      </w:pPr>
      <w:r>
        <w:rPr>
          <w:rStyle w:val="PleaseReviewParagraphId"/>
        </w:rPr>
        <w:t>[28]</w:t>
      </w:r>
      <w:r>
        <w:rPr>
          <w:b/>
        </w:rPr>
        <w:t>Type de traitement</w:t>
      </w:r>
      <w:r>
        <w:tab/>
        <w:t>Irradiation</w:t>
      </w:r>
    </w:p>
    <w:p w:rsidR="008B1A92" w:rsidRDefault="0093140B">
      <w:pPr>
        <w:pStyle w:val="IPPParagraphnumbering"/>
        <w:numPr>
          <w:ilvl w:val="0"/>
          <w:numId w:val="0"/>
        </w:numPr>
        <w:tabs>
          <w:tab w:val="left" w:pos="2552"/>
        </w:tabs>
      </w:pPr>
      <w:r>
        <w:rPr>
          <w:rStyle w:val="PleaseReviewParagraphId"/>
        </w:rPr>
        <w:t>[29]</w:t>
      </w:r>
      <w:r>
        <w:rPr>
          <w:b/>
        </w:rPr>
        <w:t>Organisme nuisible visé</w:t>
      </w:r>
      <w:r>
        <w:tab/>
      </w:r>
      <w:r>
        <w:rPr>
          <w:i/>
        </w:rPr>
        <w:t>Bactrocera dorsalis</w:t>
      </w:r>
      <w:r>
        <w:t xml:space="preserve"> (Hendel, 1912) (Diptera: Tephritidae) </w:t>
      </w:r>
    </w:p>
    <w:p w:rsidR="008B1A92" w:rsidRDefault="0093140B">
      <w:pPr>
        <w:pStyle w:val="IPPParagraphnumbering"/>
        <w:numPr>
          <w:ilvl w:val="0"/>
          <w:numId w:val="0"/>
        </w:numPr>
        <w:tabs>
          <w:tab w:val="left" w:pos="2552"/>
        </w:tabs>
      </w:pPr>
      <w:r>
        <w:rPr>
          <w:rStyle w:val="PleaseReviewParagraphId"/>
        </w:rPr>
        <w:t>[30]</w:t>
      </w:r>
      <w:r>
        <w:rPr>
          <w:b/>
        </w:rPr>
        <w:t>Articles rég</w:t>
      </w:r>
      <w:r>
        <w:rPr>
          <w:b/>
        </w:rPr>
        <w:t>lementés visés</w:t>
      </w:r>
      <w:r>
        <w:tab/>
        <w:t xml:space="preserve">Tous les fruits et légumes pris pour hôte par </w:t>
      </w:r>
      <w:r>
        <w:rPr>
          <w:i/>
        </w:rPr>
        <w:t>Bactrocera dorsalis</w:t>
      </w:r>
      <w:r>
        <w:t xml:space="preserve"> </w:t>
      </w:r>
    </w:p>
    <w:p w:rsidR="008B1A92" w:rsidRDefault="0093140B">
      <w:pPr>
        <w:pStyle w:val="IPPHeading1"/>
      </w:pPr>
      <w:r>
        <w:rPr>
          <w:rStyle w:val="PleaseReviewParagraphId"/>
          <w:b w:val="0"/>
        </w:rPr>
        <w:t>[31]</w:t>
      </w:r>
      <w:r>
        <w:t>Protocole de traitement</w:t>
      </w:r>
    </w:p>
    <w:p w:rsidR="008B1A92" w:rsidRDefault="0093140B">
      <w:pPr>
        <w:pStyle w:val="IPPParagraphnumbering"/>
        <w:numPr>
          <w:ilvl w:val="0"/>
          <w:numId w:val="0"/>
        </w:numPr>
        <w:rPr>
          <w:rFonts w:eastAsia="Times New Roman"/>
        </w:rPr>
      </w:pPr>
      <w:r>
        <w:rPr>
          <w:rStyle w:val="PleaseReviewParagraphId"/>
        </w:rPr>
        <w:t>[32]</w:t>
      </w:r>
      <w:r>
        <w:t xml:space="preserve">Une dose minimale absorbée de 116 Gy visant à prévenir l’apparition d’individus adultes de </w:t>
      </w:r>
      <w:r>
        <w:rPr>
          <w:i/>
        </w:rPr>
        <w:t>Bactrocera dorsalis</w:t>
      </w:r>
      <w:r>
        <w:t>.</w:t>
      </w:r>
    </w:p>
    <w:p w:rsidR="008B1A92" w:rsidRDefault="0093140B">
      <w:pPr>
        <w:pStyle w:val="IPPNormal"/>
        <w:rPr>
          <w:szCs w:val="22"/>
        </w:rPr>
      </w:pPr>
      <w:r>
        <w:rPr>
          <w:rStyle w:val="PleaseReviewParagraphId"/>
        </w:rPr>
        <w:t>[33]</w:t>
      </w:r>
      <w:r>
        <w:t>On considère avec une cert</w:t>
      </w:r>
      <w:r>
        <w:t xml:space="preserve">itude de 95 % que le traitement effectué selon ce protocole empêche au moins 99,9963 % des œufs et des larves de </w:t>
      </w:r>
      <w:r>
        <w:rPr>
          <w:i/>
        </w:rPr>
        <w:t>Bactrocera dorsalis</w:t>
      </w:r>
      <w:r>
        <w:t xml:space="preserve"> d’atteindre le stade adulte.</w:t>
      </w:r>
    </w:p>
    <w:p w:rsidR="008B1A92" w:rsidRDefault="0093140B">
      <w:pPr>
        <w:pStyle w:val="IPPParagraphnumbering"/>
        <w:numPr>
          <w:ilvl w:val="0"/>
          <w:numId w:val="0"/>
        </w:numPr>
        <w:rPr>
          <w:rFonts w:eastAsia="Times New Roman"/>
        </w:rPr>
      </w:pPr>
      <w:r>
        <w:rPr>
          <w:rStyle w:val="PleaseReviewParagraphId"/>
        </w:rPr>
        <w:t>[34]</w:t>
      </w:r>
      <w:r>
        <w:t>Le traitement devrait être appliqué conformément aux prescriptions figurant dans la NIMP 1</w:t>
      </w:r>
      <w:r>
        <w:t>8 (</w:t>
      </w:r>
      <w:r>
        <w:rPr>
          <w:i/>
          <w:iCs/>
        </w:rPr>
        <w:t>Directives pour l’utilisation de l’irradiation comme mesure phytosanitaire</w:t>
      </w:r>
      <w:r>
        <w:t>).</w:t>
      </w:r>
    </w:p>
    <w:p w:rsidR="008B1A92" w:rsidRDefault="0093140B">
      <w:pPr>
        <w:pStyle w:val="IPPParagraphnumbering"/>
        <w:numPr>
          <w:ilvl w:val="0"/>
          <w:numId w:val="0"/>
        </w:numPr>
        <w:rPr>
          <w:rFonts w:eastAsia="Times New Roman"/>
        </w:rPr>
      </w:pPr>
      <w:r>
        <w:rPr>
          <w:rStyle w:val="PleaseReviewParagraphId"/>
        </w:rPr>
        <w:t>[35]</w:t>
      </w:r>
      <w:r>
        <w:t>Ce traitement ne devrait pas être appliqué aux fruits et légumes entreposés sous atmosphère modifiée car celle-ci peut en compromettre l’efficacité.</w:t>
      </w:r>
    </w:p>
    <w:p w:rsidR="008B1A92" w:rsidRDefault="0093140B">
      <w:pPr>
        <w:pStyle w:val="IPPHeading1"/>
      </w:pPr>
      <w:r>
        <w:rPr>
          <w:rStyle w:val="PleaseReviewParagraphId"/>
          <w:b w:val="0"/>
        </w:rPr>
        <w:t>[36]</w:t>
      </w:r>
      <w:r>
        <w:t>Autres informations</w:t>
      </w:r>
      <w:r>
        <w:t xml:space="preserve"> pertinentes</w:t>
      </w:r>
    </w:p>
    <w:p w:rsidR="008B1A92" w:rsidRDefault="0093140B">
      <w:pPr>
        <w:pStyle w:val="IPPParagraphnumbering"/>
        <w:numPr>
          <w:ilvl w:val="0"/>
          <w:numId w:val="0"/>
        </w:numPr>
      </w:pPr>
      <w:r>
        <w:rPr>
          <w:rStyle w:val="PleaseReviewParagraphId"/>
        </w:rPr>
        <w:t>[37]</w:t>
      </w:r>
      <w:r>
        <w:t xml:space="preserve">Étant donné que l’irradiation ne provoque pas forcément une mortalité absolue, les inspecteurs peuvent trouver des individus vivants mais non viables de </w:t>
      </w:r>
      <w:r>
        <w:rPr>
          <w:i/>
        </w:rPr>
        <w:t>Bactrocera dorsalis</w:t>
      </w:r>
      <w:r>
        <w:t xml:space="preserve"> (larves ou individus dans puparium) au cours de l’inspection. Ceci</w:t>
      </w:r>
      <w:r>
        <w:t xml:space="preserve"> ne signifie pas que le traitement ait échoué.</w:t>
      </w:r>
    </w:p>
    <w:p w:rsidR="008B1A92" w:rsidRDefault="0093140B">
      <w:pPr>
        <w:pStyle w:val="IPPParagraphnumbering"/>
        <w:numPr>
          <w:ilvl w:val="0"/>
          <w:numId w:val="0"/>
        </w:numPr>
      </w:pPr>
      <w:r>
        <w:rPr>
          <w:rStyle w:val="PleaseReviewParagraphId"/>
        </w:rPr>
        <w:t>[38]</w:t>
      </w:r>
      <w:r>
        <w:t xml:space="preserve">Le Groupe technique sur les traitements phytosanitaires a évalué ce traitement en se fondant sur les recherches publiées par Zhao </w:t>
      </w:r>
      <w:r>
        <w:rPr>
          <w:i/>
          <w:iCs/>
        </w:rPr>
        <w:t>et al</w:t>
      </w:r>
      <w:r>
        <w:t xml:space="preserve">. (2017‎), qui ont établi l’efficacité de l’irradiation en tant que </w:t>
      </w:r>
      <w:bookmarkStart w:id="1" w:name="_GoBack"/>
      <w:bookmarkEnd w:id="1"/>
      <w:r>
        <w:t>tr</w:t>
      </w:r>
      <w:r>
        <w:t xml:space="preserve">aitement de </w:t>
      </w:r>
      <w:r>
        <w:rPr>
          <w:i/>
        </w:rPr>
        <w:t xml:space="preserve">Psidium guajava </w:t>
      </w:r>
      <w:r>
        <w:t xml:space="preserve">contre </w:t>
      </w:r>
      <w:r>
        <w:rPr>
          <w:i/>
          <w:iCs/>
        </w:rPr>
        <w:t>B. dorsalis.</w:t>
      </w:r>
      <w:r>
        <w:rPr>
          <w:i/>
        </w:rPr>
        <w:t xml:space="preserve"> </w:t>
      </w:r>
      <w:r>
        <w:t xml:space="preserve">Les travaux de Follett et Armstrong (2004) viennent appuyer ce protocole. </w:t>
      </w:r>
    </w:p>
    <w:p w:rsidR="008B1A92" w:rsidRDefault="0093140B">
      <w:pPr>
        <w:pStyle w:val="IPPParagraphnumbering"/>
        <w:numPr>
          <w:ilvl w:val="0"/>
          <w:numId w:val="0"/>
        </w:numPr>
      </w:pPr>
      <w:r>
        <w:rPr>
          <w:rStyle w:val="PleaseReviewParagraphId"/>
        </w:rPr>
        <w:t>[39]</w:t>
      </w:r>
      <w:r>
        <w:t xml:space="preserve">L’efficacité du protocole a été calculée à partir d’un échantillon totalisant 100 684 larves au troisième stade chez lesquelles </w:t>
      </w:r>
      <w:r>
        <w:t>le traitement a empêché l’apparition d’adultes, tandis que, dans le groupe témoin, 81 pour cent des individus sont passés au stade adulte.</w:t>
      </w:r>
    </w:p>
    <w:p w:rsidR="008B1A92" w:rsidRDefault="0093140B">
      <w:pPr>
        <w:pStyle w:val="IPPParagraphnumbering"/>
        <w:numPr>
          <w:ilvl w:val="0"/>
          <w:numId w:val="0"/>
        </w:numPr>
      </w:pPr>
      <w:r>
        <w:rPr>
          <w:rStyle w:val="PleaseReviewParagraphId"/>
        </w:rPr>
        <w:t>[40]</w:t>
      </w:r>
      <w:r>
        <w:t>L’extrapolation de l’efficacité du traitement à tous les fruits et légumes est fondée sur les connaissances et l’</w:t>
      </w:r>
      <w:r>
        <w:t>expérience acquises montrant que les systèmes de dosimétrie mesurent la dose d’irradiation effectivement absorbée par l’organisme nuisible visé, indépendamment de la marchandise hôte, et sur les résultats de travaux de recherche relatifs à divers organisme</w:t>
      </w:r>
      <w:r>
        <w:t xml:space="preserve">s nuisibles et marchandises. Ces études portent notamment sur les organismes nuisibles et plantes hôtes ci-après: </w:t>
      </w:r>
      <w:r>
        <w:rPr>
          <w:i/>
        </w:rPr>
        <w:t xml:space="preserve">Anastrepha fraterculus </w:t>
      </w:r>
      <w:r>
        <w:t>(</w:t>
      </w:r>
      <w:r>
        <w:rPr>
          <w:i/>
        </w:rPr>
        <w:t xml:space="preserve">Eugenia uvalha, Malus pumila </w:t>
      </w:r>
      <w:r>
        <w:t>et</w:t>
      </w:r>
      <w:r>
        <w:rPr>
          <w:i/>
        </w:rPr>
        <w:t xml:space="preserve"> Mangifera indica</w:t>
      </w:r>
      <w:r>
        <w:t xml:space="preserve">); </w:t>
      </w:r>
      <w:r>
        <w:rPr>
          <w:i/>
        </w:rPr>
        <w:t>A. ludens</w:t>
      </w:r>
      <w:r>
        <w:t xml:space="preserve"> (</w:t>
      </w:r>
      <w:r>
        <w:rPr>
          <w:i/>
        </w:rPr>
        <w:t>Citrus paradisi</w:t>
      </w:r>
      <w:r>
        <w:rPr>
          <w:i/>
          <w:iCs/>
        </w:rPr>
        <w:t>,</w:t>
      </w:r>
      <w:r>
        <w:rPr>
          <w:i/>
        </w:rPr>
        <w:t xml:space="preserve"> Citrus sinensis</w:t>
      </w:r>
      <w:r>
        <w:t xml:space="preserve"> et </w:t>
      </w:r>
      <w:r>
        <w:rPr>
          <w:i/>
        </w:rPr>
        <w:t xml:space="preserve">M. indica </w:t>
      </w:r>
      <w:r>
        <w:t xml:space="preserve">et régime </w:t>
      </w:r>
      <w:r>
        <w:t xml:space="preserve">alimentaire artificiel), </w:t>
      </w:r>
      <w:r>
        <w:rPr>
          <w:i/>
        </w:rPr>
        <w:t>A. obliqua</w:t>
      </w:r>
      <w:r>
        <w:t xml:space="preserve"> (</w:t>
      </w:r>
      <w:r>
        <w:rPr>
          <w:i/>
        </w:rPr>
        <w:t>Averrhoa carambola, C. sinensis</w:t>
      </w:r>
      <w:r>
        <w:t xml:space="preserve"> et </w:t>
      </w:r>
      <w:r>
        <w:rPr>
          <w:i/>
        </w:rPr>
        <w:t>Psidium guajaba</w:t>
      </w:r>
      <w:r>
        <w:t xml:space="preserve">); </w:t>
      </w:r>
      <w:r>
        <w:rPr>
          <w:i/>
        </w:rPr>
        <w:t>A. suspensa</w:t>
      </w:r>
      <w:r>
        <w:t xml:space="preserve"> (</w:t>
      </w:r>
      <w:r>
        <w:rPr>
          <w:i/>
        </w:rPr>
        <w:t>A. carambola</w:t>
      </w:r>
      <w:r>
        <w:t xml:space="preserve">, </w:t>
      </w:r>
      <w:r>
        <w:rPr>
          <w:i/>
        </w:rPr>
        <w:t>C. paradisi</w:t>
      </w:r>
      <w:r>
        <w:t xml:space="preserve"> et </w:t>
      </w:r>
      <w:r>
        <w:rPr>
          <w:i/>
        </w:rPr>
        <w:t>M. indica</w:t>
      </w:r>
      <w:r>
        <w:t xml:space="preserve">), </w:t>
      </w:r>
      <w:r>
        <w:rPr>
          <w:i/>
        </w:rPr>
        <w:t>Bactrocera tryoni</w:t>
      </w:r>
      <w:r>
        <w:t xml:space="preserve"> (</w:t>
      </w:r>
      <w:r>
        <w:rPr>
          <w:i/>
        </w:rPr>
        <w:t>C. sinensis</w:t>
      </w:r>
      <w:r>
        <w:t xml:space="preserve">, </w:t>
      </w:r>
      <w:r>
        <w:rPr>
          <w:i/>
        </w:rPr>
        <w:t>Solanum lycopersicum</w:t>
      </w:r>
      <w:r>
        <w:t xml:space="preserve">, </w:t>
      </w:r>
      <w:r>
        <w:rPr>
          <w:i/>
        </w:rPr>
        <w:t>M. pumila</w:t>
      </w:r>
      <w:r>
        <w:t xml:space="preserve">, </w:t>
      </w:r>
      <w:r>
        <w:rPr>
          <w:i/>
        </w:rPr>
        <w:t>M. indica</w:t>
      </w:r>
      <w:r>
        <w:t xml:space="preserve">, </w:t>
      </w:r>
      <w:r>
        <w:rPr>
          <w:i/>
        </w:rPr>
        <w:t>Persea americana</w:t>
      </w:r>
      <w:r>
        <w:t xml:space="preserve"> et </w:t>
      </w:r>
      <w:r>
        <w:rPr>
          <w:i/>
        </w:rPr>
        <w:t>Prunus avium</w:t>
      </w:r>
      <w:r>
        <w:t xml:space="preserve">), </w:t>
      </w:r>
      <w:r>
        <w:rPr>
          <w:i/>
        </w:rPr>
        <w:t>P</w:t>
      </w:r>
      <w:r>
        <w:rPr>
          <w:i/>
        </w:rPr>
        <w:t xml:space="preserve">seudococcus jackbeardsleyi </w:t>
      </w:r>
      <w:r>
        <w:t>(</w:t>
      </w:r>
      <w:r>
        <w:rPr>
          <w:i/>
        </w:rPr>
        <w:t>Cucurbita</w:t>
      </w:r>
      <w:r>
        <w:t xml:space="preserve"> sp. et </w:t>
      </w:r>
      <w:r>
        <w:rPr>
          <w:i/>
        </w:rPr>
        <w:t>Solanum tuberosum</w:t>
      </w:r>
      <w:r>
        <w:t xml:space="preserve">), </w:t>
      </w:r>
      <w:r>
        <w:rPr>
          <w:i/>
        </w:rPr>
        <w:t>Tribolium confusum</w:t>
      </w:r>
      <w:r>
        <w:t xml:space="preserve"> (</w:t>
      </w:r>
      <w:r>
        <w:rPr>
          <w:i/>
        </w:rPr>
        <w:t>Triticum aestivum, Hordium vulgare</w:t>
      </w:r>
      <w:r>
        <w:t xml:space="preserve"> et </w:t>
      </w:r>
      <w:r>
        <w:rPr>
          <w:i/>
        </w:rPr>
        <w:t>Zea mays</w:t>
      </w:r>
      <w:r>
        <w:t xml:space="preserve">), </w:t>
      </w:r>
      <w:r>
        <w:rPr>
          <w:i/>
        </w:rPr>
        <w:t>Cydia pomonella</w:t>
      </w:r>
      <w:r>
        <w:t xml:space="preserve"> (</w:t>
      </w:r>
      <w:r>
        <w:rPr>
          <w:i/>
        </w:rPr>
        <w:t>M. domestica</w:t>
      </w:r>
      <w:r>
        <w:t xml:space="preserve"> et régime alimentaire artificiel) et </w:t>
      </w:r>
      <w:r>
        <w:rPr>
          <w:i/>
        </w:rPr>
        <w:t>Grapholita molesta</w:t>
      </w:r>
      <w:r>
        <w:t xml:space="preserve"> (</w:t>
      </w:r>
      <w:r>
        <w:rPr>
          <w:i/>
        </w:rPr>
        <w:t>M. pumila</w:t>
      </w:r>
      <w:r>
        <w:t xml:space="preserve"> et régime alimentaire art</w:t>
      </w:r>
      <w:r>
        <w:t xml:space="preserve">ificiel) (Bustos </w:t>
      </w:r>
      <w:r>
        <w:rPr>
          <w:i/>
        </w:rPr>
        <w:t>et al.</w:t>
      </w:r>
      <w:r>
        <w:t xml:space="preserve">, 2004; Gould et von Windeguth, 1991; Hallman, 2004a, 2004b, 2013; Hallman et Martinez, 2001; Hallman </w:t>
      </w:r>
      <w:r>
        <w:rPr>
          <w:i/>
        </w:rPr>
        <w:t>et al</w:t>
      </w:r>
      <w:r>
        <w:t xml:space="preserve">., 2010; Jessup </w:t>
      </w:r>
      <w:r>
        <w:rPr>
          <w:i/>
        </w:rPr>
        <w:t>et al.</w:t>
      </w:r>
      <w:r>
        <w:t>, 1992; Mansour, 2003; Tuncbilek et Kansu, 1966; von Windeguth, 1986; von Windeguth et Ismail, 1987; Zha</w:t>
      </w:r>
      <w:r>
        <w:t xml:space="preserve">n </w:t>
      </w:r>
      <w:r>
        <w:rPr>
          <w:i/>
        </w:rPr>
        <w:t>et al</w:t>
      </w:r>
      <w:r>
        <w:t>., 2016). Il est toutefois reconnu que l’efficacité du traitement n’a pas été vérifiée sur tous les fruits et légumes qui sont susceptibles d’être hôtes de l’organisme nuisible visé. Si à l’avenir de nouveaux éléments de connaissance scientifiques i</w:t>
      </w:r>
      <w:r>
        <w:t>ndiquent que le traitement ne peut être extrapolé à tous les hôtes de cet organisme, le traitement sera révisé.</w:t>
      </w:r>
    </w:p>
    <w:p w:rsidR="008B1A92" w:rsidRDefault="0093140B">
      <w:pPr>
        <w:pStyle w:val="IPPHeading1"/>
        <w:keepLines/>
      </w:pPr>
      <w:r>
        <w:rPr>
          <w:rStyle w:val="PleaseReviewParagraphId"/>
          <w:b w:val="0"/>
        </w:rPr>
        <w:lastRenderedPageBreak/>
        <w:t>[41]</w:t>
      </w:r>
      <w:r>
        <w:t>Références</w:t>
      </w:r>
    </w:p>
    <w:p w:rsidR="008B1A92" w:rsidRDefault="0093140B">
      <w:pPr>
        <w:pStyle w:val="IPPParagraphnumbering"/>
        <w:keepNext/>
        <w:keepLines/>
        <w:numPr>
          <w:ilvl w:val="0"/>
          <w:numId w:val="0"/>
        </w:numPr>
      </w:pPr>
      <w:r>
        <w:rPr>
          <w:rStyle w:val="PleaseReviewParagraphId"/>
        </w:rPr>
        <w:t>[42]</w:t>
      </w:r>
      <w:r>
        <w:t>La présente annexe peut renvoyer à des normes internationales pour les mesures phytosanitaires (NIMP). Les NIMP sont publiées</w:t>
      </w:r>
      <w:r>
        <w:t xml:space="preserve"> sur le Portail phytosanitaire international (PPI), à la page: </w:t>
      </w:r>
      <w:hyperlink r:id="rId8" w:history="1">
        <w:r>
          <w:rPr>
            <w:rStyle w:val="Hyperlink"/>
          </w:rPr>
          <w:t>https://www.ippc.int/core-activities/standards-setting/ispms</w:t>
        </w:r>
      </w:hyperlink>
      <w:r>
        <w:t>.</w:t>
      </w:r>
    </w:p>
    <w:bookmarkEnd w:id="0"/>
    <w:p w:rsidR="008B1A92" w:rsidRDefault="0093140B">
      <w:pPr>
        <w:pStyle w:val="IPPReferences"/>
        <w:keepNext/>
        <w:keepLines/>
        <w:rPr>
          <w:lang w:val="en-US"/>
        </w:rPr>
      </w:pPr>
      <w:r>
        <w:rPr>
          <w:rStyle w:val="PleaseReviewParagraphId"/>
        </w:rPr>
        <w:t>[43]</w:t>
      </w:r>
      <w:r>
        <w:rPr>
          <w:b/>
          <w:lang w:val="en-US"/>
        </w:rPr>
        <w:t xml:space="preserve">Bustos, M. E., Enkerlin, W., Reyes, J., et Toledo, J. </w:t>
      </w:r>
      <w:r>
        <w:rPr>
          <w:lang w:val="en-US"/>
        </w:rPr>
        <w:t xml:space="preserve">2004. Irradiation of mangoes as a postharvest quarantine treatment for fruit flies (Diptera: Tephritidae). </w:t>
      </w:r>
      <w:r>
        <w:rPr>
          <w:i/>
          <w:lang w:val="en-US"/>
        </w:rPr>
        <w:t>Journal of Economic Entomology</w:t>
      </w:r>
      <w:r>
        <w:rPr>
          <w:lang w:val="en-US"/>
        </w:rPr>
        <w:t>, 97: 286</w:t>
      </w:r>
      <w:r>
        <w:rPr>
          <w:lang w:val="en-US"/>
        </w:rPr>
        <w:noBreakHyphen/>
        <w:t>292.</w:t>
      </w:r>
    </w:p>
    <w:p w:rsidR="008B1A92" w:rsidRDefault="0093140B">
      <w:pPr>
        <w:pStyle w:val="IPPReferences"/>
        <w:rPr>
          <w:lang w:val="en-US"/>
        </w:rPr>
      </w:pPr>
      <w:r>
        <w:rPr>
          <w:rStyle w:val="PleaseReviewParagraphId"/>
        </w:rPr>
        <w:t>[44]</w:t>
      </w:r>
      <w:r>
        <w:rPr>
          <w:b/>
          <w:bCs/>
          <w:lang w:val="en-US"/>
        </w:rPr>
        <w:t>Follett, P. A., et Armstrong, J. W.</w:t>
      </w:r>
      <w:r>
        <w:rPr>
          <w:lang w:val="en-US"/>
        </w:rPr>
        <w:t xml:space="preserve"> 2004. Revi</w:t>
      </w:r>
      <w:r>
        <w:rPr>
          <w:lang w:val="en-US"/>
        </w:rPr>
        <w:t xml:space="preserve">sed irradiation doses to control melon fly, ‎Mediterranean fruit fly, and oriental fruit fly (Diptera: Tephritidae) and a generic dose ‎for tephritid fruit flies. </w:t>
      </w:r>
      <w:r>
        <w:rPr>
          <w:i/>
          <w:lang w:val="en-US"/>
        </w:rPr>
        <w:t>Journal of Economic Entomology</w:t>
      </w:r>
      <w:r>
        <w:rPr>
          <w:lang w:val="en-US"/>
        </w:rPr>
        <w:t>, 97(4): 1254</w:t>
      </w:r>
      <w:r>
        <w:rPr>
          <w:lang w:val="en-US"/>
        </w:rPr>
        <w:noBreakHyphen/>
        <w:t>1262.‎</w:t>
      </w:r>
    </w:p>
    <w:p w:rsidR="008B1A92" w:rsidRDefault="0093140B">
      <w:pPr>
        <w:pStyle w:val="IPPReferences"/>
        <w:rPr>
          <w:b/>
          <w:bCs/>
          <w:lang w:val="en-US"/>
        </w:rPr>
      </w:pPr>
      <w:r>
        <w:rPr>
          <w:rStyle w:val="PleaseReviewParagraphId"/>
        </w:rPr>
        <w:t>[45]</w:t>
      </w:r>
      <w:r>
        <w:rPr>
          <w:b/>
          <w:lang w:val="en-US"/>
        </w:rPr>
        <w:t>Gould, W. P., et von Windeguth, D. L.</w:t>
      </w:r>
      <w:r>
        <w:rPr>
          <w:lang w:val="en-US"/>
        </w:rPr>
        <w:t xml:space="preserve"> </w:t>
      </w:r>
      <w:r>
        <w:rPr>
          <w:lang w:val="en-US"/>
        </w:rPr>
        <w:t xml:space="preserve">1991. Gamma irradiation as a quarantine treatment for carambolas infested with Caribbean fruit flies. </w:t>
      </w:r>
      <w:r>
        <w:rPr>
          <w:i/>
          <w:lang w:val="en-US"/>
        </w:rPr>
        <w:t>Florida Entomologist</w:t>
      </w:r>
      <w:r>
        <w:rPr>
          <w:lang w:val="en-US"/>
        </w:rPr>
        <w:t>, 74: 297</w:t>
      </w:r>
      <w:r>
        <w:rPr>
          <w:lang w:val="en-US"/>
        </w:rPr>
        <w:noBreakHyphen/>
        <w:t>300.</w:t>
      </w:r>
    </w:p>
    <w:p w:rsidR="008B1A92" w:rsidRDefault="0093140B">
      <w:pPr>
        <w:pStyle w:val="IPPReferences"/>
        <w:rPr>
          <w:lang w:val="en-US"/>
        </w:rPr>
      </w:pPr>
      <w:r>
        <w:rPr>
          <w:rStyle w:val="PleaseReviewParagraphId"/>
        </w:rPr>
        <w:t>[46]</w:t>
      </w:r>
      <w:r>
        <w:rPr>
          <w:b/>
          <w:lang w:val="en-US"/>
        </w:rPr>
        <w:t>Hallman, G. J.</w:t>
      </w:r>
      <w:r>
        <w:rPr>
          <w:lang w:val="en-US"/>
        </w:rPr>
        <w:t xml:space="preserve"> 2004a. Ionizing irradiation quarantine treatment against oriental fruit moth (Lepidoptera: Tortricid</w:t>
      </w:r>
      <w:r>
        <w:rPr>
          <w:lang w:val="en-US"/>
        </w:rPr>
        <w:t xml:space="preserve">ae) in ambient and hypoxic atmospheres. </w:t>
      </w:r>
      <w:r>
        <w:rPr>
          <w:i/>
          <w:lang w:val="en-US"/>
        </w:rPr>
        <w:t>Journal of Economic Entomology</w:t>
      </w:r>
      <w:r>
        <w:rPr>
          <w:lang w:val="en-US"/>
        </w:rPr>
        <w:t>, 97: 824</w:t>
      </w:r>
      <w:r>
        <w:rPr>
          <w:lang w:val="en-US"/>
        </w:rPr>
        <w:noBreakHyphen/>
        <w:t>827.</w:t>
      </w:r>
    </w:p>
    <w:p w:rsidR="008B1A92" w:rsidRDefault="0093140B">
      <w:pPr>
        <w:pStyle w:val="IPPReferences"/>
        <w:rPr>
          <w:bCs/>
          <w:lang w:val="en-US"/>
        </w:rPr>
      </w:pPr>
      <w:r>
        <w:rPr>
          <w:rStyle w:val="PleaseReviewParagraphId"/>
        </w:rPr>
        <w:t>[47]</w:t>
      </w:r>
      <w:r>
        <w:rPr>
          <w:b/>
          <w:lang w:val="en-US"/>
        </w:rPr>
        <w:t xml:space="preserve">Hallman, G. J. </w:t>
      </w:r>
      <w:r>
        <w:rPr>
          <w:lang w:val="en-US"/>
        </w:rPr>
        <w:t xml:space="preserve">2004b. Irradiation disinfestation of apple maggot (Diptera: Tephritidae) in hypoxic and low-temperature storage. </w:t>
      </w:r>
      <w:r>
        <w:rPr>
          <w:bCs/>
          <w:i/>
          <w:iCs/>
          <w:lang w:val="en-US"/>
        </w:rPr>
        <w:t>Journal of Economic Entomology</w:t>
      </w:r>
      <w:r>
        <w:rPr>
          <w:lang w:val="en-US"/>
        </w:rPr>
        <w:t>, 97: 124</w:t>
      </w:r>
      <w:r>
        <w:rPr>
          <w:lang w:val="en-US"/>
        </w:rPr>
        <w:t>5</w:t>
      </w:r>
      <w:r>
        <w:rPr>
          <w:lang w:val="en-US"/>
        </w:rPr>
        <w:noBreakHyphen/>
        <w:t>1248.</w:t>
      </w:r>
    </w:p>
    <w:p w:rsidR="008B1A92" w:rsidRDefault="0093140B">
      <w:pPr>
        <w:pStyle w:val="IPPReferences"/>
        <w:rPr>
          <w:lang w:val="en-US"/>
        </w:rPr>
      </w:pPr>
      <w:r>
        <w:rPr>
          <w:rStyle w:val="PleaseReviewParagraphId"/>
        </w:rPr>
        <w:t>[48]</w:t>
      </w:r>
      <w:r>
        <w:rPr>
          <w:b/>
          <w:lang w:val="en-US"/>
        </w:rPr>
        <w:t>Hallman, G. J.</w:t>
      </w:r>
      <w:r>
        <w:rPr>
          <w:lang w:val="en-US"/>
        </w:rPr>
        <w:t xml:space="preserve"> 2013. Rationale for a generic phytosanitary irradiation dose of 70 Gy for the genus </w:t>
      </w:r>
      <w:r>
        <w:rPr>
          <w:i/>
          <w:lang w:val="en-US"/>
        </w:rPr>
        <w:t>Antastrepha</w:t>
      </w:r>
      <w:r>
        <w:rPr>
          <w:lang w:val="en-US"/>
        </w:rPr>
        <w:t xml:space="preserve"> (Diptera: Tephritidae). </w:t>
      </w:r>
      <w:r>
        <w:rPr>
          <w:i/>
          <w:lang w:val="en-US"/>
        </w:rPr>
        <w:t>Florida Entomologist</w:t>
      </w:r>
      <w:r>
        <w:rPr>
          <w:lang w:val="en-US"/>
        </w:rPr>
        <w:t>, 96(3): 983</w:t>
      </w:r>
      <w:r>
        <w:rPr>
          <w:lang w:val="en-US"/>
        </w:rPr>
        <w:noBreakHyphen/>
        <w:t>990.</w:t>
      </w:r>
    </w:p>
    <w:p w:rsidR="008B1A92" w:rsidRDefault="0093140B">
      <w:pPr>
        <w:pStyle w:val="IPPReferences"/>
        <w:rPr>
          <w:bCs/>
          <w:lang w:val="en-US"/>
        </w:rPr>
      </w:pPr>
      <w:r>
        <w:rPr>
          <w:rStyle w:val="PleaseReviewParagraphId"/>
        </w:rPr>
        <w:t>[49]</w:t>
      </w:r>
      <w:r>
        <w:rPr>
          <w:b/>
          <w:bCs/>
          <w:lang w:val="en-US"/>
        </w:rPr>
        <w:t xml:space="preserve">Hallman, G. J., Levang-Brilz, N. M., Zettler, J. L., </w:t>
      </w:r>
      <w:r>
        <w:rPr>
          <w:b/>
          <w:lang w:val="en-US"/>
        </w:rPr>
        <w:t>et</w:t>
      </w:r>
      <w:r>
        <w:rPr>
          <w:b/>
          <w:bCs/>
          <w:lang w:val="en-US"/>
        </w:rPr>
        <w:t xml:space="preserve"> Winborne, I</w:t>
      </w:r>
      <w:r>
        <w:rPr>
          <w:b/>
          <w:bCs/>
          <w:lang w:val="en-US"/>
        </w:rPr>
        <w:t>. C.</w:t>
      </w:r>
      <w:r>
        <w:rPr>
          <w:lang w:val="en-US"/>
        </w:rPr>
        <w:t xml:space="preserve"> 2010. Factors affecting ionizing radiation phytosanitary treatments, and implications for research and generic treatments. </w:t>
      </w:r>
      <w:r>
        <w:rPr>
          <w:i/>
          <w:lang w:val="en-US"/>
        </w:rPr>
        <w:t>Journal of Economic Entomology</w:t>
      </w:r>
      <w:r>
        <w:rPr>
          <w:lang w:val="en-US"/>
        </w:rPr>
        <w:t>, 103: 1950</w:t>
      </w:r>
      <w:r>
        <w:rPr>
          <w:lang w:val="en-US"/>
        </w:rPr>
        <w:noBreakHyphen/>
        <w:t>1963.</w:t>
      </w:r>
    </w:p>
    <w:p w:rsidR="008B1A92" w:rsidRDefault="0093140B">
      <w:pPr>
        <w:pStyle w:val="IPPReferences"/>
        <w:rPr>
          <w:b/>
          <w:bCs/>
          <w:lang w:val="en-US"/>
        </w:rPr>
      </w:pPr>
      <w:r>
        <w:rPr>
          <w:rStyle w:val="PleaseReviewParagraphId"/>
        </w:rPr>
        <w:t>[50]</w:t>
      </w:r>
      <w:r>
        <w:rPr>
          <w:b/>
          <w:lang w:val="en-US"/>
        </w:rPr>
        <w:t>Hallman, G. J., et Martinez, L. R.</w:t>
      </w:r>
      <w:r>
        <w:rPr>
          <w:lang w:val="en-US"/>
        </w:rPr>
        <w:t xml:space="preserve"> 2001. Ionizing irradiation quarantine treatment against Mexican fruit fly (Diptera: Tephritidae) in citrus fruits. </w:t>
      </w:r>
      <w:r>
        <w:rPr>
          <w:i/>
          <w:lang w:val="en-US"/>
        </w:rPr>
        <w:t>Postharvest Biology and Technology</w:t>
      </w:r>
      <w:r>
        <w:rPr>
          <w:lang w:val="en-US"/>
        </w:rPr>
        <w:t>, 23: 71</w:t>
      </w:r>
      <w:r>
        <w:rPr>
          <w:lang w:val="en-US"/>
        </w:rPr>
        <w:noBreakHyphen/>
        <w:t>77.</w:t>
      </w:r>
    </w:p>
    <w:p w:rsidR="008B1A92" w:rsidRDefault="0093140B">
      <w:pPr>
        <w:pStyle w:val="IPPReferences"/>
        <w:rPr>
          <w:b/>
          <w:bCs/>
        </w:rPr>
      </w:pPr>
      <w:r>
        <w:rPr>
          <w:rStyle w:val="PleaseReviewParagraphId"/>
        </w:rPr>
        <w:t>[51]</w:t>
      </w:r>
      <w:r>
        <w:rPr>
          <w:b/>
          <w:lang w:val="en-US"/>
        </w:rPr>
        <w:t>Jessup, A. J., Rigney, C. J., Millar, A., Sloggett, R. F., et Quinn, N. M.</w:t>
      </w:r>
      <w:r>
        <w:rPr>
          <w:lang w:val="en-US"/>
        </w:rPr>
        <w:t xml:space="preserve"> 1992. Gamma ir</w:t>
      </w:r>
      <w:r>
        <w:rPr>
          <w:lang w:val="en-US"/>
        </w:rPr>
        <w:t xml:space="preserve">radiation as a commodity treatment against the Queensland fruit fly in fresh fruit. In </w:t>
      </w:r>
      <w:r>
        <w:rPr>
          <w:i/>
          <w:lang w:val="en-US"/>
        </w:rPr>
        <w:t>Use of irradiation as a quarantine treatment of food and agricultural commodities</w:t>
      </w:r>
      <w:r>
        <w:rPr>
          <w:lang w:val="en-US"/>
        </w:rPr>
        <w:t>. Proceedings of the Final Research Coordination Meeting on Use of Irradiation as a Quar</w:t>
      </w:r>
      <w:r>
        <w:rPr>
          <w:lang w:val="en-US"/>
        </w:rPr>
        <w:t>antine Treatment of Food and Agricultural Commodities (compte rendu de la réunion sur l’emploi de l’irradiation comme traitement de quarantaine de denrées alimentaires et agricoles), Kuala Lumpur, août 1990, pp. 13</w:t>
      </w:r>
      <w:r>
        <w:rPr>
          <w:lang w:val="en-US"/>
        </w:rPr>
        <w:noBreakHyphen/>
        <w:t xml:space="preserve">42. </w:t>
      </w:r>
      <w:r>
        <w:t>Vienne, Agence internationale de l’én</w:t>
      </w:r>
      <w:r>
        <w:t>ergie atomique.</w:t>
      </w:r>
    </w:p>
    <w:p w:rsidR="008B1A92" w:rsidRDefault="0093140B">
      <w:pPr>
        <w:pStyle w:val="IPPReferences"/>
        <w:rPr>
          <w:lang w:val="en-US"/>
        </w:rPr>
      </w:pPr>
      <w:r>
        <w:rPr>
          <w:rStyle w:val="PleaseReviewParagraphId"/>
        </w:rPr>
        <w:t>[52]</w:t>
      </w:r>
      <w:r>
        <w:rPr>
          <w:b/>
          <w:bCs/>
        </w:rPr>
        <w:t xml:space="preserve">Mansour, M. </w:t>
      </w:r>
      <w:r>
        <w:t>2003.</w:t>
      </w:r>
      <w:r>
        <w:rPr>
          <w:b/>
          <w:bCs/>
        </w:rPr>
        <w:t xml:space="preserve"> </w:t>
      </w:r>
      <w:r>
        <w:t xml:space="preserve">Gamma irradiation as a quarantine treatment for apples infested by codling moth (Lepidoptera: Tortricidae). </w:t>
      </w:r>
      <w:r>
        <w:rPr>
          <w:i/>
          <w:iCs/>
          <w:lang w:val="en-US"/>
        </w:rPr>
        <w:t>Journal of Applied Entomology</w:t>
      </w:r>
      <w:r>
        <w:rPr>
          <w:lang w:val="en-US"/>
        </w:rPr>
        <w:t>, 127: 137</w:t>
      </w:r>
      <w:r>
        <w:rPr>
          <w:lang w:val="en-US"/>
        </w:rPr>
        <w:noBreakHyphen/>
        <w:t>141.</w:t>
      </w:r>
    </w:p>
    <w:p w:rsidR="008B1A92" w:rsidRDefault="0093140B">
      <w:pPr>
        <w:pStyle w:val="IPPReferences"/>
      </w:pPr>
      <w:r>
        <w:rPr>
          <w:rStyle w:val="PleaseReviewParagraphId"/>
        </w:rPr>
        <w:t>[53]</w:t>
      </w:r>
      <w:r>
        <w:rPr>
          <w:b/>
          <w:lang w:val="en-US"/>
        </w:rPr>
        <w:t>Tuncbilek, A. S., et Kansu, I. A.</w:t>
      </w:r>
      <w:r>
        <w:rPr>
          <w:lang w:val="en-US"/>
        </w:rPr>
        <w:t xml:space="preserve"> 1966. The influence of rear</w:t>
      </w:r>
      <w:r>
        <w:rPr>
          <w:lang w:val="en-US"/>
        </w:rPr>
        <w:t xml:space="preserve">ing medium on the irradiation sensitivity of eggs and larvae of the flour beetle, </w:t>
      </w:r>
      <w:r>
        <w:rPr>
          <w:i/>
          <w:lang w:val="en-US"/>
        </w:rPr>
        <w:t xml:space="preserve">Tribolium confusum </w:t>
      </w:r>
      <w:r>
        <w:rPr>
          <w:lang w:val="en-US"/>
        </w:rPr>
        <w:t xml:space="preserve">J. du Val. </w:t>
      </w:r>
      <w:r>
        <w:rPr>
          <w:i/>
        </w:rPr>
        <w:t>Journal of Stored Products Research,</w:t>
      </w:r>
      <w:r>
        <w:t xml:space="preserve"> 32: 1</w:t>
      </w:r>
      <w:r>
        <w:noBreakHyphen/>
        <w:t>6.</w:t>
      </w:r>
    </w:p>
    <w:p w:rsidR="008B1A92" w:rsidRDefault="0093140B">
      <w:pPr>
        <w:pStyle w:val="IPPReferences"/>
        <w:rPr>
          <w:lang w:val="en-US"/>
        </w:rPr>
      </w:pPr>
      <w:r>
        <w:rPr>
          <w:rStyle w:val="PleaseReviewParagraphId"/>
        </w:rPr>
        <w:t>[54]</w:t>
      </w:r>
      <w:r>
        <w:rPr>
          <w:b/>
          <w:bCs/>
          <w:lang w:val="en-US"/>
        </w:rPr>
        <w:t xml:space="preserve">Von Windeguth, D. L. </w:t>
      </w:r>
      <w:r>
        <w:rPr>
          <w:lang w:val="en-US"/>
        </w:rPr>
        <w:t xml:space="preserve">1986. Gamma irradiation as a quarantine treatment for Caribbean fruit fly infested mangoes. </w:t>
      </w:r>
      <w:r>
        <w:rPr>
          <w:i/>
          <w:iCs/>
          <w:lang w:val="en-US"/>
        </w:rPr>
        <w:t>Proceedings of the Florida State Horticultural Society</w:t>
      </w:r>
      <w:r>
        <w:rPr>
          <w:lang w:val="en-US"/>
        </w:rPr>
        <w:t>, 99: 131</w:t>
      </w:r>
      <w:r>
        <w:rPr>
          <w:lang w:val="en-US"/>
        </w:rPr>
        <w:noBreakHyphen/>
        <w:t>134.</w:t>
      </w:r>
    </w:p>
    <w:p w:rsidR="008B1A92" w:rsidRDefault="0093140B">
      <w:pPr>
        <w:pStyle w:val="IPPReferences"/>
        <w:rPr>
          <w:b/>
          <w:bCs/>
          <w:lang w:val="en-US"/>
        </w:rPr>
      </w:pPr>
      <w:r>
        <w:rPr>
          <w:rStyle w:val="PleaseReviewParagraphId"/>
        </w:rPr>
        <w:t>[55]</w:t>
      </w:r>
      <w:r>
        <w:rPr>
          <w:b/>
          <w:bCs/>
          <w:lang w:val="en-US"/>
        </w:rPr>
        <w:t xml:space="preserve">Von Windeguth, D. L., et Ismail, M. A. </w:t>
      </w:r>
      <w:r>
        <w:rPr>
          <w:lang w:val="en-US"/>
        </w:rPr>
        <w:t>1987. Gamma irradiation as a quarantine treatment fo</w:t>
      </w:r>
      <w:r>
        <w:rPr>
          <w:lang w:val="en-US"/>
        </w:rPr>
        <w:t xml:space="preserve">r Florida grapefruit infested with Caribbean fruit fly, </w:t>
      </w:r>
      <w:r>
        <w:rPr>
          <w:i/>
          <w:iCs/>
          <w:lang w:val="en-US"/>
        </w:rPr>
        <w:t xml:space="preserve">Anastrepha suspensa </w:t>
      </w:r>
      <w:r>
        <w:rPr>
          <w:lang w:val="en-US"/>
        </w:rPr>
        <w:t xml:space="preserve">(Loew). </w:t>
      </w:r>
      <w:r>
        <w:rPr>
          <w:i/>
          <w:iCs/>
          <w:lang w:val="en-US"/>
        </w:rPr>
        <w:t>Proceedings of the Florida State Horticultural Society</w:t>
      </w:r>
      <w:r>
        <w:rPr>
          <w:lang w:val="en-US"/>
        </w:rPr>
        <w:t>, 100: 5</w:t>
      </w:r>
      <w:r>
        <w:rPr>
          <w:lang w:val="en-US"/>
        </w:rPr>
        <w:noBreakHyphen/>
        <w:t>7.</w:t>
      </w:r>
    </w:p>
    <w:p w:rsidR="008B1A92" w:rsidRDefault="0093140B">
      <w:pPr>
        <w:pStyle w:val="IPPReferences"/>
        <w:rPr>
          <w:cs/>
        </w:rPr>
      </w:pPr>
      <w:r>
        <w:rPr>
          <w:rStyle w:val="PleaseReviewParagraphId"/>
        </w:rPr>
        <w:t>[56]</w:t>
      </w:r>
      <w:r>
        <w:rPr>
          <w:b/>
          <w:bCs/>
          <w:lang w:val="en-US"/>
        </w:rPr>
        <w:t>Zhao, J., Ma, J., Wu, M., Jiao, X., Wang, Z., Liang, F., et Zhan, G.</w:t>
      </w:r>
      <w:r>
        <w:rPr>
          <w:lang w:val="en-US"/>
        </w:rPr>
        <w:t xml:space="preserve"> 2017. Gamma radiation ‎as a phyto</w:t>
      </w:r>
      <w:r>
        <w:rPr>
          <w:lang w:val="en-US"/>
        </w:rPr>
        <w:t xml:space="preserve">sanitary treatment against larvae and pupae of </w:t>
      </w:r>
      <w:r>
        <w:rPr>
          <w:i/>
          <w:lang w:val="en-US"/>
        </w:rPr>
        <w:t>Bactrocera dorsalis</w:t>
      </w:r>
      <w:r>
        <w:rPr>
          <w:lang w:val="en-US"/>
        </w:rPr>
        <w:t xml:space="preserve"> (Diptera: ‎Tephritidae) in guava fruits. </w:t>
      </w:r>
      <w:r>
        <w:rPr>
          <w:i/>
          <w:lang w:val="en-US"/>
        </w:rPr>
        <w:t>Food Control</w:t>
      </w:r>
      <w:r>
        <w:rPr>
          <w:lang w:val="en-US"/>
        </w:rPr>
        <w:t>, 72: 360</w:t>
      </w:r>
      <w:r>
        <w:rPr>
          <w:lang w:val="en-US"/>
        </w:rPr>
        <w:noBreakHyphen/>
        <w:t>366.‎</w:t>
      </w:r>
    </w:p>
    <w:p w:rsidR="008B1A92" w:rsidRDefault="0093140B">
      <w:pPr>
        <w:pStyle w:val="IPPReferences"/>
        <w:spacing w:after="240"/>
      </w:pPr>
      <w:r>
        <w:rPr>
          <w:rStyle w:val="PleaseReviewParagraphId"/>
        </w:rPr>
        <w:t>[57]</w:t>
      </w:r>
      <w:r>
        <w:rPr>
          <w:b/>
          <w:lang w:val="en-US"/>
        </w:rPr>
        <w:t>Zhan, G. P., Shao, Y., Yu, Q., Xu, L., Liu, B., Wang, Y. J., et Wang, Q. L.</w:t>
      </w:r>
      <w:r>
        <w:rPr>
          <w:lang w:val="en-US"/>
        </w:rPr>
        <w:t xml:space="preserve"> 2016.</w:t>
      </w:r>
      <w:r>
        <w:rPr>
          <w:color w:val="000000" w:themeColor="text1"/>
          <w:lang w:val="en-US"/>
        </w:rPr>
        <w:t xml:space="preserve"> </w:t>
      </w:r>
      <w:hyperlink r:id="rId9" w:history="1">
        <w:r>
          <w:rPr>
            <w:rStyle w:val="Hyperlink"/>
            <w:color w:val="000000" w:themeColor="text1"/>
            <w:u w:val="none"/>
          </w:rPr>
          <w:t>Phytosanitary irradiation of Jack Beardsley mealybug (Hemiptera:</w:t>
        </w:r>
      </w:hyperlink>
      <w:hyperlink r:id="rId10" w:history="1">
        <w:r>
          <w:rPr>
            <w:rStyle w:val="Hyperlink"/>
            <w:color w:val="000000" w:themeColor="text1"/>
            <w:u w:val="none"/>
          </w:rPr>
          <w:t xml:space="preserve"> Pseudococcidae) females on rambutan (Sapindales:</w:t>
        </w:r>
      </w:hyperlink>
      <w:hyperlink r:id="rId11" w:history="1">
        <w:r>
          <w:rPr>
            <w:rStyle w:val="Hyperlink"/>
            <w:color w:val="000000" w:themeColor="text1"/>
            <w:u w:val="none"/>
          </w:rPr>
          <w:t xml:space="preserve"> Sapindaceae) fruits.</w:t>
        </w:r>
      </w:hyperlink>
      <w:hyperlink r:id="rId12" w:history="1">
        <w:r>
          <w:rPr>
            <w:rStyle w:val="Hyperlink"/>
            <w:color w:val="000000" w:themeColor="text1"/>
            <w:u w:val="none"/>
          </w:rPr>
          <w:t xml:space="preserve"> </w:t>
        </w:r>
        <w:r>
          <w:rPr>
            <w:rStyle w:val="Hyperlink"/>
            <w:i/>
            <w:color w:val="000000" w:themeColor="text1"/>
            <w:u w:val="none"/>
          </w:rPr>
          <w:t>Florida Entomologist</w:t>
        </w:r>
        <w:r>
          <w:rPr>
            <w:rStyle w:val="Hyperlink"/>
            <w:color w:val="000000" w:themeColor="text1"/>
            <w:u w:val="none"/>
          </w:rPr>
          <w:t>, 99 (SI2):</w:t>
        </w:r>
      </w:hyperlink>
      <w:hyperlink r:id="rId13" w:history="1">
        <w:r>
          <w:rPr>
            <w:rStyle w:val="Hyperlink"/>
            <w:color w:val="000000" w:themeColor="text1"/>
            <w:u w:val="none"/>
          </w:rPr>
          <w:t xml:space="preserve"> 114</w:t>
        </w:r>
        <w:r>
          <w:rPr>
            <w:rStyle w:val="Hyperlink"/>
            <w:color w:val="000000" w:themeColor="text1"/>
            <w:u w:val="none"/>
          </w:rPr>
          <w:noBreakHyphen/>
          <w:t>120.</w:t>
        </w:r>
      </w:hyperlink>
    </w:p>
    <w:sectPr w:rsidR="008B1A92">
      <w:headerReference w:type="default" r:id="rId14"/>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EB192" w16cid:durableId="1EFAEDB2"/>
  <w16cid:commentId w16cid:paraId="33E7F6FD" w16cid:durableId="1EFAEDD7"/>
  <w16cid:commentId w16cid:paraId="3631F63F" w16cid:durableId="1F1BCEB8"/>
  <w16cid:commentId w16cid:paraId="5C083746" w16cid:durableId="1EFB11A2"/>
  <w16cid:commentId w16cid:paraId="49FC5C96" w16cid:durableId="1EFAF09D"/>
  <w16cid:commentId w16cid:paraId="31F664AA" w16cid:durableId="1F1BCEBB"/>
  <w16cid:commentId w16cid:paraId="7B3CEA74" w16cid:durableId="1F02DF5F"/>
  <w16cid:commentId w16cid:paraId="53567C93" w16cid:durableId="1F1BD0CC"/>
  <w16cid:commentId w16cid:paraId="5E20B19B" w16cid:durableId="1F038543"/>
  <w16cid:commentId w16cid:paraId="3D43E4E5" w16cid:durableId="1F1BCEBE"/>
  <w16cid:commentId w16cid:paraId="1FA3BD57" w16cid:durableId="1F1BD16C"/>
  <w16cid:commentId w16cid:paraId="7AEE09F8" w16cid:durableId="1F005890"/>
  <w16cid:commentId w16cid:paraId="67C193A6" w16cid:durableId="1F1BD2B0"/>
  <w16cid:commentId w16cid:paraId="177287F2" w16cid:durableId="1F038784"/>
  <w16cid:commentId w16cid:paraId="7D782E5F" w16cid:durableId="1F03886A"/>
  <w16cid:commentId w16cid:paraId="3EF0614F" w16cid:durableId="1F1BD3EC"/>
  <w16cid:commentId w16cid:paraId="3A73BFA8" w16cid:durableId="1F00DA56"/>
  <w16cid:commentId w16cid:paraId="5678835B" w16cid:durableId="1F0061F3"/>
  <w16cid:commentId w16cid:paraId="108A0EDB" w16cid:durableId="1F1BD51C"/>
  <w16cid:commentId w16cid:paraId="52654CE8" w16cid:durableId="1F038C35"/>
  <w16cid:commentId w16cid:paraId="5EF62111" w16cid:durableId="1EFAE910"/>
  <w16cid:commentId w16cid:paraId="5A55C2F2" w16cid:durableId="1F1BF001"/>
  <w16cid:commentId w16cid:paraId="0DA8B215" w16cid:durableId="1F041104"/>
  <w16cid:commentId w16cid:paraId="61C2075A" w16cid:durableId="1F1BF3BD"/>
  <w16cid:commentId w16cid:paraId="0A44226B" w16cid:durableId="1F020887"/>
  <w16cid:commentId w16cid:paraId="6EB819D4" w16cid:durableId="1F1BF4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A92" w:rsidRDefault="0093140B">
      <w:r>
        <w:rPr>
          <w:rStyle w:val="PleaseReviewParagraphId"/>
        </w:rPr>
        <w:t>[]</w:t>
      </w:r>
      <w:r>
        <w:separator/>
      </w:r>
    </w:p>
  </w:endnote>
  <w:endnote w:type="continuationSeparator" w:id="0">
    <w:p w:rsidR="008B1A92" w:rsidRDefault="0093140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A92" w:rsidRDefault="0093140B">
      <w:r>
        <w:rPr>
          <w:rStyle w:val="PleaseReviewParagraphId"/>
        </w:rPr>
        <w:t>[]</w:t>
      </w:r>
      <w:r>
        <w:separator/>
      </w:r>
    </w:p>
  </w:footnote>
  <w:footnote w:type="continuationSeparator" w:id="0">
    <w:p w:rsidR="008B1A92" w:rsidRDefault="0093140B">
      <w:r>
        <w:rPr>
          <w:rStyle w:val="PleaseReviewParagraphId"/>
        </w:rPr>
        <w:t>[]</w:t>
      </w:r>
      <w:r>
        <w:continuationSeparator/>
      </w:r>
    </w:p>
  </w:footnote>
  <w:footnote w:id="1">
    <w:p w:rsidR="008B1A92" w:rsidRDefault="0093140B">
      <w:pPr>
        <w:pStyle w:val="IPPFootnote"/>
      </w:pPr>
      <w:r>
        <w:rPr>
          <w:rStyle w:val="PleaseReviewParagraphId"/>
        </w:rPr>
        <w:t>[24]</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w:t>
      </w:r>
      <w:r>
        <w:t xml:space="preserve">mission des mesures phytosanitaires ne donnent pas forcément d’informations au sujet de certains effets particuliers sur la santé humaine ou sur l’innocuité des denrées alimentaires; les pays devraient examiner ceux-ci suivant leurs procédures pertinentes </w:t>
      </w:r>
      <w:r>
        <w:t>avant approbation de chaque traitement. En outre, les effets potentiels des traitements sur la qualité des produits sont pris en compte pour certaines marchandises hôtes avant l’adoption au plan international desdits traitements. Cependant, l’évaluation de</w:t>
      </w:r>
      <w:r>
        <w:t>s éventuels effets d’un traitement sur la qualité des marchandises peut nécessiter un examen complémentaire. Il n’est fait aucune obligation aux parties contractantes d’approuver, d’homologuer ni d’adopter lesdits traitements en vue de les appliquer sur le</w:t>
      </w:r>
      <w:r>
        <w:t>ur territoire.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92" w:rsidRDefault="0093140B">
    <w:pPr>
      <w:pStyle w:val="IPPHeader"/>
    </w:pPr>
    <w:r>
      <w:rPr>
        <w:rStyle w:val="PleaseReviewParagraphId"/>
      </w:rPr>
      <w:t>[58]</w:t>
    </w:r>
    <w:r>
      <w:t>Projet de TP: Traitement par ir</w:t>
    </w:r>
    <w:r>
      <w:t>radiation contre </w:t>
    </w:r>
    <w:r>
      <w:rPr>
        <w:i/>
      </w:rPr>
      <w:t>Bactrocera dorsalis</w:t>
    </w:r>
    <w:r>
      <w:t xml:space="preserve"> </w:t>
    </w:r>
    <w:r>
      <w:tab/>
      <w:t>2017-015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5F44"/>
    <w:rsid w:val="00010D3C"/>
    <w:rsid w:val="000141E4"/>
    <w:rsid w:val="00032883"/>
    <w:rsid w:val="00037ECF"/>
    <w:rsid w:val="000509EE"/>
    <w:rsid w:val="00056994"/>
    <w:rsid w:val="00063E02"/>
    <w:rsid w:val="00074E8D"/>
    <w:rsid w:val="00083FF0"/>
    <w:rsid w:val="00085B33"/>
    <w:rsid w:val="00087A75"/>
    <w:rsid w:val="000915EC"/>
    <w:rsid w:val="000922FC"/>
    <w:rsid w:val="00092AD9"/>
    <w:rsid w:val="000937F9"/>
    <w:rsid w:val="000972B2"/>
    <w:rsid w:val="000A1389"/>
    <w:rsid w:val="000A2570"/>
    <w:rsid w:val="000A3CBB"/>
    <w:rsid w:val="000A4747"/>
    <w:rsid w:val="000B0CD7"/>
    <w:rsid w:val="000C59AE"/>
    <w:rsid w:val="000D0C67"/>
    <w:rsid w:val="000D5B78"/>
    <w:rsid w:val="000D6253"/>
    <w:rsid w:val="000D7354"/>
    <w:rsid w:val="000F11BA"/>
    <w:rsid w:val="000F32DF"/>
    <w:rsid w:val="000F331E"/>
    <w:rsid w:val="00100EC0"/>
    <w:rsid w:val="0010591A"/>
    <w:rsid w:val="00107DFB"/>
    <w:rsid w:val="0011347D"/>
    <w:rsid w:val="001149C3"/>
    <w:rsid w:val="00114BFA"/>
    <w:rsid w:val="00120AA3"/>
    <w:rsid w:val="00131D1A"/>
    <w:rsid w:val="00140B4F"/>
    <w:rsid w:val="0014555B"/>
    <w:rsid w:val="00156F91"/>
    <w:rsid w:val="00160BF4"/>
    <w:rsid w:val="001675EF"/>
    <w:rsid w:val="00174CE5"/>
    <w:rsid w:val="00175B5F"/>
    <w:rsid w:val="001814DB"/>
    <w:rsid w:val="00182CF6"/>
    <w:rsid w:val="001A1707"/>
    <w:rsid w:val="001A5734"/>
    <w:rsid w:val="001C38B7"/>
    <w:rsid w:val="001D1FF3"/>
    <w:rsid w:val="001D35E5"/>
    <w:rsid w:val="001E4EAC"/>
    <w:rsid w:val="00206B1C"/>
    <w:rsid w:val="00207822"/>
    <w:rsid w:val="00210FDA"/>
    <w:rsid w:val="00213F98"/>
    <w:rsid w:val="002145AD"/>
    <w:rsid w:val="00216C20"/>
    <w:rsid w:val="00222053"/>
    <w:rsid w:val="00222207"/>
    <w:rsid w:val="0023224E"/>
    <w:rsid w:val="00233786"/>
    <w:rsid w:val="00240383"/>
    <w:rsid w:val="00240A41"/>
    <w:rsid w:val="00245EB0"/>
    <w:rsid w:val="00253402"/>
    <w:rsid w:val="00261F61"/>
    <w:rsid w:val="00263F9A"/>
    <w:rsid w:val="00264A1D"/>
    <w:rsid w:val="00265BE4"/>
    <w:rsid w:val="00267EA1"/>
    <w:rsid w:val="00270C1B"/>
    <w:rsid w:val="00284515"/>
    <w:rsid w:val="002A3B60"/>
    <w:rsid w:val="002B1C4C"/>
    <w:rsid w:val="002B5A03"/>
    <w:rsid w:val="002B6546"/>
    <w:rsid w:val="002D0AB9"/>
    <w:rsid w:val="002E210F"/>
    <w:rsid w:val="002E4091"/>
    <w:rsid w:val="002E5E53"/>
    <w:rsid w:val="002F1CFC"/>
    <w:rsid w:val="002F34FC"/>
    <w:rsid w:val="00300575"/>
    <w:rsid w:val="0030764A"/>
    <w:rsid w:val="003105C4"/>
    <w:rsid w:val="00314BCD"/>
    <w:rsid w:val="00333E64"/>
    <w:rsid w:val="0033579A"/>
    <w:rsid w:val="00341EE1"/>
    <w:rsid w:val="00343E45"/>
    <w:rsid w:val="00345D98"/>
    <w:rsid w:val="00345ED9"/>
    <w:rsid w:val="00346980"/>
    <w:rsid w:val="00350DCB"/>
    <w:rsid w:val="003578DB"/>
    <w:rsid w:val="0036473A"/>
    <w:rsid w:val="0037160D"/>
    <w:rsid w:val="003730D8"/>
    <w:rsid w:val="0039408C"/>
    <w:rsid w:val="003B2EA8"/>
    <w:rsid w:val="003B3306"/>
    <w:rsid w:val="003B532E"/>
    <w:rsid w:val="003C4924"/>
    <w:rsid w:val="003C636B"/>
    <w:rsid w:val="003D0A11"/>
    <w:rsid w:val="003D3923"/>
    <w:rsid w:val="003D3A42"/>
    <w:rsid w:val="003D6F03"/>
    <w:rsid w:val="003D74C1"/>
    <w:rsid w:val="003E05AB"/>
    <w:rsid w:val="003E3904"/>
    <w:rsid w:val="003E70DD"/>
    <w:rsid w:val="003F13BB"/>
    <w:rsid w:val="003F654A"/>
    <w:rsid w:val="004001C8"/>
    <w:rsid w:val="00404C7A"/>
    <w:rsid w:val="00413965"/>
    <w:rsid w:val="00424D07"/>
    <w:rsid w:val="0042715E"/>
    <w:rsid w:val="00433EEC"/>
    <w:rsid w:val="004345E8"/>
    <w:rsid w:val="00446DC9"/>
    <w:rsid w:val="004533B2"/>
    <w:rsid w:val="00453522"/>
    <w:rsid w:val="00461278"/>
    <w:rsid w:val="00461610"/>
    <w:rsid w:val="004631D7"/>
    <w:rsid w:val="004706AF"/>
    <w:rsid w:val="00471C12"/>
    <w:rsid w:val="00471CE1"/>
    <w:rsid w:val="00473007"/>
    <w:rsid w:val="004821F5"/>
    <w:rsid w:val="00483293"/>
    <w:rsid w:val="00485A7F"/>
    <w:rsid w:val="00486504"/>
    <w:rsid w:val="004A49DC"/>
    <w:rsid w:val="004A53CD"/>
    <w:rsid w:val="004B361F"/>
    <w:rsid w:val="004B38F5"/>
    <w:rsid w:val="004C1EFB"/>
    <w:rsid w:val="004E37AF"/>
    <w:rsid w:val="004F2981"/>
    <w:rsid w:val="00503BB3"/>
    <w:rsid w:val="00516E3C"/>
    <w:rsid w:val="00540BCB"/>
    <w:rsid w:val="00545BA4"/>
    <w:rsid w:val="00553AA8"/>
    <w:rsid w:val="005556FC"/>
    <w:rsid w:val="0057454D"/>
    <w:rsid w:val="0058366F"/>
    <w:rsid w:val="00584A8D"/>
    <w:rsid w:val="00593300"/>
    <w:rsid w:val="0059543D"/>
    <w:rsid w:val="00595B63"/>
    <w:rsid w:val="005A0F6D"/>
    <w:rsid w:val="005A3D07"/>
    <w:rsid w:val="005C5BA2"/>
    <w:rsid w:val="005C726E"/>
    <w:rsid w:val="005D0460"/>
    <w:rsid w:val="005E43F3"/>
    <w:rsid w:val="005E783F"/>
    <w:rsid w:val="00601606"/>
    <w:rsid w:val="00611172"/>
    <w:rsid w:val="006111B7"/>
    <w:rsid w:val="00611BFA"/>
    <w:rsid w:val="006140B3"/>
    <w:rsid w:val="006264F3"/>
    <w:rsid w:val="00644928"/>
    <w:rsid w:val="00646A3D"/>
    <w:rsid w:val="00647B5E"/>
    <w:rsid w:val="00651D28"/>
    <w:rsid w:val="00653381"/>
    <w:rsid w:val="0065401B"/>
    <w:rsid w:val="00666205"/>
    <w:rsid w:val="00667AD3"/>
    <w:rsid w:val="00671665"/>
    <w:rsid w:val="00676240"/>
    <w:rsid w:val="00694C27"/>
    <w:rsid w:val="006A6DA8"/>
    <w:rsid w:val="006A7A47"/>
    <w:rsid w:val="006B0EA6"/>
    <w:rsid w:val="006B29C3"/>
    <w:rsid w:val="006B3510"/>
    <w:rsid w:val="006D3C89"/>
    <w:rsid w:val="006E25F3"/>
    <w:rsid w:val="006F65C2"/>
    <w:rsid w:val="006F79B6"/>
    <w:rsid w:val="0071382D"/>
    <w:rsid w:val="00715968"/>
    <w:rsid w:val="00716275"/>
    <w:rsid w:val="00722380"/>
    <w:rsid w:val="0072264C"/>
    <w:rsid w:val="00727174"/>
    <w:rsid w:val="00734926"/>
    <w:rsid w:val="00760762"/>
    <w:rsid w:val="00775235"/>
    <w:rsid w:val="00780CAF"/>
    <w:rsid w:val="007812FE"/>
    <w:rsid w:val="00781778"/>
    <w:rsid w:val="007827E1"/>
    <w:rsid w:val="00796C14"/>
    <w:rsid w:val="007A0978"/>
    <w:rsid w:val="007A1D3F"/>
    <w:rsid w:val="007B5869"/>
    <w:rsid w:val="007B7328"/>
    <w:rsid w:val="007C2ED8"/>
    <w:rsid w:val="007C395E"/>
    <w:rsid w:val="007C766E"/>
    <w:rsid w:val="007D0295"/>
    <w:rsid w:val="007D20E6"/>
    <w:rsid w:val="007D2AF2"/>
    <w:rsid w:val="007D300B"/>
    <w:rsid w:val="007D4852"/>
    <w:rsid w:val="007E0A7A"/>
    <w:rsid w:val="007E228D"/>
    <w:rsid w:val="007E2702"/>
    <w:rsid w:val="007F4820"/>
    <w:rsid w:val="007F579A"/>
    <w:rsid w:val="00805F50"/>
    <w:rsid w:val="008101AE"/>
    <w:rsid w:val="008346AC"/>
    <w:rsid w:val="0085584E"/>
    <w:rsid w:val="00874066"/>
    <w:rsid w:val="0088112E"/>
    <w:rsid w:val="00893384"/>
    <w:rsid w:val="008A2D29"/>
    <w:rsid w:val="008B1A92"/>
    <w:rsid w:val="008C0753"/>
    <w:rsid w:val="008C558A"/>
    <w:rsid w:val="008C7D84"/>
    <w:rsid w:val="008D47C1"/>
    <w:rsid w:val="008D6B45"/>
    <w:rsid w:val="008E4D6A"/>
    <w:rsid w:val="008E63FD"/>
    <w:rsid w:val="00906F8A"/>
    <w:rsid w:val="00912C15"/>
    <w:rsid w:val="00914557"/>
    <w:rsid w:val="00915EB2"/>
    <w:rsid w:val="0093140B"/>
    <w:rsid w:val="00933C76"/>
    <w:rsid w:val="009459AD"/>
    <w:rsid w:val="00947DBE"/>
    <w:rsid w:val="00960AC2"/>
    <w:rsid w:val="009655F2"/>
    <w:rsid w:val="009738C6"/>
    <w:rsid w:val="0099796F"/>
    <w:rsid w:val="009B055D"/>
    <w:rsid w:val="009B3F13"/>
    <w:rsid w:val="009B40FB"/>
    <w:rsid w:val="009B5FF8"/>
    <w:rsid w:val="009D5780"/>
    <w:rsid w:val="009E18F7"/>
    <w:rsid w:val="009E6726"/>
    <w:rsid w:val="009F58BD"/>
    <w:rsid w:val="00A00C03"/>
    <w:rsid w:val="00A029C1"/>
    <w:rsid w:val="00A06EC9"/>
    <w:rsid w:val="00A10AD2"/>
    <w:rsid w:val="00A12C1C"/>
    <w:rsid w:val="00A20A5E"/>
    <w:rsid w:val="00A31AA9"/>
    <w:rsid w:val="00A31C0E"/>
    <w:rsid w:val="00A3237E"/>
    <w:rsid w:val="00A47B1F"/>
    <w:rsid w:val="00A569B3"/>
    <w:rsid w:val="00A56FDA"/>
    <w:rsid w:val="00A81800"/>
    <w:rsid w:val="00A82FB6"/>
    <w:rsid w:val="00A912B8"/>
    <w:rsid w:val="00A9439C"/>
    <w:rsid w:val="00A96475"/>
    <w:rsid w:val="00AA205E"/>
    <w:rsid w:val="00AA7F53"/>
    <w:rsid w:val="00AE5419"/>
    <w:rsid w:val="00AE7ADF"/>
    <w:rsid w:val="00AF5CDE"/>
    <w:rsid w:val="00B009D9"/>
    <w:rsid w:val="00B0330E"/>
    <w:rsid w:val="00B05071"/>
    <w:rsid w:val="00B06C61"/>
    <w:rsid w:val="00B17C9D"/>
    <w:rsid w:val="00B231F5"/>
    <w:rsid w:val="00B25F4E"/>
    <w:rsid w:val="00B30CA0"/>
    <w:rsid w:val="00B33A85"/>
    <w:rsid w:val="00B36BF2"/>
    <w:rsid w:val="00B42FFA"/>
    <w:rsid w:val="00B45CFC"/>
    <w:rsid w:val="00B514AD"/>
    <w:rsid w:val="00B60801"/>
    <w:rsid w:val="00B64FCE"/>
    <w:rsid w:val="00B66B7A"/>
    <w:rsid w:val="00B67817"/>
    <w:rsid w:val="00B70740"/>
    <w:rsid w:val="00B7631C"/>
    <w:rsid w:val="00B76708"/>
    <w:rsid w:val="00B7719F"/>
    <w:rsid w:val="00B91EC0"/>
    <w:rsid w:val="00B92640"/>
    <w:rsid w:val="00B95C7A"/>
    <w:rsid w:val="00B96C10"/>
    <w:rsid w:val="00BA12BD"/>
    <w:rsid w:val="00BB2518"/>
    <w:rsid w:val="00BC00E7"/>
    <w:rsid w:val="00BC0AD4"/>
    <w:rsid w:val="00BD3052"/>
    <w:rsid w:val="00BF4E67"/>
    <w:rsid w:val="00C020AA"/>
    <w:rsid w:val="00C03CED"/>
    <w:rsid w:val="00C07263"/>
    <w:rsid w:val="00C168AE"/>
    <w:rsid w:val="00C17E5E"/>
    <w:rsid w:val="00C20099"/>
    <w:rsid w:val="00C21320"/>
    <w:rsid w:val="00C302A6"/>
    <w:rsid w:val="00C36377"/>
    <w:rsid w:val="00C37EEE"/>
    <w:rsid w:val="00C402C5"/>
    <w:rsid w:val="00C40334"/>
    <w:rsid w:val="00C472FB"/>
    <w:rsid w:val="00C50A1A"/>
    <w:rsid w:val="00C51219"/>
    <w:rsid w:val="00C525F0"/>
    <w:rsid w:val="00C61DBA"/>
    <w:rsid w:val="00C63B38"/>
    <w:rsid w:val="00C66AAD"/>
    <w:rsid w:val="00C83932"/>
    <w:rsid w:val="00C93CAD"/>
    <w:rsid w:val="00CA29B6"/>
    <w:rsid w:val="00CA421B"/>
    <w:rsid w:val="00CB0712"/>
    <w:rsid w:val="00CB19F7"/>
    <w:rsid w:val="00CC1EDA"/>
    <w:rsid w:val="00CD24DC"/>
    <w:rsid w:val="00CD74C2"/>
    <w:rsid w:val="00CD7512"/>
    <w:rsid w:val="00CE182A"/>
    <w:rsid w:val="00CE59F0"/>
    <w:rsid w:val="00CF724C"/>
    <w:rsid w:val="00D003F4"/>
    <w:rsid w:val="00D06F0C"/>
    <w:rsid w:val="00D17533"/>
    <w:rsid w:val="00D24AA6"/>
    <w:rsid w:val="00D27EC6"/>
    <w:rsid w:val="00D54E70"/>
    <w:rsid w:val="00D61FB8"/>
    <w:rsid w:val="00D83139"/>
    <w:rsid w:val="00DB330A"/>
    <w:rsid w:val="00DB3E0F"/>
    <w:rsid w:val="00DC4DE5"/>
    <w:rsid w:val="00DD1611"/>
    <w:rsid w:val="00DD2157"/>
    <w:rsid w:val="00DD2EA9"/>
    <w:rsid w:val="00DE08C3"/>
    <w:rsid w:val="00DE401B"/>
    <w:rsid w:val="00DF5E68"/>
    <w:rsid w:val="00E0695F"/>
    <w:rsid w:val="00E10005"/>
    <w:rsid w:val="00E15011"/>
    <w:rsid w:val="00E1723A"/>
    <w:rsid w:val="00E3092F"/>
    <w:rsid w:val="00E45131"/>
    <w:rsid w:val="00E62E86"/>
    <w:rsid w:val="00E65986"/>
    <w:rsid w:val="00E71A1E"/>
    <w:rsid w:val="00E81634"/>
    <w:rsid w:val="00E92B8F"/>
    <w:rsid w:val="00ED2897"/>
    <w:rsid w:val="00EE1DC3"/>
    <w:rsid w:val="00EE3C89"/>
    <w:rsid w:val="00EF0491"/>
    <w:rsid w:val="00EF2BB9"/>
    <w:rsid w:val="00F11B71"/>
    <w:rsid w:val="00F35759"/>
    <w:rsid w:val="00F35782"/>
    <w:rsid w:val="00F421BB"/>
    <w:rsid w:val="00F559E2"/>
    <w:rsid w:val="00F655DD"/>
    <w:rsid w:val="00F65B6F"/>
    <w:rsid w:val="00F70BE8"/>
    <w:rsid w:val="00F75FD4"/>
    <w:rsid w:val="00F83DE4"/>
    <w:rsid w:val="00F84DFE"/>
    <w:rsid w:val="00FA7946"/>
    <w:rsid w:val="00FB27A8"/>
    <w:rsid w:val="00FC24D0"/>
    <w:rsid w:val="00FD1F81"/>
    <w:rsid w:val="00FD623E"/>
    <w:rsid w:val="00FE6446"/>
    <w:rsid w:val="00FF1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5861118E-0EAA-4031-BFD9-A75444F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val="fr-FR"/>
    </w:rPr>
  </w:style>
  <w:style w:type="character" w:customStyle="1" w:styleId="Heading1Char">
    <w:name w:val="Heading 1 Char"/>
    <w:aliases w:val="IPPC Headsection Char"/>
    <w:link w:val="Heading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fr-FR"/>
    </w:rPr>
  </w:style>
  <w:style w:type="character" w:customStyle="1" w:styleId="IPPNormalbold">
    <w:name w:val="IPP Normal bold"/>
    <w:rPr>
      <w:rFonts w:ascii="Times New Roman" w:eastAsia="Times" w:hAnsi="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fr-FR"/>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val="fr-FR"/>
    </w:rPr>
  </w:style>
  <w:style w:type="character" w:customStyle="1" w:styleId="Heading3Char">
    <w:name w:val="Heading 3 Char"/>
    <w:link w:val="Heading3"/>
    <w:rPr>
      <w:rFonts w:ascii="Calibri" w:eastAsia="MS Mincho"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fr-FR"/>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val="fr-FR"/>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link w:val="PlainTex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323">
      <w:bodyDiv w:val="1"/>
      <w:marLeft w:val="0"/>
      <w:marRight w:val="0"/>
      <w:marTop w:val="0"/>
      <w:marBottom w:val="0"/>
      <w:divBdr>
        <w:top w:val="none" w:sz="0" w:space="0" w:color="auto"/>
        <w:left w:val="none" w:sz="0" w:space="0" w:color="auto"/>
        <w:bottom w:val="none" w:sz="0" w:space="0" w:color="auto"/>
        <w:right w:val="none" w:sz="0" w:space="0" w:color="auto"/>
      </w:divBdr>
      <w:divsChild>
        <w:div w:id="1731222995">
          <w:marLeft w:val="0"/>
          <w:marRight w:val="0"/>
          <w:marTop w:val="0"/>
          <w:marBottom w:val="0"/>
          <w:divBdr>
            <w:top w:val="none" w:sz="0" w:space="0" w:color="auto"/>
            <w:left w:val="none" w:sz="0" w:space="0" w:color="auto"/>
            <w:bottom w:val="none" w:sz="0" w:space="0" w:color="auto"/>
            <w:right w:val="none" w:sz="0" w:space="0" w:color="auto"/>
          </w:divBdr>
          <w:divsChild>
            <w:div w:id="11014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13" Type="http://schemas.openxmlformats.org/officeDocument/2006/relationships/hyperlink" Target="http://journals.fcla.edu/flaent/article/view/88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fcla.edu/flaent/article/view/886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fcla.edu/flaent/article/view/886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urnals.fcla.edu/flaent/article/view/88683"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36A8E35F-8F54-4D78-B1FE-4AE0CCAF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2019-07-01T10:46:00Z</dcterms:created>
  <dcterms:modified xsi:type="dcterms:W3CDTF">2019-07-01T10:46:00Z</dcterms:modified>
</cp:coreProperties>
</file>