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78" w:rsidRDefault="0082433B">
      <w:pPr>
        <w:jc w:val="center"/>
      </w:pPr>
      <w:bookmarkStart w:id="0" w:name="_GoBack"/>
      <w:bookmarkEnd w:id="0"/>
      <w:r>
        <w:rPr>
          <w:rStyle w:val="PleaseReviewParagraphId"/>
          <w:noProof/>
          <w:sz w:val="20"/>
        </w:rPr>
        <w:t xml:space="preserve">[PleaseReview document review. Review title: 2019 First Consultation: Draft PT Cold treatment for Bactrocera tryoni on Vitis vinifera (2017-023B). Document title: </w:t>
      </w:r>
      <w:r>
        <w:rPr>
          <w:rStyle w:val="PleaseReviewParagraphId"/>
          <w:noProof/>
          <w:sz w:val="20"/>
        </w:rPr>
        <w:t>2017-023B_DraftPT_CT_B_tryoni_grape_2019-05-10_fr.docx]</w:t>
      </w:r>
    </w:p>
    <w:p w:rsidR="00335478" w:rsidRDefault="0082433B">
      <w:pPr>
        <w:pStyle w:val="IPPHeadSection"/>
      </w:pPr>
      <w:r>
        <w:rPr>
          <w:rStyle w:val="PleaseReviewParagraphId"/>
          <w:b w:val="0"/>
        </w:rPr>
        <w:t>[1]</w:t>
      </w:r>
      <w:r>
        <w:t xml:space="preserve">PROJET D’ANNEXE À LA NIMP 28: </w:t>
      </w:r>
      <w:r>
        <w:rPr>
          <w:caps w:val="0"/>
        </w:rPr>
        <w:t xml:space="preserve">Traitement par le froid de </w:t>
      </w:r>
      <w:r>
        <w:rPr>
          <w:i/>
          <w:iCs/>
          <w:caps w:val="0"/>
        </w:rPr>
        <w:t>Vitis vinifera</w:t>
      </w:r>
      <w:r>
        <w:rPr>
          <w:caps w:val="0"/>
        </w:rPr>
        <w:t xml:space="preserve"> contre </w:t>
      </w:r>
      <w:r>
        <w:rPr>
          <w:i/>
          <w:iCs/>
          <w:caps w:val="0"/>
        </w:rPr>
        <w:t>Bactrocera tryoni</w:t>
      </w:r>
      <w:r>
        <w:rPr>
          <w:caps w:val="0"/>
        </w:rPr>
        <w:t xml:space="preserve"> (2017-023B)</w:t>
      </w:r>
    </w:p>
    <w:tbl>
      <w:tblPr>
        <w:tblStyle w:val="TableGrid"/>
        <w:tblW w:w="0" w:type="auto"/>
        <w:tblLook w:val="04A0" w:firstRow="1" w:lastRow="0" w:firstColumn="1" w:lastColumn="0" w:noHBand="0" w:noVBand="1"/>
      </w:tblPr>
      <w:tblGrid>
        <w:gridCol w:w="2518"/>
        <w:gridCol w:w="6184"/>
      </w:tblGrid>
      <w:tr w:rsidR="00335478">
        <w:tc>
          <w:tcPr>
            <w:tcW w:w="8702" w:type="dxa"/>
            <w:gridSpan w:val="2"/>
          </w:tcPr>
          <w:p w:rsidR="00335478" w:rsidRDefault="0082433B">
            <w:pPr>
              <w:rPr>
                <w:rFonts w:asciiTheme="majorHAnsi" w:hAnsiTheme="majorHAnsi" w:cstheme="majorHAnsi"/>
                <w:sz w:val="18"/>
                <w:szCs w:val="18"/>
              </w:rPr>
            </w:pPr>
            <w:r>
              <w:rPr>
                <w:rStyle w:val="PleaseReviewParagraphId"/>
              </w:rPr>
              <w:t>[2]</w:t>
            </w:r>
            <w:r>
              <w:rPr>
                <w:rFonts w:asciiTheme="majorHAnsi" w:hAnsiTheme="majorHAnsi"/>
                <w:b/>
                <w:sz w:val="18"/>
                <w:szCs w:val="18"/>
              </w:rPr>
              <w:t xml:space="preserve">État d’avancement du document </w:t>
            </w:r>
          </w:p>
        </w:tc>
      </w:tr>
      <w:tr w:rsidR="00335478">
        <w:tc>
          <w:tcPr>
            <w:tcW w:w="8702" w:type="dxa"/>
            <w:gridSpan w:val="2"/>
          </w:tcPr>
          <w:p w:rsidR="00335478" w:rsidRDefault="0082433B">
            <w:pPr>
              <w:rPr>
                <w:rFonts w:asciiTheme="majorHAnsi" w:hAnsiTheme="majorHAnsi" w:cstheme="majorHAnsi"/>
                <w:sz w:val="18"/>
                <w:szCs w:val="18"/>
              </w:rPr>
            </w:pPr>
            <w:r>
              <w:rPr>
                <w:rStyle w:val="PleaseReviewParagraphId"/>
              </w:rPr>
              <w:t>[3]</w:t>
            </w:r>
            <w:r>
              <w:rPr>
                <w:rFonts w:asciiTheme="majorHAnsi" w:hAnsiTheme="majorHAnsi"/>
                <w:sz w:val="18"/>
                <w:szCs w:val="18"/>
              </w:rPr>
              <w:t>Cet encadré ne fait pas officiellement partie de l</w:t>
            </w:r>
            <w:r>
              <w:rPr>
                <w:rFonts w:asciiTheme="majorHAnsi" w:hAnsiTheme="majorHAnsi"/>
                <w:sz w:val="18"/>
                <w:szCs w:val="18"/>
              </w:rPr>
              <w:t>a norme et il sera modifié par le Secrétariat de la CIPV après l’adoption.</w:t>
            </w:r>
          </w:p>
        </w:tc>
      </w:tr>
      <w:tr w:rsidR="00335478">
        <w:tc>
          <w:tcPr>
            <w:tcW w:w="2518" w:type="dxa"/>
          </w:tcPr>
          <w:p w:rsidR="00335478" w:rsidRDefault="0082433B">
            <w:pPr>
              <w:rPr>
                <w:rFonts w:asciiTheme="majorHAnsi" w:hAnsiTheme="majorHAnsi" w:cstheme="majorHAnsi"/>
                <w:sz w:val="18"/>
                <w:szCs w:val="18"/>
              </w:rPr>
            </w:pPr>
            <w:r>
              <w:rPr>
                <w:rStyle w:val="PleaseReviewParagraphId"/>
              </w:rPr>
              <w:t>[4]</w:t>
            </w:r>
            <w:r>
              <w:rPr>
                <w:rFonts w:asciiTheme="majorHAnsi" w:hAnsiTheme="majorHAnsi"/>
                <w:b/>
                <w:sz w:val="18"/>
                <w:szCs w:val="18"/>
              </w:rPr>
              <w:t>Date du présent document</w:t>
            </w:r>
          </w:p>
        </w:tc>
        <w:tc>
          <w:tcPr>
            <w:tcW w:w="6184" w:type="dxa"/>
          </w:tcPr>
          <w:p w:rsidR="00335478" w:rsidRDefault="0082433B">
            <w:pPr>
              <w:rPr>
                <w:rFonts w:asciiTheme="majorHAnsi" w:hAnsiTheme="majorHAnsi" w:cstheme="majorHAnsi"/>
                <w:sz w:val="18"/>
                <w:szCs w:val="18"/>
              </w:rPr>
            </w:pPr>
            <w:r>
              <w:rPr>
                <w:rStyle w:val="PleaseReviewParagraphId"/>
              </w:rPr>
              <w:t>[5]</w:t>
            </w:r>
            <w:r>
              <w:rPr>
                <w:rFonts w:asciiTheme="majorHAnsi" w:hAnsiTheme="majorHAnsi"/>
                <w:sz w:val="18"/>
                <w:szCs w:val="18"/>
              </w:rPr>
              <w:t>2019-03-21</w:t>
            </w:r>
          </w:p>
        </w:tc>
      </w:tr>
      <w:tr w:rsidR="00335478">
        <w:tc>
          <w:tcPr>
            <w:tcW w:w="2518" w:type="dxa"/>
          </w:tcPr>
          <w:p w:rsidR="00335478" w:rsidRDefault="0082433B">
            <w:pPr>
              <w:rPr>
                <w:rFonts w:asciiTheme="majorHAnsi" w:hAnsiTheme="majorHAnsi" w:cstheme="majorHAnsi"/>
                <w:sz w:val="18"/>
                <w:szCs w:val="18"/>
              </w:rPr>
            </w:pPr>
            <w:r>
              <w:rPr>
                <w:rStyle w:val="PleaseReviewParagraphId"/>
              </w:rPr>
              <w:t>[6]</w:t>
            </w:r>
            <w:r>
              <w:rPr>
                <w:rFonts w:asciiTheme="majorHAnsi" w:hAnsiTheme="majorHAnsi"/>
                <w:b/>
                <w:sz w:val="18"/>
                <w:szCs w:val="18"/>
              </w:rPr>
              <w:t>Catégorie du document</w:t>
            </w:r>
          </w:p>
        </w:tc>
        <w:tc>
          <w:tcPr>
            <w:tcW w:w="6184" w:type="dxa"/>
          </w:tcPr>
          <w:p w:rsidR="00335478" w:rsidRDefault="0082433B">
            <w:pPr>
              <w:rPr>
                <w:rFonts w:asciiTheme="majorHAnsi" w:hAnsiTheme="majorHAnsi" w:cstheme="majorHAnsi"/>
                <w:sz w:val="18"/>
                <w:szCs w:val="18"/>
              </w:rPr>
            </w:pPr>
            <w:r>
              <w:rPr>
                <w:rStyle w:val="PleaseReviewParagraphId"/>
              </w:rPr>
              <w:t>[7]</w:t>
            </w:r>
            <w:r>
              <w:rPr>
                <w:rFonts w:asciiTheme="majorHAnsi" w:hAnsiTheme="majorHAnsi"/>
                <w:sz w:val="18"/>
                <w:szCs w:val="18"/>
              </w:rPr>
              <w:t>Projet d’annexe à la NIMP 28</w:t>
            </w:r>
          </w:p>
        </w:tc>
      </w:tr>
      <w:tr w:rsidR="00335478">
        <w:tc>
          <w:tcPr>
            <w:tcW w:w="2518" w:type="dxa"/>
          </w:tcPr>
          <w:p w:rsidR="00335478" w:rsidRDefault="0082433B">
            <w:pPr>
              <w:rPr>
                <w:rFonts w:asciiTheme="majorHAnsi" w:hAnsiTheme="majorHAnsi" w:cstheme="majorHAnsi"/>
                <w:sz w:val="18"/>
                <w:szCs w:val="18"/>
              </w:rPr>
            </w:pPr>
            <w:r>
              <w:rPr>
                <w:rStyle w:val="PleaseReviewParagraphId"/>
              </w:rPr>
              <w:t>[8]</w:t>
            </w:r>
            <w:r>
              <w:rPr>
                <w:rFonts w:asciiTheme="majorHAnsi" w:hAnsiTheme="majorHAnsi"/>
                <w:b/>
                <w:sz w:val="18"/>
                <w:szCs w:val="18"/>
              </w:rPr>
              <w:t>Étape de la préparation du document</w:t>
            </w:r>
          </w:p>
        </w:tc>
        <w:tc>
          <w:tcPr>
            <w:tcW w:w="6184" w:type="dxa"/>
          </w:tcPr>
          <w:p w:rsidR="00335478" w:rsidRDefault="0082433B">
            <w:pPr>
              <w:rPr>
                <w:rFonts w:asciiTheme="majorHAnsi" w:hAnsiTheme="majorHAnsi" w:cstheme="majorHAnsi"/>
                <w:sz w:val="18"/>
                <w:szCs w:val="18"/>
              </w:rPr>
            </w:pPr>
            <w:r>
              <w:rPr>
                <w:rStyle w:val="PleaseReviewParagraphId"/>
              </w:rPr>
              <w:t>[9]</w:t>
            </w:r>
            <w:r>
              <w:rPr>
                <w:rFonts w:asciiTheme="majorHAnsi" w:hAnsiTheme="majorHAnsi"/>
                <w:sz w:val="18"/>
                <w:szCs w:val="18"/>
              </w:rPr>
              <w:t>Préalable à la première consultation</w:t>
            </w:r>
          </w:p>
        </w:tc>
      </w:tr>
      <w:tr w:rsidR="00335478">
        <w:tc>
          <w:tcPr>
            <w:tcW w:w="2518" w:type="dxa"/>
          </w:tcPr>
          <w:p w:rsidR="00335478" w:rsidRDefault="0082433B">
            <w:pPr>
              <w:rPr>
                <w:rFonts w:asciiTheme="majorHAnsi" w:hAnsiTheme="majorHAnsi" w:cstheme="majorHAnsi"/>
                <w:sz w:val="18"/>
                <w:szCs w:val="18"/>
              </w:rPr>
            </w:pPr>
            <w:r>
              <w:rPr>
                <w:rStyle w:val="PleaseReviewParagraphId"/>
              </w:rPr>
              <w:t>[10]</w:t>
            </w:r>
            <w:r>
              <w:rPr>
                <w:rFonts w:asciiTheme="majorHAnsi" w:hAnsiTheme="majorHAnsi"/>
                <w:b/>
                <w:sz w:val="18"/>
                <w:szCs w:val="18"/>
              </w:rPr>
              <w:t>Principales étapes</w:t>
            </w:r>
          </w:p>
        </w:tc>
        <w:tc>
          <w:tcPr>
            <w:tcW w:w="6184" w:type="dxa"/>
          </w:tcPr>
          <w:p w:rsidR="00335478" w:rsidRDefault="0082433B">
            <w:pPr>
              <w:rPr>
                <w:rFonts w:asciiTheme="majorHAnsi" w:hAnsiTheme="majorHAnsi" w:cstheme="majorHAnsi"/>
                <w:sz w:val="18"/>
                <w:szCs w:val="18"/>
              </w:rPr>
            </w:pPr>
            <w:r>
              <w:rPr>
                <w:rStyle w:val="PleaseReviewParagraphId"/>
              </w:rPr>
              <w:t>[11]</w:t>
            </w:r>
            <w:r>
              <w:rPr>
                <w:rFonts w:asciiTheme="majorHAnsi" w:hAnsiTheme="majorHAnsi"/>
                <w:sz w:val="18"/>
                <w:szCs w:val="18"/>
              </w:rPr>
              <w:t>2017-06 Le traitement est présenté en réponse à l’appel à communication de traitements de 2017-02 (</w:t>
            </w:r>
            <w:r>
              <w:rPr>
                <w:rFonts w:asciiTheme="majorHAnsi" w:hAnsiTheme="majorHAnsi"/>
                <w:i/>
                <w:sz w:val="18"/>
                <w:szCs w:val="18"/>
              </w:rPr>
              <w:t>Traitement par le froid des raisins de table australiens contre la mouche méditerranéenne des fruits et la mouche des fruits du Q</w:t>
            </w:r>
            <w:r>
              <w:rPr>
                <w:rFonts w:asciiTheme="majorHAnsi" w:hAnsiTheme="majorHAnsi"/>
                <w:i/>
                <w:sz w:val="18"/>
                <w:szCs w:val="18"/>
              </w:rPr>
              <w:t>ueensland</w:t>
            </w:r>
            <w:r>
              <w:rPr>
                <w:rFonts w:asciiTheme="majorHAnsi" w:hAnsiTheme="majorHAnsi"/>
                <w:sz w:val="18"/>
                <w:szCs w:val="18"/>
              </w:rPr>
              <w:t>).</w:t>
            </w:r>
          </w:p>
          <w:p w:rsidR="00335478" w:rsidRDefault="0082433B">
            <w:pPr>
              <w:rPr>
                <w:rFonts w:asciiTheme="majorHAnsi" w:hAnsiTheme="majorHAnsi" w:cstheme="majorHAnsi"/>
                <w:sz w:val="18"/>
                <w:szCs w:val="18"/>
              </w:rPr>
            </w:pPr>
            <w:r>
              <w:rPr>
                <w:rStyle w:val="PleaseReviewParagraphId"/>
              </w:rPr>
              <w:t>[12]</w:t>
            </w:r>
            <w:r>
              <w:rPr>
                <w:rFonts w:asciiTheme="majorHAnsi" w:hAnsiTheme="majorHAnsi"/>
                <w:sz w:val="18"/>
                <w:szCs w:val="18"/>
              </w:rPr>
              <w:t>2017-07 Le Groupe technique sur les traitements phytosanitaires (GTTP) examine la proposition.</w:t>
            </w:r>
          </w:p>
          <w:p w:rsidR="00335478" w:rsidRDefault="0082433B">
            <w:pPr>
              <w:rPr>
                <w:rFonts w:asciiTheme="majorHAnsi" w:hAnsiTheme="majorHAnsi" w:cstheme="majorHAnsi"/>
                <w:sz w:val="18"/>
                <w:szCs w:val="18"/>
              </w:rPr>
            </w:pPr>
            <w:r>
              <w:rPr>
                <w:rStyle w:val="PleaseReviewParagraphId"/>
              </w:rPr>
              <w:t>[13]</w:t>
            </w:r>
            <w:r>
              <w:rPr>
                <w:rFonts w:asciiTheme="majorHAnsi" w:hAnsiTheme="majorHAnsi"/>
                <w:sz w:val="18"/>
                <w:szCs w:val="18"/>
              </w:rPr>
              <w:t xml:space="preserve">2018-05 Le Comité des normes (CN) ajoute le thème </w:t>
            </w:r>
            <w:r>
              <w:rPr>
                <w:rFonts w:asciiTheme="majorHAnsi" w:hAnsiTheme="majorHAnsi"/>
                <w:i/>
                <w:sz w:val="18"/>
                <w:szCs w:val="18"/>
              </w:rPr>
              <w:t>Traitement par le froid des raisins de table contre</w:t>
            </w:r>
            <w:r>
              <w:rPr>
                <w:rFonts w:asciiTheme="majorHAnsi" w:hAnsiTheme="majorHAnsi"/>
                <w:sz w:val="18"/>
                <w:szCs w:val="18"/>
              </w:rPr>
              <w:t xml:space="preserve"> Bactrocera tryoni (2017</w:t>
            </w:r>
            <w:r>
              <w:rPr>
                <w:rFonts w:asciiTheme="majorHAnsi" w:hAnsiTheme="majorHAnsi"/>
                <w:sz w:val="18"/>
                <w:szCs w:val="18"/>
              </w:rPr>
              <w:noBreakHyphen/>
              <w:t>023B) au progra</w:t>
            </w:r>
            <w:r>
              <w:rPr>
                <w:rFonts w:asciiTheme="majorHAnsi" w:hAnsiTheme="majorHAnsi"/>
                <w:sz w:val="18"/>
                <w:szCs w:val="18"/>
              </w:rPr>
              <w:t>mme de travail du GTTP, avec le degré de priorité 1.</w:t>
            </w:r>
          </w:p>
          <w:p w:rsidR="00335478" w:rsidRDefault="0082433B">
            <w:pPr>
              <w:contextualSpacing/>
              <w:rPr>
                <w:rFonts w:asciiTheme="majorHAnsi" w:hAnsiTheme="majorHAnsi" w:cstheme="majorHAnsi"/>
                <w:sz w:val="18"/>
                <w:szCs w:val="18"/>
              </w:rPr>
            </w:pPr>
            <w:r>
              <w:rPr>
                <w:rStyle w:val="PleaseReviewParagraphId"/>
              </w:rPr>
              <w:t>[14]</w:t>
            </w:r>
            <w:r>
              <w:rPr>
                <w:rFonts w:asciiTheme="majorHAnsi" w:hAnsiTheme="majorHAnsi"/>
                <w:sz w:val="18"/>
                <w:szCs w:val="18"/>
              </w:rPr>
              <w:t>2018-06 Le GTTP révise le projet de texte et le recommande au CN pour une première consultation.</w:t>
            </w:r>
          </w:p>
          <w:p w:rsidR="00335478" w:rsidRDefault="0082433B">
            <w:pPr>
              <w:rPr>
                <w:rFonts w:asciiTheme="majorHAnsi" w:hAnsiTheme="majorHAnsi" w:cstheme="majorHAnsi"/>
                <w:sz w:val="18"/>
                <w:szCs w:val="18"/>
              </w:rPr>
            </w:pPr>
            <w:r>
              <w:rPr>
                <w:rStyle w:val="PleaseReviewParagraphId"/>
              </w:rPr>
              <w:t>[15]</w:t>
            </w:r>
            <w:r>
              <w:rPr>
                <w:rFonts w:asciiTheme="majorHAnsi" w:hAnsiTheme="majorHAnsi"/>
                <w:sz w:val="18"/>
                <w:szCs w:val="18"/>
              </w:rPr>
              <w:t>2018-11 Le GTTP procède à l’examen final du projet de texte dans le cadre d’un forum en ligne (201</w:t>
            </w:r>
            <w:r>
              <w:rPr>
                <w:rFonts w:asciiTheme="majorHAnsi" w:hAnsiTheme="majorHAnsi"/>
                <w:sz w:val="18"/>
                <w:szCs w:val="18"/>
              </w:rPr>
              <w:t>8_eTPPT_Oct_01).</w:t>
            </w:r>
          </w:p>
          <w:p w:rsidR="00335478" w:rsidRDefault="0082433B">
            <w:pPr>
              <w:contextualSpacing/>
              <w:rPr>
                <w:rFonts w:asciiTheme="majorHAnsi" w:hAnsiTheme="majorHAnsi" w:cstheme="majorHAnsi"/>
                <w:sz w:val="18"/>
                <w:szCs w:val="18"/>
              </w:rPr>
            </w:pPr>
            <w:r>
              <w:rPr>
                <w:rStyle w:val="PleaseReviewParagraphId"/>
              </w:rPr>
              <w:t>[16]</w:t>
            </w:r>
            <w:r>
              <w:rPr>
                <w:rFonts w:asciiTheme="majorHAnsi" w:hAnsiTheme="majorHAnsi"/>
                <w:sz w:val="18"/>
                <w:szCs w:val="18"/>
              </w:rPr>
              <w:t>2019</w:t>
            </w:r>
            <w:r>
              <w:rPr>
                <w:rFonts w:asciiTheme="majorHAnsi" w:hAnsiTheme="majorHAnsi"/>
                <w:sz w:val="18"/>
                <w:szCs w:val="18"/>
              </w:rPr>
              <w:noBreakHyphen/>
              <w:t>03 Le CN approuve le projet de document par décision électronique en vue de sa présentation pour consultation (2019_eSC_May_11).</w:t>
            </w:r>
          </w:p>
        </w:tc>
      </w:tr>
      <w:tr w:rsidR="00335478">
        <w:tc>
          <w:tcPr>
            <w:tcW w:w="2518" w:type="dxa"/>
          </w:tcPr>
          <w:p w:rsidR="00335478" w:rsidRDefault="0082433B">
            <w:pPr>
              <w:rPr>
                <w:rFonts w:asciiTheme="majorHAnsi" w:hAnsiTheme="majorHAnsi" w:cstheme="majorHAnsi"/>
                <w:sz w:val="18"/>
                <w:szCs w:val="18"/>
              </w:rPr>
            </w:pPr>
            <w:r>
              <w:rPr>
                <w:rStyle w:val="PleaseReviewParagraphId"/>
              </w:rPr>
              <w:lastRenderedPageBreak/>
              <w:t>[17]</w:t>
            </w:r>
            <w:r>
              <w:rPr>
                <w:rFonts w:asciiTheme="majorHAnsi" w:hAnsiTheme="majorHAnsi"/>
                <w:b/>
                <w:sz w:val="18"/>
                <w:szCs w:val="18"/>
              </w:rPr>
              <w:t>Expert responsable du traitement</w:t>
            </w:r>
          </w:p>
        </w:tc>
        <w:tc>
          <w:tcPr>
            <w:tcW w:w="6184" w:type="dxa"/>
          </w:tcPr>
          <w:p w:rsidR="00335478" w:rsidRDefault="0082433B">
            <w:pPr>
              <w:rPr>
                <w:rFonts w:asciiTheme="majorHAnsi" w:hAnsiTheme="majorHAnsi" w:cstheme="majorHAnsi"/>
                <w:sz w:val="18"/>
                <w:szCs w:val="18"/>
              </w:rPr>
            </w:pPr>
            <w:r>
              <w:rPr>
                <w:rStyle w:val="PleaseReviewParagraphId"/>
              </w:rPr>
              <w:t>[18]</w:t>
            </w:r>
            <w:r>
              <w:rPr>
                <w:rFonts w:asciiTheme="majorHAnsi" w:hAnsiTheme="majorHAnsi"/>
                <w:sz w:val="18"/>
                <w:szCs w:val="18"/>
              </w:rPr>
              <w:t>2017-07 M. Toshiyuki DOHINO (JP)</w:t>
            </w:r>
          </w:p>
        </w:tc>
      </w:tr>
      <w:tr w:rsidR="00335478">
        <w:tc>
          <w:tcPr>
            <w:tcW w:w="2518" w:type="dxa"/>
          </w:tcPr>
          <w:p w:rsidR="00335478" w:rsidRDefault="0082433B">
            <w:pPr>
              <w:rPr>
                <w:rFonts w:asciiTheme="majorHAnsi" w:hAnsiTheme="majorHAnsi" w:cstheme="majorHAnsi"/>
                <w:sz w:val="18"/>
                <w:szCs w:val="18"/>
              </w:rPr>
            </w:pPr>
            <w:r>
              <w:rPr>
                <w:rStyle w:val="PleaseReviewParagraphId"/>
              </w:rPr>
              <w:t>[19]</w:t>
            </w:r>
            <w:r>
              <w:rPr>
                <w:rFonts w:asciiTheme="majorHAnsi" w:hAnsiTheme="majorHAnsi"/>
                <w:b/>
                <w:sz w:val="18"/>
                <w:szCs w:val="18"/>
              </w:rPr>
              <w:t>Notes</w:t>
            </w:r>
          </w:p>
        </w:tc>
        <w:tc>
          <w:tcPr>
            <w:tcW w:w="6184" w:type="dxa"/>
          </w:tcPr>
          <w:p w:rsidR="00335478" w:rsidRDefault="0082433B">
            <w:pPr>
              <w:rPr>
                <w:rFonts w:asciiTheme="majorHAnsi" w:hAnsiTheme="majorHAnsi" w:cstheme="majorHAnsi"/>
                <w:sz w:val="18"/>
                <w:szCs w:val="18"/>
              </w:rPr>
            </w:pPr>
            <w:r>
              <w:rPr>
                <w:rStyle w:val="PleaseReviewParagraphId"/>
              </w:rPr>
              <w:t>[20]</w:t>
            </w:r>
            <w:r>
              <w:rPr>
                <w:rFonts w:asciiTheme="majorHAnsi" w:hAnsiTheme="majorHAnsi"/>
                <w:sz w:val="18"/>
                <w:szCs w:val="18"/>
              </w:rPr>
              <w:t xml:space="preserve">2018-06 </w:t>
            </w:r>
            <w:r>
              <w:rPr>
                <w:rFonts w:asciiTheme="majorHAnsi" w:hAnsiTheme="majorHAnsi"/>
                <w:sz w:val="18"/>
                <w:szCs w:val="18"/>
              </w:rPr>
              <w:t>Réunion du GTTP: le protocole de traitement 2 initialement proposé a été retiré car il s’était révélé moins efficace que le protocole de traitement 3. 2018-07 Révision éditoriale.</w:t>
            </w:r>
          </w:p>
        </w:tc>
      </w:tr>
    </w:tbl>
    <w:p w:rsidR="00335478" w:rsidRDefault="0082433B">
      <w:pPr>
        <w:pStyle w:val="IPPHeading1"/>
      </w:pPr>
      <w:r>
        <w:rPr>
          <w:rStyle w:val="PleaseReviewParagraphId"/>
          <w:b w:val="0"/>
        </w:rPr>
        <w:t>[21]</w:t>
      </w:r>
      <w:r>
        <w:t>Champ d’application du traitement</w:t>
      </w:r>
    </w:p>
    <w:p w:rsidR="00335478" w:rsidRDefault="0082433B">
      <w:pPr>
        <w:pStyle w:val="IPPParagraphnumbering"/>
        <w:numPr>
          <w:ilvl w:val="0"/>
          <w:numId w:val="0"/>
        </w:numPr>
      </w:pPr>
      <w:r>
        <w:rPr>
          <w:rStyle w:val="PleaseReviewParagraphId"/>
        </w:rPr>
        <w:t>[22]</w:t>
      </w:r>
      <w:r>
        <w:t>Dans le présent document est décr</w:t>
      </w:r>
      <w:r>
        <w:t xml:space="preserve">it le traitement par le froid des fruits de </w:t>
      </w:r>
      <w:r>
        <w:rPr>
          <w:i/>
          <w:iCs/>
        </w:rPr>
        <w:t>Vitis vinifera</w:t>
      </w:r>
      <w:r>
        <w:t xml:space="preserve"> (raisins de table) devant entraîner la mortalité des œufs et larves de </w:t>
      </w:r>
      <w:r>
        <w:rPr>
          <w:i/>
          <w:iCs/>
        </w:rPr>
        <w:t>Bactrocera tryoni</w:t>
      </w:r>
      <w:r>
        <w:t xml:space="preserve"> au degré d’efficacité déclaré</w:t>
      </w:r>
      <w:r>
        <w:rPr>
          <w:rStyle w:val="FootnoteReference"/>
          <w:rFonts w:asciiTheme="majorHAnsi" w:hAnsiTheme="majorHAnsi" w:cstheme="majorHAnsi"/>
          <w:sz w:val="18"/>
          <w:szCs w:val="18"/>
          <w:lang w:val="en-GB"/>
        </w:rPr>
        <w:footnoteReference w:id="1"/>
      </w:r>
      <w:r>
        <w:t>.</w:t>
      </w:r>
    </w:p>
    <w:p w:rsidR="00335478" w:rsidRDefault="0082433B">
      <w:pPr>
        <w:pStyle w:val="IPPHeading1"/>
      </w:pPr>
      <w:r>
        <w:rPr>
          <w:rStyle w:val="PleaseReviewParagraphId"/>
          <w:b w:val="0"/>
        </w:rPr>
        <w:t>[24]</w:t>
      </w:r>
      <w:r>
        <w:t>Description du traitement</w:t>
      </w:r>
    </w:p>
    <w:p w:rsidR="00335478" w:rsidRDefault="0082433B">
      <w:pPr>
        <w:pStyle w:val="IPPParagraphnumbering"/>
        <w:numPr>
          <w:ilvl w:val="0"/>
          <w:numId w:val="0"/>
        </w:numPr>
        <w:tabs>
          <w:tab w:val="left" w:pos="2552"/>
        </w:tabs>
      </w:pPr>
      <w:r>
        <w:rPr>
          <w:rStyle w:val="PleaseReviewParagraphId"/>
        </w:rPr>
        <w:t>[25]</w:t>
      </w:r>
      <w:r>
        <w:rPr>
          <w:b/>
        </w:rPr>
        <w:t>Nom du traitement</w:t>
      </w:r>
      <w:r>
        <w:tab/>
      </w:r>
      <w:r>
        <w:t xml:space="preserve">Traitement par le froid de </w:t>
      </w:r>
      <w:r>
        <w:rPr>
          <w:i/>
          <w:iCs/>
        </w:rPr>
        <w:t>Vitis vinifera</w:t>
      </w:r>
      <w:r>
        <w:t xml:space="preserve"> contre </w:t>
      </w:r>
      <w:r>
        <w:rPr>
          <w:i/>
          <w:iCs/>
        </w:rPr>
        <w:t>Bactrocera tryoni</w:t>
      </w:r>
    </w:p>
    <w:p w:rsidR="00335478" w:rsidRDefault="0082433B">
      <w:pPr>
        <w:pStyle w:val="IPPParagraphnumbering"/>
        <w:numPr>
          <w:ilvl w:val="0"/>
          <w:numId w:val="0"/>
        </w:numPr>
        <w:tabs>
          <w:tab w:val="left" w:pos="3119"/>
        </w:tabs>
      </w:pPr>
      <w:r>
        <w:rPr>
          <w:rStyle w:val="PleaseReviewParagraphId"/>
        </w:rPr>
        <w:t>[26]</w:t>
      </w:r>
      <w:r>
        <w:rPr>
          <w:b/>
        </w:rPr>
        <w:t>Matière active</w:t>
      </w:r>
      <w:r>
        <w:tab/>
        <w:t>Sans objet</w:t>
      </w:r>
    </w:p>
    <w:p w:rsidR="00335478" w:rsidRDefault="0082433B">
      <w:pPr>
        <w:pStyle w:val="IPPParagraphnumbering"/>
        <w:numPr>
          <w:ilvl w:val="0"/>
          <w:numId w:val="0"/>
        </w:numPr>
        <w:tabs>
          <w:tab w:val="left" w:pos="3119"/>
        </w:tabs>
      </w:pPr>
      <w:r>
        <w:rPr>
          <w:rStyle w:val="PleaseReviewParagraphId"/>
        </w:rPr>
        <w:t>[27]</w:t>
      </w:r>
      <w:r>
        <w:rPr>
          <w:b/>
        </w:rPr>
        <w:t>Type de traitement</w:t>
      </w:r>
      <w:r>
        <w:tab/>
        <w:t>Physique (traitement par le froid)</w:t>
      </w:r>
    </w:p>
    <w:p w:rsidR="00335478" w:rsidRDefault="0082433B">
      <w:pPr>
        <w:pStyle w:val="IPPParagraphnumbering"/>
        <w:numPr>
          <w:ilvl w:val="0"/>
          <w:numId w:val="0"/>
        </w:numPr>
        <w:tabs>
          <w:tab w:val="left" w:pos="3119"/>
        </w:tabs>
      </w:pPr>
      <w:r>
        <w:rPr>
          <w:rStyle w:val="PleaseReviewParagraphId"/>
        </w:rPr>
        <w:t>[28]</w:t>
      </w:r>
      <w:r>
        <w:rPr>
          <w:b/>
          <w:bCs/>
        </w:rPr>
        <w:t>Organisme nuisible visé</w:t>
      </w:r>
      <w:r>
        <w:tab/>
      </w:r>
      <w:r>
        <w:rPr>
          <w:i/>
          <w:iCs/>
        </w:rPr>
        <w:t>Bactrocera tryoni</w:t>
      </w:r>
      <w:r>
        <w:t xml:space="preserve"> (Froggatt, 1897) (Diptera: Tephritidae)</w:t>
      </w:r>
    </w:p>
    <w:p w:rsidR="00335478" w:rsidRDefault="0082433B">
      <w:pPr>
        <w:pStyle w:val="IPPParagraphnumbering"/>
        <w:numPr>
          <w:ilvl w:val="0"/>
          <w:numId w:val="0"/>
        </w:numPr>
        <w:tabs>
          <w:tab w:val="left" w:pos="3119"/>
        </w:tabs>
      </w:pPr>
      <w:r>
        <w:rPr>
          <w:rStyle w:val="PleaseReviewParagraphId"/>
        </w:rPr>
        <w:t>[29]</w:t>
      </w:r>
      <w:r>
        <w:rPr>
          <w:b/>
        </w:rPr>
        <w:t>Articles ré</w:t>
      </w:r>
      <w:r>
        <w:rPr>
          <w:b/>
        </w:rPr>
        <w:t>glementés visés</w:t>
      </w:r>
      <w:r>
        <w:tab/>
        <w:t xml:space="preserve">Fruits de </w:t>
      </w:r>
      <w:r>
        <w:rPr>
          <w:i/>
        </w:rPr>
        <w:t>Vitis vinifera</w:t>
      </w:r>
      <w:r>
        <w:t xml:space="preserve"> </w:t>
      </w:r>
    </w:p>
    <w:p w:rsidR="00335478" w:rsidRDefault="0082433B">
      <w:pPr>
        <w:pStyle w:val="IPPHeading1"/>
      </w:pPr>
      <w:r>
        <w:rPr>
          <w:rStyle w:val="PleaseReviewParagraphId"/>
          <w:b w:val="0"/>
        </w:rPr>
        <w:lastRenderedPageBreak/>
        <w:t>[30]</w:t>
      </w:r>
      <w:r>
        <w:t xml:space="preserve">Protocole de traitement </w:t>
      </w:r>
    </w:p>
    <w:p w:rsidR="00335478" w:rsidRDefault="0082433B">
      <w:pPr>
        <w:pStyle w:val="IPPParagraphnumbering"/>
        <w:numPr>
          <w:ilvl w:val="0"/>
          <w:numId w:val="0"/>
        </w:numPr>
        <w:rPr>
          <w:b/>
        </w:rPr>
      </w:pPr>
      <w:r>
        <w:rPr>
          <w:rStyle w:val="PleaseReviewParagraphId"/>
        </w:rPr>
        <w:t>[31]</w:t>
      </w:r>
      <w:r>
        <w:rPr>
          <w:b/>
        </w:rPr>
        <w:t>Protocole 1: Application d’une température inférieure ou égale à 1 °C pendant 12 jours d’affilée.</w:t>
      </w:r>
    </w:p>
    <w:p w:rsidR="00335478" w:rsidRDefault="0082433B">
      <w:pPr>
        <w:pStyle w:val="IPPParagraphnumbering"/>
        <w:numPr>
          <w:ilvl w:val="0"/>
          <w:numId w:val="0"/>
        </w:numPr>
        <w:rPr>
          <w:i/>
          <w:iCs/>
        </w:rPr>
      </w:pPr>
      <w:r>
        <w:rPr>
          <w:rStyle w:val="PleaseReviewParagraphId"/>
        </w:rPr>
        <w:t>[32]</w:t>
      </w:r>
      <w:r>
        <w:t>On considère avec une certitude de 95 % que le traitement effectué selon ce pro</w:t>
      </w:r>
      <w:r>
        <w:t xml:space="preserve">tocole empêche au moins 99,9964 % des œufs et larves de </w:t>
      </w:r>
      <w:r>
        <w:rPr>
          <w:i/>
          <w:iCs/>
        </w:rPr>
        <w:t>Bactrocera tryoni</w:t>
      </w:r>
      <w:r>
        <w:t xml:space="preserve"> de parvenir au stade de formation du puparium</w:t>
      </w:r>
      <w:r>
        <w:rPr>
          <w:i/>
          <w:iCs/>
        </w:rPr>
        <w:t>.</w:t>
      </w:r>
    </w:p>
    <w:p w:rsidR="00335478" w:rsidRDefault="0082433B">
      <w:pPr>
        <w:pStyle w:val="IPPParagraphnumbering"/>
        <w:numPr>
          <w:ilvl w:val="0"/>
          <w:numId w:val="0"/>
        </w:numPr>
        <w:rPr>
          <w:b/>
        </w:rPr>
      </w:pPr>
      <w:r>
        <w:rPr>
          <w:rStyle w:val="PleaseReviewParagraphId"/>
        </w:rPr>
        <w:t>[33]</w:t>
      </w:r>
      <w:r>
        <w:rPr>
          <w:b/>
        </w:rPr>
        <w:t>Protocole 2: Application d’une température inférieure ou égale à 3 °C pendant 14 jours d’affilée.</w:t>
      </w:r>
    </w:p>
    <w:p w:rsidR="00335478" w:rsidRDefault="0082433B">
      <w:pPr>
        <w:pStyle w:val="IPPParagraphnumbering"/>
        <w:numPr>
          <w:ilvl w:val="0"/>
          <w:numId w:val="0"/>
        </w:numPr>
        <w:rPr>
          <w:i/>
          <w:iCs/>
        </w:rPr>
      </w:pPr>
      <w:r>
        <w:rPr>
          <w:rStyle w:val="PleaseReviewParagraphId"/>
        </w:rPr>
        <w:t>[34]</w:t>
      </w:r>
      <w:r>
        <w:t>On considère avec une certitu</w:t>
      </w:r>
      <w:r>
        <w:t xml:space="preserve">de de 95 % que le traitement effectué selon ce protocole empêche au moins 99,9984 % des œufs et larves de </w:t>
      </w:r>
      <w:r>
        <w:rPr>
          <w:i/>
          <w:iCs/>
        </w:rPr>
        <w:t>Bactrocera tryoni</w:t>
      </w:r>
      <w:r>
        <w:t xml:space="preserve"> de parvenir au stade de formation du puparium</w:t>
      </w:r>
      <w:r>
        <w:rPr>
          <w:i/>
          <w:iCs/>
        </w:rPr>
        <w:t>.</w:t>
      </w:r>
    </w:p>
    <w:p w:rsidR="00335478" w:rsidRDefault="0082433B">
      <w:pPr>
        <w:pStyle w:val="IPPParagraphnumbering"/>
        <w:numPr>
          <w:ilvl w:val="0"/>
          <w:numId w:val="0"/>
        </w:numPr>
      </w:pPr>
      <w:r>
        <w:rPr>
          <w:rStyle w:val="PleaseReviewParagraphId"/>
        </w:rPr>
        <w:t>[35]</w:t>
      </w:r>
      <w:r>
        <w:t xml:space="preserve">Dans les deux protocoles, le fruit doit atteindre la température de traitement </w:t>
      </w:r>
      <w:r>
        <w:t>avant que le décompte du temps d’exposition ne soit enclenché. La température du fruit devrait être surveillée et enregistrée et elle ne devrait pas dépasser le niveau déclaré pendant toute la durée du traitement.</w:t>
      </w:r>
    </w:p>
    <w:p w:rsidR="00335478" w:rsidRDefault="0082433B">
      <w:pPr>
        <w:pStyle w:val="IPPParagraphnumbering"/>
        <w:numPr>
          <w:ilvl w:val="0"/>
          <w:numId w:val="0"/>
        </w:numPr>
      </w:pPr>
      <w:r>
        <w:rPr>
          <w:rStyle w:val="PleaseReviewParagraphId"/>
        </w:rPr>
        <w:t>[36]</w:t>
      </w:r>
      <w:r>
        <w:t>Le traitement devrait être appliqué co</w:t>
      </w:r>
      <w:r>
        <w:t>nformément aux prescriptions figurant dans la NIMP 42 (</w:t>
      </w:r>
      <w:r>
        <w:rPr>
          <w:i/>
          <w:iCs/>
        </w:rPr>
        <w:t>Exigences pour l’utilisation de traitements thermiques comme mesure phytosanitaire</w:t>
      </w:r>
      <w:r>
        <w:t>).</w:t>
      </w:r>
    </w:p>
    <w:p w:rsidR="00335478" w:rsidRDefault="0082433B">
      <w:pPr>
        <w:pStyle w:val="IPPHeading1"/>
      </w:pPr>
      <w:r>
        <w:rPr>
          <w:rStyle w:val="PleaseReviewParagraphId"/>
          <w:b w:val="0"/>
        </w:rPr>
        <w:t>[37]</w:t>
      </w:r>
      <w:r>
        <w:t>Autres informations pertinentes</w:t>
      </w:r>
    </w:p>
    <w:p w:rsidR="00335478" w:rsidRDefault="0082433B">
      <w:pPr>
        <w:pStyle w:val="IPPParagraphnumbering"/>
        <w:numPr>
          <w:ilvl w:val="0"/>
          <w:numId w:val="0"/>
        </w:numPr>
      </w:pPr>
      <w:r>
        <w:rPr>
          <w:rStyle w:val="PleaseReviewParagraphId"/>
        </w:rPr>
        <w:t>[38]</w:t>
      </w:r>
      <w:r>
        <w:t>Pour évaluer ce traitement, le Groupe technique sur les traitements phytosan</w:t>
      </w:r>
      <w:r>
        <w:t xml:space="preserve">itaires a examiné les questions relatives aux régimes de température et au conditionnement thermique, en tenant compte des travaux de Hallman et Mangan (1997). </w:t>
      </w:r>
    </w:p>
    <w:p w:rsidR="00335478" w:rsidRDefault="0082433B">
      <w:pPr>
        <w:pStyle w:val="IPPParagraphnumbering"/>
        <w:numPr>
          <w:ilvl w:val="0"/>
          <w:numId w:val="0"/>
        </w:numPr>
      </w:pPr>
      <w:r>
        <w:rPr>
          <w:rStyle w:val="PleaseReviewParagraphId"/>
        </w:rPr>
        <w:t>[39]</w:t>
      </w:r>
      <w:r>
        <w:t>L’efficacité des protocoles 1 et 2 a été calculée sur la base du nombre estimatif de larves</w:t>
      </w:r>
      <w:r>
        <w:t xml:space="preserve"> traitées n’ayant pas survécu, soit respectivement</w:t>
      </w:r>
      <w:r>
        <w:rPr>
          <w:i/>
          <w:iCs/>
        </w:rPr>
        <w:t xml:space="preserve"> </w:t>
      </w:r>
      <w:r>
        <w:t>82 863 et 182 450.</w:t>
      </w:r>
    </w:p>
    <w:p w:rsidR="00335478" w:rsidRDefault="0082433B">
      <w:pPr>
        <w:pStyle w:val="IPPParagraphnumbering"/>
        <w:numPr>
          <w:ilvl w:val="0"/>
          <w:numId w:val="0"/>
        </w:numPr>
      </w:pPr>
      <w:r>
        <w:rPr>
          <w:rStyle w:val="PleaseReviewParagraphId"/>
        </w:rPr>
        <w:t>[40]</w:t>
      </w:r>
      <w:r>
        <w:t xml:space="preserve">Les protocoles de traitement 1 et 2 s’appuient sur les travaux de De Lima </w:t>
      </w:r>
      <w:r>
        <w:rPr>
          <w:i/>
          <w:iCs/>
        </w:rPr>
        <w:t>et al.</w:t>
      </w:r>
      <w:r>
        <w:t xml:space="preserve"> (2011)</w:t>
      </w:r>
      <w:r>
        <w:rPr>
          <w:color w:val="FF0000"/>
        </w:rPr>
        <w:t xml:space="preserve"> </w:t>
      </w:r>
      <w:r>
        <w:t>et du NSW DPI (2007); ils ont été mis au point en utilisant la non-formation du puparium comme</w:t>
      </w:r>
      <w:r>
        <w:t xml:space="preserve"> paramètre de mesure de la mortalité.</w:t>
      </w:r>
    </w:p>
    <w:p w:rsidR="00335478" w:rsidRDefault="0082433B">
      <w:pPr>
        <w:pStyle w:val="IPPParagraphnumbering"/>
        <w:numPr>
          <w:ilvl w:val="0"/>
          <w:numId w:val="0"/>
        </w:numPr>
      </w:pPr>
      <w:r>
        <w:rPr>
          <w:rStyle w:val="PleaseReviewParagraphId"/>
        </w:rPr>
        <w:t>[41]</w:t>
      </w:r>
      <w:r>
        <w:t>Le protocole 1 a été élaboré en utilisant les cultivars «Ruby Seedless», «Flame Seedless» et «Thompson Seedless».</w:t>
      </w:r>
    </w:p>
    <w:p w:rsidR="00335478" w:rsidRDefault="0082433B">
      <w:pPr>
        <w:pStyle w:val="IPPParagraphnumbering"/>
        <w:numPr>
          <w:ilvl w:val="0"/>
          <w:numId w:val="0"/>
        </w:numPr>
      </w:pPr>
      <w:r>
        <w:rPr>
          <w:rStyle w:val="PleaseReviewParagraphId"/>
        </w:rPr>
        <w:lastRenderedPageBreak/>
        <w:t>[42]</w:t>
      </w:r>
      <w:r>
        <w:t xml:space="preserve">Le protocole 2 a été mis au point en utilisant les cultivars «Red Globe», «Crimson Seedless» et </w:t>
      </w:r>
      <w:r>
        <w:t>«Thompson Seedless».</w:t>
      </w:r>
    </w:p>
    <w:p w:rsidR="00335478" w:rsidRDefault="0082433B">
      <w:pPr>
        <w:pStyle w:val="IPPHeading1"/>
      </w:pPr>
      <w:r>
        <w:rPr>
          <w:rStyle w:val="PleaseReviewParagraphId"/>
          <w:b w:val="0"/>
        </w:rPr>
        <w:t>[43]</w:t>
      </w:r>
      <w:r>
        <w:t>Références</w:t>
      </w:r>
    </w:p>
    <w:p w:rsidR="00335478" w:rsidRDefault="0082433B">
      <w:pPr>
        <w:pStyle w:val="IPPParagraphnumbering"/>
        <w:numPr>
          <w:ilvl w:val="0"/>
          <w:numId w:val="0"/>
        </w:numPr>
        <w:rPr>
          <w:b/>
        </w:rPr>
      </w:pPr>
      <w:r>
        <w:rPr>
          <w:rStyle w:val="PleaseReviewParagraphId"/>
        </w:rPr>
        <w:t>[44]</w:t>
      </w:r>
      <w:r>
        <w:t>La présente annexe peut renvoyer à des normes internationales pour les mesures phytosanitaires (NIMP). Les NIMP sont publiées sur le Portail phytosanitaire international (PPI), à la page: </w:t>
      </w:r>
      <w:hyperlink r:id="rId8" w:history="1">
        <w:r>
          <w:rPr>
            <w:rStyle w:val="Hyperlink"/>
          </w:rPr>
          <w:t>https://www.ippc.int/core-activities/standards-setting/ispms</w:t>
        </w:r>
      </w:hyperlink>
      <w:r>
        <w:t>.</w:t>
      </w:r>
    </w:p>
    <w:p w:rsidR="00335478" w:rsidRDefault="0082433B">
      <w:pPr>
        <w:pStyle w:val="IPPReferences"/>
      </w:pPr>
      <w:r>
        <w:rPr>
          <w:rStyle w:val="PleaseReviewParagraphId"/>
        </w:rPr>
        <w:t>[45]</w:t>
      </w:r>
      <w:r>
        <w:rPr>
          <w:b/>
        </w:rPr>
        <w:t>De Lima, C. P. F., Jessup, A. J., Mansfield, E. R., et Daniels, D.</w:t>
      </w:r>
      <w:r>
        <w:t xml:space="preserve"> 2011. </w:t>
      </w:r>
      <w:r>
        <w:t>Cold treatment of table grapes infested with Mediterranean fruit fly</w:t>
      </w:r>
      <w:r>
        <w:t xml:space="preserve"> </w:t>
      </w:r>
      <w:r>
        <w:rPr>
          <w:i/>
        </w:rPr>
        <w:t>Ceratitis capitata</w:t>
      </w:r>
      <w:r>
        <w:t xml:space="preserve"> (Wiedemann) and Queensland fruit fly </w:t>
      </w:r>
      <w:r>
        <w:rPr>
          <w:i/>
        </w:rPr>
        <w:t>Bactrocera tryoni</w:t>
      </w:r>
      <w:r>
        <w:t xml:space="preserve"> (Froggatt) Diptera: Tephritidae. In </w:t>
      </w:r>
      <w:r>
        <w:rPr>
          <w:i/>
        </w:rPr>
        <w:t>New Zealand Journal of Crop and Horticultural Science</w:t>
      </w:r>
      <w:r>
        <w:t>, 39 (2): 95</w:t>
      </w:r>
      <w:r>
        <w:noBreakHyphen/>
        <w:t>105.</w:t>
      </w:r>
    </w:p>
    <w:p w:rsidR="00335478" w:rsidRDefault="0082433B">
      <w:pPr>
        <w:pStyle w:val="IPPReferences"/>
      </w:pPr>
      <w:r>
        <w:rPr>
          <w:rStyle w:val="PleaseReviewParagraphId"/>
        </w:rPr>
        <w:t>[46]</w:t>
      </w:r>
      <w:r>
        <w:rPr>
          <w:b/>
          <w:bCs/>
        </w:rPr>
        <w:t xml:space="preserve">Hallman, G. J., et Mangan, R. L. </w:t>
      </w:r>
      <w:r>
        <w:t>1997. Concerns with temperature quara</w:t>
      </w:r>
      <w:r>
        <w:t>ntine treatment research. In</w:t>
      </w:r>
      <w:r>
        <w:rPr>
          <w:b/>
        </w:rPr>
        <w:t xml:space="preserve"> </w:t>
      </w:r>
      <w:r>
        <w:t xml:space="preserve">G. L. Obenauf (sous la direction de). </w:t>
      </w:r>
      <w:r>
        <w:rPr>
          <w:i/>
          <w:iCs/>
        </w:rPr>
        <w:t>Proceedings of the Annual International Research Conference on Methyl Bromide Alternatives and Emissions Reduction</w:t>
      </w:r>
      <w:r>
        <w:t>, San Diego (Californie, États-Unis d’Amérique), 3</w:t>
      </w:r>
      <w:r>
        <w:noBreakHyphen/>
        <w:t>5 novembre 1997, pp. 79</w:t>
      </w:r>
      <w:r>
        <w:rPr>
          <w:rFonts w:ascii="MS Gothic" w:hAnsi="MS Gothic" w:cs="MS Gothic"/>
          <w:sz w:val="18"/>
          <w:szCs w:val="18"/>
        </w:rPr>
        <w:t>‑</w:t>
      </w:r>
      <w:r>
        <w:t>1</w:t>
      </w:r>
      <w:r>
        <w:noBreakHyphen/>
        <w:t>79</w:t>
      </w:r>
      <w:r>
        <w:rPr>
          <w:rFonts w:ascii="MS Gothic" w:hAnsi="MS Gothic" w:cs="MS Gothic"/>
          <w:sz w:val="18"/>
          <w:szCs w:val="18"/>
        </w:rPr>
        <w:t>‑</w:t>
      </w:r>
      <w:r>
        <w:t>4.</w:t>
      </w:r>
    </w:p>
    <w:p w:rsidR="00335478" w:rsidRDefault="0082433B">
      <w:pPr>
        <w:pStyle w:val="IPPReferences"/>
        <w:spacing w:after="240"/>
      </w:pPr>
      <w:r>
        <w:rPr>
          <w:rStyle w:val="PleaseReviewParagraphId"/>
        </w:rPr>
        <w:t>[47]</w:t>
      </w:r>
      <w:r>
        <w:rPr>
          <w:b/>
        </w:rPr>
        <w:t xml:space="preserve">NSW DPI </w:t>
      </w:r>
      <w:r>
        <w:t xml:space="preserve">(Département des industries primaires de la Nouvelle-Galles du Sud). 2007. </w:t>
      </w:r>
      <w:r>
        <w:rPr>
          <w:i/>
        </w:rPr>
        <w:t>Cold treatment of Australian table grapes infested with eggs and larvae of the Queensland fruit fly (</w:t>
      </w:r>
      <w:r>
        <w:t>Bactrocera tryoni</w:t>
      </w:r>
      <w:r>
        <w:rPr>
          <w:i/>
        </w:rPr>
        <w:t xml:space="preserve"> (Froggatt)) Diptera: </w:t>
      </w:r>
      <w:r>
        <w:t xml:space="preserve">Tephritidae. Gosford (Australie), NSW DPI. </w:t>
      </w:r>
    </w:p>
    <w:sectPr w:rsidR="00335478">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57F75" w16cid:durableId="1EFC3962"/>
  <w16cid:commentId w16cid:paraId="3DB01CE9" w16cid:durableId="1EFE3620"/>
  <w16cid:commentId w16cid:paraId="524A4F3F" w16cid:durableId="1EFE363D"/>
  <w16cid:commentId w16cid:paraId="6BA0A967" w16cid:durableId="1EFC3985"/>
  <w16cid:commentId w16cid:paraId="2D475A5C" w16cid:durableId="1EFE2D73"/>
  <w16cid:commentId w16cid:paraId="74E6F90E" w16cid:durableId="1F006095"/>
  <w16cid:commentId w16cid:paraId="56BF7AAA" w16cid:durableId="1F0050B9"/>
  <w16cid:commentId w16cid:paraId="4953FFDB" w16cid:durableId="1F04039E"/>
  <w16cid:commentId w16cid:paraId="2B1C0C10" w16cid:durableId="1EF9C87D"/>
  <w16cid:commentId w16cid:paraId="0F1F2C88" w16cid:durableId="1F0403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78" w:rsidRDefault="0082433B">
      <w:r>
        <w:rPr>
          <w:rStyle w:val="PleaseReviewParagraphId"/>
        </w:rPr>
        <w:t>[]</w:t>
      </w:r>
      <w:r>
        <w:separator/>
      </w:r>
    </w:p>
  </w:endnote>
  <w:endnote w:type="continuationSeparator" w:id="0">
    <w:p w:rsidR="00335478" w:rsidRDefault="0082433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78" w:rsidRDefault="0082433B">
      <w:r>
        <w:rPr>
          <w:rStyle w:val="PleaseReviewParagraphId"/>
        </w:rPr>
        <w:t>[]</w:t>
      </w:r>
      <w:r>
        <w:separator/>
      </w:r>
    </w:p>
  </w:footnote>
  <w:footnote w:type="continuationSeparator" w:id="0">
    <w:p w:rsidR="00335478" w:rsidRDefault="0082433B">
      <w:r>
        <w:rPr>
          <w:rStyle w:val="PleaseReviewParagraphId"/>
        </w:rPr>
        <w:t>[]</w:t>
      </w:r>
      <w:r>
        <w:continuationSeparator/>
      </w:r>
    </w:p>
  </w:footnote>
  <w:footnote w:id="1">
    <w:p w:rsidR="00335478" w:rsidRDefault="0082433B">
      <w:pPr>
        <w:pStyle w:val="IPPFootnote"/>
      </w:pPr>
      <w:r>
        <w:rPr>
          <w:rStyle w:val="PleaseReviewParagraphId"/>
        </w:rPr>
        <w:t>[23]</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w:t>
      </w:r>
      <w:r>
        <w:t xml:space="preserve">mission des mesures phytosanitaires ne donnent pas forcément d’informations au sujet de certains effets particuliers sur la santé humaine ou sur l’innocuité des denrées alimentaires; les pays devraient examiner ceux-ci suivant leurs procédures pertinentes </w:t>
      </w:r>
      <w:r>
        <w:t>avant approbation de chaque traitement. En outre, les effets potentiels des traitements sur la qualité des produits sont pris en compte pour certaines marchandises hôtes avant l’adoption au plan international desdits traitements. Cependant, l’évaluation de</w:t>
      </w:r>
      <w:r>
        <w:t>s éventuels effets d’un traitement sur la qualité des marchandises peut nécessiter un examen complémentaire. Il n’est fait aucune obligation aux parties contractantes d’approuver, d’homologuer ni d’adopter lesdits traitements en vue de les appliquer sur le</w:t>
      </w:r>
      <w:r>
        <w:t>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7736"/>
    <w:rsid w:val="00013D7D"/>
    <w:rsid w:val="0002100A"/>
    <w:rsid w:val="00047904"/>
    <w:rsid w:val="0005786A"/>
    <w:rsid w:val="000622BA"/>
    <w:rsid w:val="00062D6C"/>
    <w:rsid w:val="00067B26"/>
    <w:rsid w:val="0007301A"/>
    <w:rsid w:val="000A089C"/>
    <w:rsid w:val="000A609B"/>
    <w:rsid w:val="000E5160"/>
    <w:rsid w:val="000E577C"/>
    <w:rsid w:val="000E664C"/>
    <w:rsid w:val="0010220C"/>
    <w:rsid w:val="001149E7"/>
    <w:rsid w:val="0016065E"/>
    <w:rsid w:val="001622B9"/>
    <w:rsid w:val="001B58AF"/>
    <w:rsid w:val="001E22A5"/>
    <w:rsid w:val="001E4745"/>
    <w:rsid w:val="001E7B6B"/>
    <w:rsid w:val="0020483A"/>
    <w:rsid w:val="0021221A"/>
    <w:rsid w:val="00212625"/>
    <w:rsid w:val="002234C4"/>
    <w:rsid w:val="002439FB"/>
    <w:rsid w:val="0027587F"/>
    <w:rsid w:val="00283AF9"/>
    <w:rsid w:val="00284B1B"/>
    <w:rsid w:val="002A55BC"/>
    <w:rsid w:val="002A63F7"/>
    <w:rsid w:val="002B05EE"/>
    <w:rsid w:val="002C4131"/>
    <w:rsid w:val="002D4D20"/>
    <w:rsid w:val="002E34CA"/>
    <w:rsid w:val="00314907"/>
    <w:rsid w:val="00335478"/>
    <w:rsid w:val="00336A48"/>
    <w:rsid w:val="00372805"/>
    <w:rsid w:val="0037428F"/>
    <w:rsid w:val="00381B48"/>
    <w:rsid w:val="00391508"/>
    <w:rsid w:val="003A1960"/>
    <w:rsid w:val="003D0318"/>
    <w:rsid w:val="003D35DD"/>
    <w:rsid w:val="003E2882"/>
    <w:rsid w:val="003E3C7A"/>
    <w:rsid w:val="003E69FE"/>
    <w:rsid w:val="003E7842"/>
    <w:rsid w:val="003F1CDC"/>
    <w:rsid w:val="00431205"/>
    <w:rsid w:val="004532F8"/>
    <w:rsid w:val="0047651B"/>
    <w:rsid w:val="004820C5"/>
    <w:rsid w:val="00494079"/>
    <w:rsid w:val="004A6439"/>
    <w:rsid w:val="004B4329"/>
    <w:rsid w:val="004B7589"/>
    <w:rsid w:val="004B7BFC"/>
    <w:rsid w:val="004D5A61"/>
    <w:rsid w:val="004F0E1D"/>
    <w:rsid w:val="005201DC"/>
    <w:rsid w:val="005332F0"/>
    <w:rsid w:val="0055496F"/>
    <w:rsid w:val="00561B9F"/>
    <w:rsid w:val="0057386F"/>
    <w:rsid w:val="005964AF"/>
    <w:rsid w:val="005B419D"/>
    <w:rsid w:val="005E7EB6"/>
    <w:rsid w:val="0060370D"/>
    <w:rsid w:val="00612158"/>
    <w:rsid w:val="00631826"/>
    <w:rsid w:val="0063799F"/>
    <w:rsid w:val="00655844"/>
    <w:rsid w:val="006572BE"/>
    <w:rsid w:val="006712C6"/>
    <w:rsid w:val="00680343"/>
    <w:rsid w:val="006942D9"/>
    <w:rsid w:val="006A6CFA"/>
    <w:rsid w:val="006B08B8"/>
    <w:rsid w:val="006B1330"/>
    <w:rsid w:val="006E1A17"/>
    <w:rsid w:val="00715ACA"/>
    <w:rsid w:val="00730CB4"/>
    <w:rsid w:val="00774472"/>
    <w:rsid w:val="00781961"/>
    <w:rsid w:val="007B57A8"/>
    <w:rsid w:val="007D6289"/>
    <w:rsid w:val="007F68DD"/>
    <w:rsid w:val="00821691"/>
    <w:rsid w:val="0082433B"/>
    <w:rsid w:val="008572C1"/>
    <w:rsid w:val="00862351"/>
    <w:rsid w:val="00872432"/>
    <w:rsid w:val="00891D13"/>
    <w:rsid w:val="00893B78"/>
    <w:rsid w:val="008A07FF"/>
    <w:rsid w:val="008C6ABF"/>
    <w:rsid w:val="009164CC"/>
    <w:rsid w:val="0092026A"/>
    <w:rsid w:val="00930F65"/>
    <w:rsid w:val="00943448"/>
    <w:rsid w:val="00984366"/>
    <w:rsid w:val="0098548D"/>
    <w:rsid w:val="00990CDD"/>
    <w:rsid w:val="009B44C6"/>
    <w:rsid w:val="009F7EFA"/>
    <w:rsid w:val="00A04A22"/>
    <w:rsid w:val="00A123C7"/>
    <w:rsid w:val="00A2375C"/>
    <w:rsid w:val="00A23D92"/>
    <w:rsid w:val="00A2595C"/>
    <w:rsid w:val="00A44294"/>
    <w:rsid w:val="00A54B26"/>
    <w:rsid w:val="00A633D8"/>
    <w:rsid w:val="00AA44DB"/>
    <w:rsid w:val="00AC68F6"/>
    <w:rsid w:val="00AF0C3F"/>
    <w:rsid w:val="00B05173"/>
    <w:rsid w:val="00B11B90"/>
    <w:rsid w:val="00B23BA9"/>
    <w:rsid w:val="00B27889"/>
    <w:rsid w:val="00B5431A"/>
    <w:rsid w:val="00B71D56"/>
    <w:rsid w:val="00BB38DE"/>
    <w:rsid w:val="00BC6B30"/>
    <w:rsid w:val="00BE4F27"/>
    <w:rsid w:val="00C45F33"/>
    <w:rsid w:val="00C562A8"/>
    <w:rsid w:val="00C65056"/>
    <w:rsid w:val="00CB3887"/>
    <w:rsid w:val="00CB5ABA"/>
    <w:rsid w:val="00CC0CA7"/>
    <w:rsid w:val="00CD3874"/>
    <w:rsid w:val="00CE0B56"/>
    <w:rsid w:val="00D13F58"/>
    <w:rsid w:val="00D170C6"/>
    <w:rsid w:val="00D271CE"/>
    <w:rsid w:val="00D3635E"/>
    <w:rsid w:val="00D66F3B"/>
    <w:rsid w:val="00D75E17"/>
    <w:rsid w:val="00D86618"/>
    <w:rsid w:val="00DD61DF"/>
    <w:rsid w:val="00DF2D9E"/>
    <w:rsid w:val="00E05069"/>
    <w:rsid w:val="00E302F8"/>
    <w:rsid w:val="00E3502E"/>
    <w:rsid w:val="00E662EA"/>
    <w:rsid w:val="00EB23A6"/>
    <w:rsid w:val="00EB434D"/>
    <w:rsid w:val="00EC0413"/>
    <w:rsid w:val="00EC2F0F"/>
    <w:rsid w:val="00EC5B6F"/>
    <w:rsid w:val="00ED7C96"/>
    <w:rsid w:val="00EE2BC3"/>
    <w:rsid w:val="00EF7797"/>
    <w:rsid w:val="00F14A25"/>
    <w:rsid w:val="00F16024"/>
    <w:rsid w:val="00F17FB0"/>
    <w:rsid w:val="00F26A4F"/>
    <w:rsid w:val="00F26BA5"/>
    <w:rsid w:val="00F5466F"/>
    <w:rsid w:val="00F55FFB"/>
    <w:rsid w:val="00F77115"/>
    <w:rsid w:val="00F84CE9"/>
    <w:rsid w:val="00F9649A"/>
    <w:rsid w:val="00FD2934"/>
    <w:rsid w:val="00FE5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824F208-B978-4B02-9ACD-3518C1B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3B"/>
    <w:pPr>
      <w:spacing w:after="160" w:line="259" w:lineRule="auto"/>
    </w:pPr>
    <w:rPr>
      <w:rFonts w:eastAsiaTheme="minorHAnsi"/>
      <w:kern w:val="0"/>
      <w:sz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243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433B"/>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fr-FR"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fr-FR"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eastAsia="en-US"/>
    </w:rPr>
  </w:style>
  <w:style w:type="table" w:styleId="TableGrid">
    <w:name w:val="Table Grid"/>
    <w:basedOn w:val="TableNormal"/>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fr-FR" w:eastAsia="en-US"/>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fr-FR" w:eastAsia="en-U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eastAsia="en-U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kern w:val="0"/>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fr-FR" w:eastAsia="en-U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fr-F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fr-FR"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eastAsia="en-US"/>
    </w:rPr>
  </w:style>
  <w:style w:type="character" w:customStyle="1" w:styleId="IPPNormalChar">
    <w:name w:val="IPP Normal Char"/>
    <w:link w:val="IPPNormal"/>
    <w:rPr>
      <w:rFonts w:ascii="Times New Roman" w:eastAsia="Times" w:hAnsi="Times New Roman" w:cs="Times New Roman"/>
      <w:kern w:val="0"/>
      <w:sz w:val="22"/>
      <w:szCs w:val="24"/>
      <w:lang w:val="fr-FR"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31899">
      <w:bodyDiv w:val="1"/>
      <w:marLeft w:val="0"/>
      <w:marRight w:val="0"/>
      <w:marTop w:val="0"/>
      <w:marBottom w:val="0"/>
      <w:divBdr>
        <w:top w:val="none" w:sz="0" w:space="0" w:color="auto"/>
        <w:left w:val="none" w:sz="0" w:space="0" w:color="auto"/>
        <w:bottom w:val="none" w:sz="0" w:space="0" w:color="auto"/>
        <w:right w:val="none" w:sz="0" w:space="0" w:color="auto"/>
      </w:divBdr>
    </w:div>
    <w:div w:id="1594706138">
      <w:bodyDiv w:val="1"/>
      <w:marLeft w:val="0"/>
      <w:marRight w:val="0"/>
      <w:marTop w:val="0"/>
      <w:marBottom w:val="0"/>
      <w:divBdr>
        <w:top w:val="none" w:sz="0" w:space="0" w:color="auto"/>
        <w:left w:val="none" w:sz="0" w:space="0" w:color="auto"/>
        <w:bottom w:val="none" w:sz="0" w:space="0" w:color="auto"/>
        <w:right w:val="none" w:sz="0" w:space="0" w:color="auto"/>
      </w:divBdr>
    </w:div>
    <w:div w:id="20171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9CDD076-153B-4A1F-B82F-3C82E09F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cp:lastPrinted>2019-05-06T13:14:00Z</cp:lastPrinted>
  <dcterms:created xsi:type="dcterms:W3CDTF">2019-07-01T11:49:00Z</dcterms:created>
  <dcterms:modified xsi:type="dcterms:W3CDTF">2019-07-01T11:49:00Z</dcterms:modified>
</cp:coreProperties>
</file>