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FB" w:rsidRDefault="00F10DAD">
      <w:pPr>
        <w:jc w:val="center"/>
      </w:pPr>
      <w:bookmarkStart w:id="0" w:name="_GoBack"/>
      <w:bookmarkEnd w:id="0"/>
      <w:r>
        <w:rPr>
          <w:rStyle w:val="PleaseReviewParagraphId"/>
          <w:noProof/>
          <w:sz w:val="20"/>
        </w:rPr>
        <w:t xml:space="preserve">[PleaseReview document review. Review title: 2020 first consultation Draft PT: Draft PT Irradiation Treatment for Tortricidae on fruits (2017-011). Document title: Draft PT Traitement </w:t>
      </w:r>
      <w:r>
        <w:rPr>
          <w:rStyle w:val="PleaseReviewParagraphId"/>
          <w:noProof/>
          <w:sz w:val="20"/>
        </w:rPr>
        <w:t>par irradiation de fruits-Tortricidae (2017-011)_fr.docx]</w:t>
      </w:r>
    </w:p>
    <w:p w:rsidR="008373FB" w:rsidRDefault="00F10DAD">
      <w:pPr>
        <w:pStyle w:val="IPPHeading1"/>
        <w:tabs>
          <w:tab w:val="clear" w:pos="567"/>
        </w:tabs>
        <w:ind w:left="0" w:firstLine="0"/>
      </w:pPr>
      <w:r>
        <w:rPr>
          <w:rStyle w:val="PleaseReviewParagraphId"/>
          <w:b w:val="0"/>
        </w:rPr>
        <w:t>[1]</w:t>
      </w:r>
      <w:bookmarkStart w:id="1" w:name="_Toc121913536"/>
      <w:r>
        <w:t>PROJET D’ANNEXE À LA NIMP 28: Traitement par irradiation de fruits contre les Tortricidae (2017-011)</w:t>
      </w:r>
    </w:p>
    <w:p w:rsidR="008373FB" w:rsidRDefault="00F10DAD">
      <w:pPr>
        <w:pStyle w:val="IPPArialTable"/>
        <w:rPr>
          <w:b/>
          <w:bCs/>
        </w:rPr>
      </w:pPr>
      <w:r>
        <w:rPr>
          <w:rStyle w:val="PleaseReviewParagraphId"/>
        </w:rPr>
        <w:t>[2]</w:t>
      </w:r>
      <w:r>
        <w:rPr>
          <w:b/>
          <w:bCs/>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373FB">
        <w:trPr>
          <w:trHeight w:val="286"/>
        </w:trPr>
        <w:tc>
          <w:tcPr>
            <w:tcW w:w="9039" w:type="dxa"/>
            <w:gridSpan w:val="2"/>
            <w:tcBorders>
              <w:top w:val="single" w:sz="4" w:space="0" w:color="auto"/>
              <w:left w:val="single" w:sz="4" w:space="0" w:color="auto"/>
              <w:right w:val="single" w:sz="4" w:space="0" w:color="auto"/>
            </w:tcBorders>
          </w:tcPr>
          <w:p w:rsidR="008373FB" w:rsidRDefault="00F10DAD">
            <w:pPr>
              <w:pStyle w:val="IPPArialTable"/>
            </w:pPr>
            <w:r>
              <w:rPr>
                <w:rStyle w:val="PleaseReviewParagraphId"/>
              </w:rPr>
              <w:t>[3]</w:t>
            </w:r>
            <w:r>
              <w:t xml:space="preserve">Cet encadré ne fait pas officiellement partie de l’annexe </w:t>
            </w:r>
            <w:r>
              <w:t>et il sera modifié par le Secrétariat de la CIPV après l’adoption.</w:t>
            </w:r>
          </w:p>
        </w:tc>
      </w:tr>
      <w:tr w:rsidR="008373FB">
        <w:trPr>
          <w:trHeight w:val="286"/>
        </w:trPr>
        <w:tc>
          <w:tcPr>
            <w:tcW w:w="2273" w:type="dxa"/>
            <w:tcBorders>
              <w:left w:val="single" w:sz="4" w:space="0" w:color="auto"/>
            </w:tcBorders>
          </w:tcPr>
          <w:p w:rsidR="008373FB" w:rsidRDefault="00F10DAD">
            <w:pPr>
              <w:pStyle w:val="IPPArialTable"/>
              <w:rPr>
                <w:b/>
                <w:bCs/>
              </w:rPr>
            </w:pPr>
            <w:r>
              <w:rPr>
                <w:rStyle w:val="PleaseReviewParagraphId"/>
              </w:rPr>
              <w:t>[4]</w:t>
            </w:r>
            <w:r>
              <w:rPr>
                <w:b/>
                <w:bCs/>
              </w:rPr>
              <w:t>Date du présent document</w:t>
            </w:r>
          </w:p>
        </w:tc>
        <w:tc>
          <w:tcPr>
            <w:tcW w:w="6766" w:type="dxa"/>
            <w:tcBorders>
              <w:right w:val="single" w:sz="4" w:space="0" w:color="auto"/>
            </w:tcBorders>
          </w:tcPr>
          <w:p w:rsidR="008373FB" w:rsidRDefault="00F10DAD">
            <w:pPr>
              <w:pStyle w:val="IPPArialTable"/>
            </w:pPr>
            <w:r>
              <w:rPr>
                <w:rStyle w:val="PleaseReviewParagraphId"/>
              </w:rPr>
              <w:t>[5]</w:t>
            </w:r>
            <w:r>
              <w:t>2020-03-05</w:t>
            </w:r>
          </w:p>
        </w:tc>
      </w:tr>
      <w:tr w:rsidR="008373FB">
        <w:trPr>
          <w:trHeight w:val="286"/>
        </w:trPr>
        <w:tc>
          <w:tcPr>
            <w:tcW w:w="2273" w:type="dxa"/>
            <w:tcBorders>
              <w:left w:val="single" w:sz="4" w:space="0" w:color="auto"/>
            </w:tcBorders>
          </w:tcPr>
          <w:p w:rsidR="008373FB" w:rsidRDefault="00F10DAD">
            <w:pPr>
              <w:pStyle w:val="IPPArialTable"/>
              <w:rPr>
                <w:b/>
                <w:bCs/>
              </w:rPr>
            </w:pPr>
            <w:r>
              <w:rPr>
                <w:rStyle w:val="PleaseReviewParagraphId"/>
              </w:rPr>
              <w:t>[6]</w:t>
            </w:r>
            <w:r>
              <w:rPr>
                <w:b/>
                <w:bCs/>
              </w:rPr>
              <w:t>Catégorie du document</w:t>
            </w:r>
          </w:p>
        </w:tc>
        <w:tc>
          <w:tcPr>
            <w:tcW w:w="6766" w:type="dxa"/>
            <w:tcBorders>
              <w:right w:val="single" w:sz="4" w:space="0" w:color="auto"/>
            </w:tcBorders>
          </w:tcPr>
          <w:p w:rsidR="008373FB" w:rsidRDefault="00F10DAD">
            <w:pPr>
              <w:pStyle w:val="IPPArialTable"/>
              <w:rPr>
                <w:highlight w:val="cyan"/>
              </w:rPr>
            </w:pPr>
            <w:r>
              <w:rPr>
                <w:rStyle w:val="PleaseReviewParagraphId"/>
              </w:rPr>
              <w:t>[7]</w:t>
            </w:r>
            <w:r>
              <w:t>Projet d’annexe à la NIMP 28</w:t>
            </w:r>
          </w:p>
        </w:tc>
      </w:tr>
      <w:tr w:rsidR="008373FB">
        <w:trPr>
          <w:trHeight w:val="299"/>
        </w:trPr>
        <w:tc>
          <w:tcPr>
            <w:tcW w:w="2273" w:type="dxa"/>
            <w:tcBorders>
              <w:left w:val="single" w:sz="4" w:space="0" w:color="auto"/>
            </w:tcBorders>
          </w:tcPr>
          <w:p w:rsidR="008373FB" w:rsidRDefault="00F10DAD">
            <w:pPr>
              <w:pStyle w:val="IPPArialTable"/>
              <w:rPr>
                <w:b/>
                <w:bCs/>
              </w:rPr>
            </w:pPr>
            <w:r>
              <w:rPr>
                <w:rStyle w:val="PleaseReviewParagraphId"/>
              </w:rPr>
              <w:t>[8]</w:t>
            </w:r>
            <w:r>
              <w:rPr>
                <w:b/>
                <w:bCs/>
              </w:rPr>
              <w:t>Étape de la préparation du document</w:t>
            </w:r>
          </w:p>
        </w:tc>
        <w:tc>
          <w:tcPr>
            <w:tcW w:w="6766" w:type="dxa"/>
            <w:tcBorders>
              <w:right w:val="single" w:sz="4" w:space="0" w:color="auto"/>
            </w:tcBorders>
          </w:tcPr>
          <w:p w:rsidR="008373FB" w:rsidRDefault="00F10DAD">
            <w:pPr>
              <w:pStyle w:val="IPPArialTable"/>
            </w:pPr>
            <w:r>
              <w:rPr>
                <w:rStyle w:val="PleaseReviewParagraphId"/>
              </w:rPr>
              <w:t>[9]</w:t>
            </w:r>
            <w:r>
              <w:t>Préalable à la première consultation</w:t>
            </w:r>
          </w:p>
        </w:tc>
      </w:tr>
      <w:tr w:rsidR="008373FB">
        <w:trPr>
          <w:trHeight w:val="491"/>
        </w:trPr>
        <w:tc>
          <w:tcPr>
            <w:tcW w:w="2273" w:type="dxa"/>
            <w:tcBorders>
              <w:left w:val="single" w:sz="4" w:space="0" w:color="auto"/>
              <w:bottom w:val="single" w:sz="2" w:space="0" w:color="7F7F7F"/>
            </w:tcBorders>
          </w:tcPr>
          <w:p w:rsidR="008373FB" w:rsidRDefault="00F10DAD">
            <w:pPr>
              <w:pStyle w:val="IPPArialTable"/>
              <w:rPr>
                <w:b/>
                <w:bCs/>
              </w:rPr>
            </w:pPr>
            <w:r>
              <w:rPr>
                <w:rStyle w:val="PleaseReviewParagraphId"/>
              </w:rPr>
              <w:t>[10]</w:t>
            </w:r>
            <w:r>
              <w:rPr>
                <w:b/>
                <w:bCs/>
              </w:rPr>
              <w:t>Principales étapes</w:t>
            </w:r>
          </w:p>
        </w:tc>
        <w:tc>
          <w:tcPr>
            <w:tcW w:w="6766" w:type="dxa"/>
            <w:tcBorders>
              <w:bottom w:val="single" w:sz="2" w:space="0" w:color="7F7F7F"/>
              <w:right w:val="single" w:sz="4" w:space="0" w:color="auto"/>
            </w:tcBorders>
          </w:tcPr>
          <w:p w:rsidR="008373FB" w:rsidRDefault="00F10DAD">
            <w:pPr>
              <w:pStyle w:val="IPPArialTable"/>
            </w:pPr>
            <w:r>
              <w:rPr>
                <w:rStyle w:val="PleaseReviewParagraphId"/>
              </w:rPr>
              <w:t>[11]</w:t>
            </w:r>
            <w:r>
              <w:t>2017-06 Le traitement est présenté en réponse à l’appel à communication de traitements de 2017-02.</w:t>
            </w:r>
          </w:p>
          <w:p w:rsidR="008373FB" w:rsidRDefault="00F10DAD">
            <w:pPr>
              <w:pStyle w:val="IPPArialTable"/>
            </w:pPr>
            <w:r>
              <w:rPr>
                <w:rStyle w:val="PleaseReviewParagraphId"/>
              </w:rPr>
              <w:t>[12]</w:t>
            </w:r>
            <w:r>
              <w:t xml:space="preserve">2017-07 Le Groupe technique sur les traitements phytosanitaires (GTTP) examine le projet et demande un complément d’information à </w:t>
            </w:r>
            <w:r>
              <w:t>l’auteur.</w:t>
            </w:r>
          </w:p>
          <w:p w:rsidR="008373FB" w:rsidRDefault="00F10DAD">
            <w:pPr>
              <w:pStyle w:val="IPPArialTable"/>
            </w:pPr>
            <w:r>
              <w:rPr>
                <w:rStyle w:val="PleaseReviewParagraphId"/>
              </w:rPr>
              <w:t>[13]</w:t>
            </w:r>
            <w:r>
              <w:t xml:space="preserve">2018-05 Le Comité des normes (CN) ajoute le thème </w:t>
            </w:r>
            <w:r>
              <w:rPr>
                <w:i/>
                <w:iCs/>
              </w:rPr>
              <w:t>Traitement par irradiation contre les œufs et les larves de la famille des tortricidés (Tortricidae) (générique)</w:t>
            </w:r>
            <w:r>
              <w:t xml:space="preserve"> (2017-11) au programme de travail du GTTP avec la priorité 1.</w:t>
            </w:r>
          </w:p>
          <w:p w:rsidR="008373FB" w:rsidRDefault="00F10DAD">
            <w:pPr>
              <w:pStyle w:val="IPPArialTable"/>
            </w:pPr>
            <w:r>
              <w:rPr>
                <w:rStyle w:val="PleaseReviewParagraphId"/>
              </w:rPr>
              <w:t>[14]</w:t>
            </w:r>
            <w:r>
              <w:t>2018-06 Le GT</w:t>
            </w:r>
            <w:r>
              <w:t>TP révise le projet et demande un complément d’information à l’auteur de la proposition.</w:t>
            </w:r>
          </w:p>
          <w:p w:rsidR="008373FB" w:rsidRDefault="00F10DAD">
            <w:pPr>
              <w:pStyle w:val="IPPArialTable"/>
            </w:pPr>
            <w:r>
              <w:rPr>
                <w:rStyle w:val="PleaseReviewParagraphId"/>
              </w:rPr>
              <w:t>[15]</w:t>
            </w:r>
            <w:r>
              <w:t>2019-07 Le GTTP révise le projet et réduit le champ d’application aux fruits, et recommande le projet au CN pour qu’il en approuve la première consultation.</w:t>
            </w:r>
          </w:p>
          <w:p w:rsidR="008373FB" w:rsidRDefault="00F10DAD">
            <w:pPr>
              <w:pStyle w:val="IPPArialTable"/>
              <w:tabs>
                <w:tab w:val="left" w:pos="5084"/>
              </w:tabs>
            </w:pPr>
            <w:r>
              <w:rPr>
                <w:rStyle w:val="PleaseReviewParagraphId"/>
              </w:rPr>
              <w:t>[16]</w:t>
            </w:r>
            <w:r>
              <w:t>20</w:t>
            </w:r>
            <w:r>
              <w:t>20-02 Le CN approuve le projet en vue de sa première consultation (décision électronique 2020_eSC_May_07).</w:t>
            </w:r>
            <w:r>
              <w:tab/>
            </w:r>
          </w:p>
        </w:tc>
      </w:tr>
      <w:tr w:rsidR="008373FB">
        <w:trPr>
          <w:trHeight w:val="491"/>
        </w:trPr>
        <w:tc>
          <w:tcPr>
            <w:tcW w:w="2273" w:type="dxa"/>
            <w:tcBorders>
              <w:left w:val="single" w:sz="4" w:space="0" w:color="auto"/>
              <w:bottom w:val="single" w:sz="4" w:space="0" w:color="auto"/>
            </w:tcBorders>
          </w:tcPr>
          <w:p w:rsidR="008373FB" w:rsidRDefault="00F10DAD">
            <w:pPr>
              <w:pStyle w:val="IPPArialTable"/>
              <w:rPr>
                <w:b/>
                <w:bCs/>
              </w:rPr>
            </w:pPr>
            <w:r>
              <w:rPr>
                <w:rStyle w:val="PleaseReviewParagraphId"/>
              </w:rPr>
              <w:t>[17]</w:t>
            </w:r>
            <w:r>
              <w:rPr>
                <w:b/>
                <w:bCs/>
              </w:rPr>
              <w:t>Experts responsables du traitement</w:t>
            </w:r>
          </w:p>
        </w:tc>
        <w:tc>
          <w:tcPr>
            <w:tcW w:w="6766" w:type="dxa"/>
            <w:tcBorders>
              <w:bottom w:val="single" w:sz="4" w:space="0" w:color="auto"/>
              <w:right w:val="single" w:sz="4" w:space="0" w:color="auto"/>
            </w:tcBorders>
          </w:tcPr>
          <w:p w:rsidR="008373FB" w:rsidRDefault="00F10DAD">
            <w:pPr>
              <w:pStyle w:val="IPPArialTable"/>
            </w:pPr>
            <w:r>
              <w:rPr>
                <w:rStyle w:val="PleaseReviewParagraphId"/>
              </w:rPr>
              <w:t>[18]</w:t>
            </w:r>
            <w:r>
              <w:t>2018-06 M. Matthew SMYTH (AU)</w:t>
            </w:r>
          </w:p>
          <w:p w:rsidR="008373FB" w:rsidRDefault="00F10DAD">
            <w:pPr>
              <w:pStyle w:val="IPPArialTable"/>
            </w:pPr>
            <w:r>
              <w:rPr>
                <w:rStyle w:val="PleaseReviewParagraphId"/>
              </w:rPr>
              <w:t>[19]</w:t>
            </w:r>
            <w:r>
              <w:t>2017-07 M. Glenn BOWMANN (AU)</w:t>
            </w:r>
          </w:p>
        </w:tc>
      </w:tr>
      <w:tr w:rsidR="008373FB">
        <w:trPr>
          <w:trHeight w:val="491"/>
        </w:trPr>
        <w:tc>
          <w:tcPr>
            <w:tcW w:w="2273" w:type="dxa"/>
            <w:tcBorders>
              <w:top w:val="single" w:sz="4" w:space="0" w:color="auto"/>
            </w:tcBorders>
          </w:tcPr>
          <w:p w:rsidR="008373FB" w:rsidRDefault="00F10DAD">
            <w:pPr>
              <w:pStyle w:val="IPPArialTable"/>
              <w:rPr>
                <w:b/>
                <w:bCs/>
              </w:rPr>
            </w:pPr>
            <w:r>
              <w:rPr>
                <w:rStyle w:val="PleaseReviewParagraphId"/>
              </w:rPr>
              <w:t>[20]</w:t>
            </w:r>
            <w:r>
              <w:rPr>
                <w:b/>
                <w:bCs/>
              </w:rPr>
              <w:t>Notes</w:t>
            </w:r>
          </w:p>
        </w:tc>
        <w:tc>
          <w:tcPr>
            <w:tcW w:w="6766" w:type="dxa"/>
            <w:tcBorders>
              <w:top w:val="single" w:sz="4" w:space="0" w:color="auto"/>
            </w:tcBorders>
          </w:tcPr>
          <w:p w:rsidR="008373FB" w:rsidRDefault="00F10DAD">
            <w:pPr>
              <w:pStyle w:val="IPPArialTable"/>
            </w:pPr>
            <w:r>
              <w:rPr>
                <w:rStyle w:val="PleaseReviewParagraphId"/>
              </w:rPr>
              <w:t>[21]</w:t>
            </w:r>
            <w:r>
              <w:t xml:space="preserve">2020-02 Révision </w:t>
            </w:r>
            <w:r>
              <w:t>éditoriale</w:t>
            </w:r>
          </w:p>
        </w:tc>
      </w:tr>
    </w:tbl>
    <w:p w:rsidR="008373FB" w:rsidRDefault="00F10DAD">
      <w:pPr>
        <w:pStyle w:val="IPPHeading1"/>
      </w:pPr>
      <w:r>
        <w:rPr>
          <w:rStyle w:val="PleaseReviewParagraphId"/>
          <w:b w:val="0"/>
        </w:rPr>
        <w:t>[22]</w:t>
      </w:r>
      <w:r>
        <w:t>Champ d’application du traitement</w:t>
      </w:r>
    </w:p>
    <w:p w:rsidR="008373FB" w:rsidRDefault="00F10DAD">
      <w:pPr>
        <w:pStyle w:val="IPPParagraphnumbering"/>
        <w:numPr>
          <w:ilvl w:val="0"/>
          <w:numId w:val="0"/>
        </w:numPr>
      </w:pPr>
      <w:r>
        <w:rPr>
          <w:rStyle w:val="PleaseReviewParagraphId"/>
        </w:rPr>
        <w:t>[23]</w:t>
      </w:r>
      <w:r>
        <w:t>Le traitement comprend l’irradiation de fruits à la dose minimale absorbée de 250 Gy afin d’empêcher l’apparition d’adultes viables de Tortricidae au degré d’efficacité déclaré</w:t>
      </w:r>
      <w:r>
        <w:rPr>
          <w:rStyle w:val="FootnoteReference"/>
          <w:lang w:val="en-GB"/>
        </w:rPr>
        <w:footnoteReference w:id="1"/>
      </w:r>
      <w:r>
        <w:t xml:space="preserve">. </w:t>
      </w:r>
    </w:p>
    <w:p w:rsidR="008373FB" w:rsidRDefault="00F10DAD">
      <w:pPr>
        <w:pStyle w:val="IPPHeading1"/>
      </w:pPr>
      <w:r>
        <w:rPr>
          <w:rStyle w:val="PleaseReviewParagraphId"/>
          <w:b w:val="0"/>
        </w:rPr>
        <w:t>[25]</w:t>
      </w:r>
      <w:r>
        <w:t xml:space="preserve">Description du </w:t>
      </w:r>
      <w:r>
        <w:t>traitement</w:t>
      </w:r>
    </w:p>
    <w:p w:rsidR="008373FB" w:rsidRDefault="00F10DAD">
      <w:pPr>
        <w:pStyle w:val="IPPParagraphnumbering"/>
        <w:numPr>
          <w:ilvl w:val="0"/>
          <w:numId w:val="0"/>
        </w:numPr>
        <w:tabs>
          <w:tab w:val="left" w:pos="2694"/>
        </w:tabs>
      </w:pPr>
      <w:r>
        <w:rPr>
          <w:rStyle w:val="PleaseReviewParagraphId"/>
        </w:rPr>
        <w:t>[26]</w:t>
      </w:r>
      <w:r>
        <w:rPr>
          <w:b/>
        </w:rPr>
        <w:t>Nom du traitement</w:t>
      </w:r>
      <w:r>
        <w:tab/>
        <w:t>Traitement par irradiation de fruits contre les Tortricidae</w:t>
      </w:r>
    </w:p>
    <w:p w:rsidR="008373FB" w:rsidRDefault="00F10DAD">
      <w:pPr>
        <w:pStyle w:val="IPPParagraphnumbering"/>
        <w:numPr>
          <w:ilvl w:val="0"/>
          <w:numId w:val="0"/>
        </w:numPr>
        <w:tabs>
          <w:tab w:val="left" w:pos="2694"/>
        </w:tabs>
      </w:pPr>
      <w:r>
        <w:rPr>
          <w:rStyle w:val="PleaseReviewParagraphId"/>
        </w:rPr>
        <w:lastRenderedPageBreak/>
        <w:t>[27]</w:t>
      </w:r>
      <w:r>
        <w:rPr>
          <w:b/>
        </w:rPr>
        <w:t>Matière active</w:t>
      </w:r>
      <w:r>
        <w:tab/>
        <w:t>Sans objet</w:t>
      </w:r>
    </w:p>
    <w:p w:rsidR="008373FB" w:rsidRDefault="00F10DAD">
      <w:pPr>
        <w:pStyle w:val="IPPParagraphnumbering"/>
        <w:numPr>
          <w:ilvl w:val="0"/>
          <w:numId w:val="0"/>
        </w:numPr>
        <w:tabs>
          <w:tab w:val="left" w:pos="2694"/>
        </w:tabs>
      </w:pPr>
      <w:r>
        <w:rPr>
          <w:rStyle w:val="PleaseReviewParagraphId"/>
        </w:rPr>
        <w:t>[28]</w:t>
      </w:r>
      <w:r>
        <w:rPr>
          <w:b/>
        </w:rPr>
        <w:t>Type de traitement</w:t>
      </w:r>
      <w:r>
        <w:tab/>
        <w:t>Irradiation</w:t>
      </w:r>
    </w:p>
    <w:p w:rsidR="008373FB" w:rsidRDefault="00F10DAD">
      <w:pPr>
        <w:pStyle w:val="IPPParagraphnumbering"/>
        <w:numPr>
          <w:ilvl w:val="0"/>
          <w:numId w:val="0"/>
        </w:numPr>
        <w:tabs>
          <w:tab w:val="left" w:pos="2694"/>
        </w:tabs>
      </w:pPr>
      <w:r>
        <w:rPr>
          <w:rStyle w:val="PleaseReviewParagraphId"/>
        </w:rPr>
        <w:t>[29]</w:t>
      </w:r>
      <w:r>
        <w:rPr>
          <w:b/>
        </w:rPr>
        <w:t>Organismes nuisibles visés</w:t>
      </w:r>
      <w:r>
        <w:tab/>
        <w:t>Espèces de la famille Tortricidae (Lepidoptera)</w:t>
      </w:r>
    </w:p>
    <w:p w:rsidR="008373FB" w:rsidRDefault="00F10DAD">
      <w:pPr>
        <w:pStyle w:val="IPPParagraphnumbering"/>
        <w:numPr>
          <w:ilvl w:val="0"/>
          <w:numId w:val="0"/>
        </w:numPr>
        <w:tabs>
          <w:tab w:val="left" w:pos="2552"/>
        </w:tabs>
      </w:pPr>
      <w:r>
        <w:rPr>
          <w:rStyle w:val="PleaseReviewParagraphId"/>
        </w:rPr>
        <w:t>[30]</w:t>
      </w:r>
      <w:r>
        <w:rPr>
          <w:b/>
        </w:rPr>
        <w:t>Articles réglem</w:t>
      </w:r>
      <w:r>
        <w:rPr>
          <w:b/>
        </w:rPr>
        <w:t>entés visés</w:t>
      </w:r>
      <w:r>
        <w:tab/>
        <w:t>Tous les fruits pris pour hôte par des espèces de la famille des Tortricidae</w:t>
      </w:r>
    </w:p>
    <w:p w:rsidR="008373FB" w:rsidRDefault="00F10DAD">
      <w:pPr>
        <w:pStyle w:val="IPPHeading1"/>
      </w:pPr>
      <w:r>
        <w:rPr>
          <w:rStyle w:val="PleaseReviewParagraphId"/>
          <w:b w:val="0"/>
        </w:rPr>
        <w:t>[31]</w:t>
      </w:r>
      <w:r>
        <w:t>Protocole de traitement</w:t>
      </w:r>
    </w:p>
    <w:p w:rsidR="008373FB" w:rsidRDefault="00F10DAD">
      <w:pPr>
        <w:pStyle w:val="IPPParagraphnumbering"/>
        <w:numPr>
          <w:ilvl w:val="0"/>
          <w:numId w:val="0"/>
        </w:numPr>
      </w:pPr>
      <w:r>
        <w:rPr>
          <w:rStyle w:val="PleaseReviewParagraphId"/>
        </w:rPr>
        <w:t>[32]</w:t>
      </w:r>
      <w:r>
        <w:t>Dose minimale absorbée de 250 Gy afin d’empêcher l’apparition d’adultes viables à partir d’œufs et de larves irradiés de Tortricidae.</w:t>
      </w:r>
    </w:p>
    <w:p w:rsidR="008373FB" w:rsidRDefault="00F10DAD">
      <w:pPr>
        <w:pStyle w:val="IPPParagraphnumbering"/>
        <w:numPr>
          <w:ilvl w:val="0"/>
          <w:numId w:val="0"/>
        </w:numPr>
      </w:pPr>
      <w:r>
        <w:rPr>
          <w:rStyle w:val="PleaseReviewParagraphId"/>
        </w:rPr>
        <w:t>[</w:t>
      </w:r>
      <w:r>
        <w:rPr>
          <w:rStyle w:val="PleaseReviewParagraphId"/>
        </w:rPr>
        <w:t>33]</w:t>
      </w:r>
      <w:bookmarkStart w:id="2" w:name="_Hlk32412319"/>
      <w:r>
        <w:t xml:space="preserve">On considère avec une certitude de 95 pour cent que le traitement effectué selon ce protocole </w:t>
      </w:r>
      <w:bookmarkStart w:id="3" w:name="_Hlk32412763"/>
      <w:r>
        <w:t>empêche l’émergence d’adultes d’apparence normale à partir d’au moins 99,9949 pour cent des œufs et larves de Tortricidae</w:t>
      </w:r>
      <w:bookmarkEnd w:id="2"/>
      <w:bookmarkEnd w:id="3"/>
      <w:r>
        <w:t>.</w:t>
      </w:r>
    </w:p>
    <w:p w:rsidR="008373FB" w:rsidRDefault="00F10DAD">
      <w:pPr>
        <w:pStyle w:val="IPPParagraphnumbering"/>
        <w:numPr>
          <w:ilvl w:val="0"/>
          <w:numId w:val="0"/>
        </w:numPr>
        <w:rPr>
          <w:rFonts w:eastAsia="Times New Roman"/>
        </w:rPr>
      </w:pPr>
      <w:r>
        <w:rPr>
          <w:rStyle w:val="PleaseReviewParagraphId"/>
        </w:rPr>
        <w:t>[34]</w:t>
      </w:r>
      <w:r>
        <w:t>Le traitement devrait être appli</w:t>
      </w:r>
      <w:r>
        <w:t>qué conformément aux prescriptions figurant dans la NIMP 18 (</w:t>
      </w:r>
      <w:r>
        <w:rPr>
          <w:i/>
        </w:rPr>
        <w:t>Directives pour l’utilisation de l’irradiation comme mesure phytosanitaire)</w:t>
      </w:r>
      <w:r>
        <w:t>.</w:t>
      </w:r>
    </w:p>
    <w:p w:rsidR="008373FB" w:rsidRDefault="00F10DAD">
      <w:pPr>
        <w:pStyle w:val="IPPParagraphnumbering"/>
        <w:numPr>
          <w:ilvl w:val="0"/>
          <w:numId w:val="0"/>
        </w:numPr>
        <w:rPr>
          <w:rFonts w:eastAsia="Times New Roman"/>
        </w:rPr>
      </w:pPr>
      <w:r>
        <w:rPr>
          <w:rStyle w:val="PleaseReviewParagraphId"/>
        </w:rPr>
        <w:t>[35]</w:t>
      </w:r>
      <w:r>
        <w:t>Ce traitement ne devrait pas être appliqué aux fruits entreposés sous atmosphère modifiée car celle-ci peut en com</w:t>
      </w:r>
      <w:r>
        <w:t>promettre l’efficacité.</w:t>
      </w:r>
    </w:p>
    <w:p w:rsidR="008373FB" w:rsidRDefault="00F10DAD">
      <w:pPr>
        <w:pStyle w:val="IPPHeading1"/>
      </w:pPr>
      <w:r>
        <w:rPr>
          <w:rStyle w:val="PleaseReviewParagraphId"/>
          <w:b w:val="0"/>
        </w:rPr>
        <w:t>[36]</w:t>
      </w:r>
      <w:r>
        <w:t>Autres informations pertinentes</w:t>
      </w:r>
    </w:p>
    <w:p w:rsidR="008373FB" w:rsidRDefault="00F10DAD">
      <w:pPr>
        <w:pStyle w:val="IPPParagraphnumbering"/>
        <w:numPr>
          <w:ilvl w:val="0"/>
          <w:numId w:val="0"/>
        </w:numPr>
      </w:pPr>
      <w:r>
        <w:rPr>
          <w:rStyle w:val="PleaseReviewParagraphId"/>
        </w:rPr>
        <w:t>[37]</w:t>
      </w:r>
      <w:r>
        <w:t>Étant donné que l’irradiation ne provoque pas forcément une mortalité absolue, les inspecteurs peuvent trouver des individus vivants mais non viables de Tortricidae (œufs, larves ou adultes ma</w:t>
      </w:r>
      <w:r>
        <w:t xml:space="preserve">l formés) au cours de l’inspection. Une telle circonstance n’indiquerait toutefois pas que le traitement ait échoué. </w:t>
      </w:r>
    </w:p>
    <w:p w:rsidR="008373FB" w:rsidRDefault="00F10DAD">
      <w:pPr>
        <w:pStyle w:val="IPPParagraphnumbering"/>
        <w:numPr>
          <w:ilvl w:val="0"/>
          <w:numId w:val="0"/>
        </w:numPr>
      </w:pPr>
      <w:r>
        <w:rPr>
          <w:rStyle w:val="PleaseReviewParagraphId"/>
        </w:rPr>
        <w:t>[38]</w:t>
      </w:r>
      <w:r>
        <w:t>Le Groupe technique sur les traitements phytosanitaires (GTTP) a évalué ce traitement en se fondant sur les recherches publiées par Ha</w:t>
      </w:r>
      <w:r>
        <w:t xml:space="preserve">llman </w:t>
      </w:r>
      <w:r>
        <w:rPr>
          <w:i/>
        </w:rPr>
        <w:t>et al</w:t>
      </w:r>
      <w:r>
        <w:t xml:space="preserve">. (2013) qui corroborent l’efficacité de l’irradiation en tant que traitement des marchandises hôtes contre les Tortricidae. </w:t>
      </w:r>
    </w:p>
    <w:p w:rsidR="008373FB" w:rsidRDefault="00F10DAD">
      <w:pPr>
        <w:pStyle w:val="IPPParagraphnumbering"/>
        <w:numPr>
          <w:ilvl w:val="0"/>
          <w:numId w:val="0"/>
        </w:numPr>
      </w:pPr>
      <w:r>
        <w:rPr>
          <w:rStyle w:val="PleaseReviewParagraphId"/>
        </w:rPr>
        <w:t>[39]</w:t>
      </w:r>
      <w:r>
        <w:t xml:space="preserve">L’efficacité du protocole a été calculée sur la base d’un nombre total de 58 779 larves de </w:t>
      </w:r>
      <w:r>
        <w:rPr>
          <w:i/>
        </w:rPr>
        <w:t>Grapholita molesta</w:t>
      </w:r>
      <w:r>
        <w:t xml:space="preserve"> au ci</w:t>
      </w:r>
      <w:r>
        <w:t xml:space="preserve">nquième stade chez lesquelles le traitement a empêché l’apparition d’adultes, tandis que, dans le groupe témoin, 94,8 pour cent des individus sont passés au stade adulte. On a utilisé les données relatives à </w:t>
      </w:r>
      <w:r>
        <w:rPr>
          <w:i/>
        </w:rPr>
        <w:t>G. molesta</w:t>
      </w:r>
      <w:r>
        <w:t xml:space="preserve"> car cette espèce est considérée comme</w:t>
      </w:r>
      <w:r>
        <w:t xml:space="preserve"> la plus radiotolérante des espèces étudiées. </w:t>
      </w:r>
    </w:p>
    <w:p w:rsidR="008373FB" w:rsidRDefault="00F10DAD">
      <w:pPr>
        <w:pStyle w:val="IPPParagraphnumbering"/>
        <w:numPr>
          <w:ilvl w:val="0"/>
          <w:numId w:val="0"/>
        </w:numPr>
      </w:pPr>
      <w:r>
        <w:rPr>
          <w:rStyle w:val="PleaseReviewParagraphId"/>
        </w:rPr>
        <w:t>[40]</w:t>
      </w:r>
      <w:r>
        <w:t xml:space="preserve">Le GTTP a également tenu compte des travaux publiés par Arthur (2004), Arthur </w:t>
      </w:r>
      <w:r>
        <w:rPr>
          <w:i/>
          <w:iCs/>
        </w:rPr>
        <w:t>et al.</w:t>
      </w:r>
      <w:r>
        <w:t xml:space="preserve"> (2016a, b), Batchelor </w:t>
      </w:r>
      <w:r>
        <w:rPr>
          <w:i/>
          <w:iCs/>
        </w:rPr>
        <w:t>et al.</w:t>
      </w:r>
      <w:r>
        <w:t xml:space="preserve"> (1984), Bestagno </w:t>
      </w:r>
      <w:r>
        <w:rPr>
          <w:i/>
          <w:iCs/>
        </w:rPr>
        <w:t>et al.</w:t>
      </w:r>
      <w:r>
        <w:t xml:space="preserve"> (1973), Burditt (1986), Burditt et Hungate (1989), Burditt et Moffi</w:t>
      </w:r>
      <w:r>
        <w:t xml:space="preserve">tt (1985), Dentener </w:t>
      </w:r>
      <w:r>
        <w:rPr>
          <w:i/>
          <w:iCs/>
        </w:rPr>
        <w:t>et al.</w:t>
      </w:r>
      <w:r>
        <w:t xml:space="preserve"> (1990), Faria </w:t>
      </w:r>
      <w:r>
        <w:rPr>
          <w:i/>
          <w:iCs/>
        </w:rPr>
        <w:t>et al.</w:t>
      </w:r>
      <w:r>
        <w:t xml:space="preserve"> (1998), Follett (2008), Follett et Lower (2000), Follett et Snook (2012), Hallman (2004), Hallman </w:t>
      </w:r>
      <w:r>
        <w:rPr>
          <w:i/>
          <w:iCs/>
        </w:rPr>
        <w:t>et al.</w:t>
      </w:r>
      <w:r>
        <w:t xml:space="preserve"> (2013), Hofmeyr </w:t>
      </w:r>
      <w:r>
        <w:rPr>
          <w:i/>
          <w:iCs/>
        </w:rPr>
        <w:t>et al.</w:t>
      </w:r>
      <w:r>
        <w:t xml:space="preserve"> (2016a, b), Lester et Barrington (1997), Lin </w:t>
      </w:r>
      <w:r>
        <w:rPr>
          <w:i/>
          <w:iCs/>
        </w:rPr>
        <w:t>et al.</w:t>
      </w:r>
      <w:r>
        <w:t xml:space="preserve"> (2003), Mansour (2003), Mans</w:t>
      </w:r>
      <w:r>
        <w:t xml:space="preserve">our et Al-Attar (2014), Nadal </w:t>
      </w:r>
      <w:r>
        <w:rPr>
          <w:i/>
          <w:iCs/>
        </w:rPr>
        <w:t>et al.</w:t>
      </w:r>
      <w:r>
        <w:t xml:space="preserve"> (2018) et Wit et van de Vrie (1986).</w:t>
      </w:r>
    </w:p>
    <w:p w:rsidR="008373FB" w:rsidRDefault="00F10DAD">
      <w:pPr>
        <w:pStyle w:val="IPPParagraphnumbering"/>
        <w:numPr>
          <w:ilvl w:val="0"/>
          <w:numId w:val="0"/>
        </w:numPr>
      </w:pPr>
      <w:r>
        <w:rPr>
          <w:rStyle w:val="PleaseReviewParagraphId"/>
        </w:rPr>
        <w:t>[41]</w:t>
      </w:r>
      <w:r>
        <w:t>L’extrapolation de l’efficacité du traitement à tous les fruits est fondée sur les connaissances et l’expérience acquises montrant que les systèmes de dosimétrie mesurent la dose</w:t>
      </w:r>
      <w:r>
        <w:t xml:space="preserve"> d’irradiation effectivement absorbée par l’organisme nuisible visé, indépendamment de la marchandise hôte, et sur les résultats de travaux de recherche relatifs à divers organismes nuisibles et marchandises (indiqués dans la liste des références ci-après)</w:t>
      </w:r>
      <w:r>
        <w:t>. Il est toutefois reconnu que l’efficacité du traitement n’a pas été vérifiée sur tous les fruits qui sont susceptibles d’être hôtes de l’organisme nuisible visé. Si à l’avenir de nouveaux éléments de connaissance scientifiques indiquent que le traitement</w:t>
      </w:r>
      <w:r>
        <w:t xml:space="preserve"> ne peut être extrapolé à tous les fruits hôtes des Tortricidae, le traitement sera révisé.</w:t>
      </w:r>
    </w:p>
    <w:p w:rsidR="008373FB" w:rsidRDefault="00F10DAD">
      <w:pPr>
        <w:pStyle w:val="IPPHeading1"/>
        <w:keepLines/>
      </w:pPr>
      <w:r>
        <w:rPr>
          <w:rStyle w:val="PleaseReviewParagraphId"/>
          <w:b w:val="0"/>
        </w:rPr>
        <w:lastRenderedPageBreak/>
        <w:t>[42]</w:t>
      </w:r>
      <w:r>
        <w:t>Références</w:t>
      </w:r>
    </w:p>
    <w:p w:rsidR="008373FB" w:rsidRDefault="00F10DAD">
      <w:pPr>
        <w:pStyle w:val="IPPParagraphnumbering"/>
        <w:keepNext/>
        <w:keepLines/>
        <w:numPr>
          <w:ilvl w:val="0"/>
          <w:numId w:val="0"/>
        </w:numPr>
      </w:pPr>
      <w:r>
        <w:rPr>
          <w:rStyle w:val="PleaseReviewParagraphId"/>
        </w:rPr>
        <w:t>[43]</w:t>
      </w:r>
      <w:r>
        <w:t>La présente annexe peut renvoyer à des normes internationales pour les mesures phytosanitaires (NIMP). Les NIMP sont en ligne sur le Portail phyt</w:t>
      </w:r>
      <w:r>
        <w:t xml:space="preserve">osanitaire international (PPI): </w:t>
      </w:r>
      <w:hyperlink r:id="rId11" w:history="1">
        <w:r>
          <w:rPr>
            <w:rStyle w:val="Hyperlink"/>
          </w:rPr>
          <w:t>https://www.ippc.int/fr/core-activities/standards-setting/ispms/</w:t>
        </w:r>
      </w:hyperlink>
      <w:r>
        <w:t>.</w:t>
      </w:r>
    </w:p>
    <w:bookmarkEnd w:id="1"/>
    <w:p w:rsidR="008373FB" w:rsidRDefault="00F10DAD">
      <w:pPr>
        <w:pStyle w:val="IPPReferences"/>
        <w:keepNext/>
        <w:keepLines/>
      </w:pPr>
      <w:r>
        <w:rPr>
          <w:rStyle w:val="PleaseReviewParagraphId"/>
        </w:rPr>
        <w:t>[44]</w:t>
      </w:r>
      <w:r>
        <w:rPr>
          <w:b/>
          <w:lang w:val="en-US"/>
        </w:rPr>
        <w:t>Arthur, V.</w:t>
      </w:r>
      <w:r>
        <w:rPr>
          <w:lang w:val="en-US"/>
        </w:rPr>
        <w:t xml:space="preserve"> 2004. Use of gamma radiation to control three Lepidopteran pests in Brazil. In </w:t>
      </w:r>
      <w:r>
        <w:rPr>
          <w:i/>
          <w:iCs/>
          <w:lang w:val="en-US"/>
        </w:rPr>
        <w:t>Irradiation as a phytosanitary treatment of food and agricultural commodities</w:t>
      </w:r>
      <w:r>
        <w:rPr>
          <w:lang w:val="en-US"/>
        </w:rPr>
        <w:t xml:space="preserve">. </w:t>
      </w:r>
      <w:r>
        <w:t>Comptes rendus de la réunion finale de coordination des recherches organisée par la Division mixt</w:t>
      </w:r>
      <w:r>
        <w:t>e FAO/AIEA des techniques nucléaires dans l’alimentation et l’agriculture 2002, p. 45-50. IAEA-TECDOC-1427. Vienne, Agence internationale de l’énergie atomique (AIEA).</w:t>
      </w:r>
    </w:p>
    <w:p w:rsidR="008373FB" w:rsidRDefault="00F10DAD">
      <w:pPr>
        <w:pStyle w:val="IPPReferences"/>
        <w:rPr>
          <w:lang w:val="en-US"/>
        </w:rPr>
      </w:pPr>
      <w:r>
        <w:rPr>
          <w:rStyle w:val="PleaseReviewParagraphId"/>
        </w:rPr>
        <w:t>[45]</w:t>
      </w:r>
      <w:r>
        <w:rPr>
          <w:b/>
        </w:rPr>
        <w:t>Arthur, V., Arthur, P.B., et Machi, A.R.</w:t>
      </w:r>
      <w:r>
        <w:t xml:space="preserve"> 2016a. </w:t>
      </w:r>
      <w:r>
        <w:rPr>
          <w:lang w:val="en-US"/>
        </w:rPr>
        <w:t xml:space="preserve">Irradiation of </w:t>
      </w:r>
      <w:r>
        <w:rPr>
          <w:i/>
          <w:lang w:val="en-US"/>
        </w:rPr>
        <w:t>Ecdytolopha aurantian</w:t>
      </w:r>
      <w:r>
        <w:rPr>
          <w:i/>
          <w:lang w:val="en-US"/>
        </w:rPr>
        <w:t>a</w:t>
      </w:r>
      <w:r>
        <w:rPr>
          <w:lang w:val="en-US"/>
        </w:rPr>
        <w:t xml:space="preserve"> (Lepidoptera: Tortricidae) pupae in oxygen requires a lower dose to strongly reduce adult emergence and prevent reproduction than irradiation in air. </w:t>
      </w:r>
      <w:r>
        <w:rPr>
          <w:i/>
          <w:lang w:val="en-US"/>
        </w:rPr>
        <w:t>Florida Entomologist</w:t>
      </w:r>
      <w:r>
        <w:rPr>
          <w:lang w:val="en-US"/>
        </w:rPr>
        <w:t>, 99: 38-42.</w:t>
      </w:r>
    </w:p>
    <w:p w:rsidR="008373FB" w:rsidRDefault="00F10DAD">
      <w:pPr>
        <w:pStyle w:val="IPPReferences"/>
        <w:rPr>
          <w:lang w:val="en-US"/>
        </w:rPr>
      </w:pPr>
      <w:r>
        <w:rPr>
          <w:rStyle w:val="PleaseReviewParagraphId"/>
        </w:rPr>
        <w:t>[46]</w:t>
      </w:r>
      <w:r>
        <w:rPr>
          <w:b/>
          <w:lang w:val="en-US"/>
        </w:rPr>
        <w:t>Arthur, V., Machi, A.R., et Arthur, P.B.</w:t>
      </w:r>
      <w:r>
        <w:rPr>
          <w:lang w:val="en-US"/>
        </w:rPr>
        <w:t xml:space="preserve"> 2016b. Adult emergence and</w:t>
      </w:r>
      <w:r>
        <w:rPr>
          <w:lang w:val="en-US"/>
        </w:rPr>
        <w:t xml:space="preserve"> F</w:t>
      </w:r>
      <w:r>
        <w:rPr>
          <w:vertAlign w:val="subscript"/>
          <w:lang w:val="en-US"/>
        </w:rPr>
        <w:t>1</w:t>
      </w:r>
      <w:r>
        <w:rPr>
          <w:lang w:val="en-US"/>
        </w:rPr>
        <w:t xml:space="preserve"> generation egg and larval production after </w:t>
      </w:r>
      <w:r>
        <w:t>γ</w:t>
      </w:r>
      <w:r>
        <w:rPr>
          <w:lang w:val="en-US"/>
        </w:rPr>
        <w:t xml:space="preserve">-irradiation of late pupae of </w:t>
      </w:r>
      <w:r>
        <w:rPr>
          <w:i/>
          <w:lang w:val="en-US"/>
        </w:rPr>
        <w:t>Grapholita molesta</w:t>
      </w:r>
      <w:r>
        <w:rPr>
          <w:lang w:val="en-US"/>
        </w:rPr>
        <w:t xml:space="preserve"> (Lepidoptera: Tortricidae). </w:t>
      </w:r>
      <w:r>
        <w:rPr>
          <w:i/>
          <w:lang w:val="en-US"/>
        </w:rPr>
        <w:t>Florida Entomologist</w:t>
      </w:r>
      <w:r>
        <w:rPr>
          <w:lang w:val="en-US"/>
        </w:rPr>
        <w:t>, 99: 67-68.</w:t>
      </w:r>
    </w:p>
    <w:p w:rsidR="008373FB" w:rsidRDefault="00F10DAD">
      <w:pPr>
        <w:pStyle w:val="IPPReferences"/>
        <w:rPr>
          <w:lang w:val="it-IT"/>
        </w:rPr>
      </w:pPr>
      <w:r>
        <w:rPr>
          <w:rStyle w:val="PleaseReviewParagraphId"/>
        </w:rPr>
        <w:t>[47]</w:t>
      </w:r>
      <w:r>
        <w:rPr>
          <w:b/>
          <w:lang w:val="en-US"/>
        </w:rPr>
        <w:t>Batchelor, T.A., O’Donnell, R.L., et Roby, J.R.</w:t>
      </w:r>
      <w:r>
        <w:rPr>
          <w:lang w:val="en-US"/>
        </w:rPr>
        <w:t xml:space="preserve"> 1984. Irradiation as a quarantine treatment fo</w:t>
      </w:r>
      <w:r>
        <w:rPr>
          <w:lang w:val="en-US"/>
        </w:rPr>
        <w:t xml:space="preserve">r ‘Granny Smith’ apples infested with </w:t>
      </w:r>
      <w:r>
        <w:rPr>
          <w:i/>
          <w:lang w:val="en-US"/>
        </w:rPr>
        <w:t>Epiphyas postvittana</w:t>
      </w:r>
      <w:r>
        <w:rPr>
          <w:lang w:val="en-US"/>
        </w:rPr>
        <w:t xml:space="preserve"> (Walk.) (light brown apple moth) stages. In O.T. McCarthy et G.L. Robertson (sous la direction de). </w:t>
      </w:r>
      <w:r>
        <w:rPr>
          <w:i/>
          <w:lang w:val="en-US"/>
        </w:rPr>
        <w:t>Proceedings of the National Symposium on Food Irradiation</w:t>
      </w:r>
      <w:r>
        <w:rPr>
          <w:lang w:val="en-US"/>
        </w:rPr>
        <w:t>, 10 et 11 octobre 1984, Palmerston Nort</w:t>
      </w:r>
      <w:r>
        <w:rPr>
          <w:lang w:val="en-US"/>
        </w:rPr>
        <w:t xml:space="preserve">h (Nouvelle-Zélande), p. 127-151. </w:t>
      </w:r>
      <w:r>
        <w:rPr>
          <w:lang w:val="it-IT"/>
        </w:rPr>
        <w:t>Palmerston North (Nouvelle-Zélande), Massey University Printery. 223 p.</w:t>
      </w:r>
    </w:p>
    <w:p w:rsidR="008373FB" w:rsidRDefault="00F10DAD">
      <w:pPr>
        <w:pStyle w:val="IPPReferences"/>
        <w:rPr>
          <w:lang w:val="en-US"/>
        </w:rPr>
      </w:pPr>
      <w:r>
        <w:rPr>
          <w:rStyle w:val="PleaseReviewParagraphId"/>
        </w:rPr>
        <w:t>[48]</w:t>
      </w:r>
      <w:r>
        <w:rPr>
          <w:b/>
          <w:lang w:val="it-IT"/>
        </w:rPr>
        <w:t>Bestagno, G., Piana, S., Roberti, L., et Rota, P.</w:t>
      </w:r>
      <w:r>
        <w:rPr>
          <w:lang w:val="it-IT"/>
        </w:rPr>
        <w:t xml:space="preserve"> 1973. Radiazioni ionizzanti contro le tortrici del garofano. </w:t>
      </w:r>
      <w:r>
        <w:rPr>
          <w:i/>
          <w:iCs/>
          <w:lang w:val="en-US"/>
        </w:rPr>
        <w:t>Not. sulle Mal. delle Piante</w:t>
      </w:r>
      <w:r>
        <w:rPr>
          <w:lang w:val="en-US"/>
        </w:rPr>
        <w:t>, 88-89</w:t>
      </w:r>
      <w:r>
        <w:rPr>
          <w:lang w:val="en-US"/>
        </w:rPr>
        <w:t>: 195-220.</w:t>
      </w:r>
    </w:p>
    <w:p w:rsidR="008373FB" w:rsidRDefault="00F10DAD">
      <w:pPr>
        <w:pStyle w:val="IPPReferences"/>
        <w:rPr>
          <w:lang w:val="en-US"/>
        </w:rPr>
      </w:pPr>
      <w:r>
        <w:rPr>
          <w:rStyle w:val="PleaseReviewParagraphId"/>
        </w:rPr>
        <w:t>[49]</w:t>
      </w:r>
      <w:r>
        <w:rPr>
          <w:b/>
          <w:lang w:val="en-US"/>
        </w:rPr>
        <w:t>Burditt Jr, A.K.</w:t>
      </w:r>
      <w:r>
        <w:rPr>
          <w:lang w:val="en-US"/>
        </w:rPr>
        <w:t xml:space="preserve"> 1986. </w:t>
      </w:r>
      <w:r>
        <w:t>γ</w:t>
      </w:r>
      <w:r>
        <w:rPr>
          <w:lang w:val="en-US"/>
        </w:rPr>
        <w:t xml:space="preserve"> irradiation as a quarantine treatment for walnuts infested with codling moths (Lepidoptera: Tortricidae). </w:t>
      </w:r>
      <w:r>
        <w:rPr>
          <w:i/>
          <w:lang w:val="en-US"/>
        </w:rPr>
        <w:t>Journal of Economic Entomology</w:t>
      </w:r>
      <w:r>
        <w:rPr>
          <w:lang w:val="en-US"/>
        </w:rPr>
        <w:t>, 79: 1577-1579.</w:t>
      </w:r>
    </w:p>
    <w:p w:rsidR="008373FB" w:rsidRDefault="00F10DAD">
      <w:pPr>
        <w:pStyle w:val="IPPReferences"/>
        <w:rPr>
          <w:lang w:val="en-US"/>
        </w:rPr>
      </w:pPr>
      <w:r>
        <w:rPr>
          <w:rStyle w:val="PleaseReviewParagraphId"/>
        </w:rPr>
        <w:t>[50]</w:t>
      </w:r>
      <w:r>
        <w:rPr>
          <w:b/>
          <w:lang w:val="en-US"/>
        </w:rPr>
        <w:t>Burditt Jr, A.K., et Hungate, F.P.</w:t>
      </w:r>
      <w:r>
        <w:rPr>
          <w:lang w:val="en-US"/>
        </w:rPr>
        <w:t xml:space="preserve"> 1989. Gamma irradiation as a quarantine treatment for apples infested by codling moth (Lepidoptera: Tortricidae). </w:t>
      </w:r>
      <w:r>
        <w:rPr>
          <w:i/>
          <w:lang w:val="en-US"/>
        </w:rPr>
        <w:t>Journal of Economic Entomol</w:t>
      </w:r>
      <w:r>
        <w:rPr>
          <w:lang w:val="en-US"/>
        </w:rPr>
        <w:t>ogy, 82: 1386-1390.</w:t>
      </w:r>
    </w:p>
    <w:p w:rsidR="008373FB" w:rsidRDefault="00F10DAD">
      <w:pPr>
        <w:pStyle w:val="IPPReferences"/>
      </w:pPr>
      <w:r>
        <w:rPr>
          <w:rStyle w:val="PleaseReviewParagraphId"/>
        </w:rPr>
        <w:t>[51]</w:t>
      </w:r>
      <w:r>
        <w:rPr>
          <w:b/>
          <w:lang w:val="en-US"/>
        </w:rPr>
        <w:t>Burditt Jr, A.K., et Moffitt, H.R.</w:t>
      </w:r>
      <w:r>
        <w:rPr>
          <w:lang w:val="en-US"/>
        </w:rPr>
        <w:t xml:space="preserve"> 1985. Irradiation as a quarantine treatment for fruit s</w:t>
      </w:r>
      <w:r>
        <w:rPr>
          <w:lang w:val="en-US"/>
        </w:rPr>
        <w:t xml:space="preserve">ubject to infestation by codling moth larvae. </w:t>
      </w:r>
      <w:r>
        <w:t xml:space="preserve">In J.H. Moy (sous la direction de). </w:t>
      </w:r>
      <w:r>
        <w:rPr>
          <w:i/>
        </w:rPr>
        <w:t>Radiation disinfestation of food and agricultural products</w:t>
      </w:r>
      <w:r>
        <w:t>.</w:t>
      </w:r>
      <w:r>
        <w:rPr>
          <w:i/>
        </w:rPr>
        <w:t xml:space="preserve"> </w:t>
      </w:r>
      <w:r>
        <w:t xml:space="preserve">Comptes rendus de la conférence internationale, Honolulu, 1983, p. 87-97. Honolulu (Hawaï), Université d’Hawaii à </w:t>
      </w:r>
      <w:r>
        <w:t>Manoa.</w:t>
      </w:r>
    </w:p>
    <w:p w:rsidR="008373FB" w:rsidRDefault="00F10DAD">
      <w:pPr>
        <w:pStyle w:val="IPPReferences"/>
        <w:rPr>
          <w:lang w:val="en-US"/>
        </w:rPr>
      </w:pPr>
      <w:r>
        <w:rPr>
          <w:rStyle w:val="PleaseReviewParagraphId"/>
        </w:rPr>
        <w:t>[52]</w:t>
      </w:r>
      <w:r>
        <w:rPr>
          <w:b/>
        </w:rPr>
        <w:t>Dentener, P.R., Waddell, B.C., et Batchelor, T.A.</w:t>
      </w:r>
      <w:r>
        <w:t xml:space="preserve"> 1990. </w:t>
      </w:r>
      <w:r>
        <w:rPr>
          <w:lang w:val="en-US"/>
        </w:rPr>
        <w:t xml:space="preserve">Disinfestation of lightbrown apple moth: a discussion of three disinfestation methods. In </w:t>
      </w:r>
      <w:r>
        <w:rPr>
          <w:i/>
          <w:lang w:val="en-US"/>
        </w:rPr>
        <w:t>Managing postharvest horticulture in Australasia</w:t>
      </w:r>
      <w:r>
        <w:rPr>
          <w:lang w:val="en-US"/>
        </w:rPr>
        <w:t>.</w:t>
      </w:r>
      <w:r>
        <w:rPr>
          <w:i/>
          <w:lang w:val="en-US"/>
        </w:rPr>
        <w:t xml:space="preserve"> </w:t>
      </w:r>
      <w:r>
        <w:rPr>
          <w:lang w:val="en-US"/>
        </w:rPr>
        <w:t xml:space="preserve">Proceedings of the Australian Conference on </w:t>
      </w:r>
      <w:r>
        <w:rPr>
          <w:lang w:val="en-US"/>
        </w:rPr>
        <w:t>Postharvest Horticulture. Australian Institute of Science Occasional Publication n</w:t>
      </w:r>
      <w:r>
        <w:rPr>
          <w:vertAlign w:val="superscript"/>
          <w:lang w:val="en-US"/>
        </w:rPr>
        <w:t>o</w:t>
      </w:r>
      <w:r>
        <w:rPr>
          <w:lang w:val="en-US"/>
        </w:rPr>
        <w:t xml:space="preserve"> 46, pp. 166-177.</w:t>
      </w:r>
    </w:p>
    <w:p w:rsidR="008373FB" w:rsidRDefault="00F10DAD">
      <w:pPr>
        <w:pStyle w:val="IPPReferences"/>
        <w:rPr>
          <w:lang w:val="en-US"/>
        </w:rPr>
      </w:pPr>
      <w:r>
        <w:rPr>
          <w:rStyle w:val="PleaseReviewParagraphId"/>
        </w:rPr>
        <w:t>[53]</w:t>
      </w:r>
      <w:r>
        <w:rPr>
          <w:b/>
          <w:lang w:val="en-US"/>
        </w:rPr>
        <w:t>Faria, J.T., Arthur, V., Wiendl, T.A., et Wiendl, F.M.</w:t>
      </w:r>
      <w:r>
        <w:rPr>
          <w:lang w:val="en-US"/>
        </w:rPr>
        <w:t xml:space="preserve"> 1998. Gamma radiation effects on immature stages of the orange fruit borer, </w:t>
      </w:r>
      <w:r>
        <w:rPr>
          <w:i/>
          <w:lang w:val="en-US"/>
        </w:rPr>
        <w:t>Ecdytolopha arantian</w:t>
      </w:r>
      <w:r>
        <w:rPr>
          <w:i/>
          <w:lang w:val="en-US"/>
        </w:rPr>
        <w:t>a</w:t>
      </w:r>
      <w:r>
        <w:rPr>
          <w:lang w:val="en-US"/>
        </w:rPr>
        <w:t xml:space="preserve"> (Lima). </w:t>
      </w:r>
      <w:r>
        <w:rPr>
          <w:i/>
          <w:iCs/>
          <w:lang w:val="en-US"/>
        </w:rPr>
        <w:t>Journal of Nuclear Agriculture and Biology</w:t>
      </w:r>
      <w:r>
        <w:rPr>
          <w:lang w:val="en-US"/>
        </w:rPr>
        <w:t>, 21: 52-56.</w:t>
      </w:r>
    </w:p>
    <w:p w:rsidR="008373FB" w:rsidRDefault="00F10DAD">
      <w:pPr>
        <w:pStyle w:val="IPPReferences"/>
        <w:rPr>
          <w:lang w:val="en-US"/>
        </w:rPr>
      </w:pPr>
      <w:r>
        <w:rPr>
          <w:rStyle w:val="PleaseReviewParagraphId"/>
        </w:rPr>
        <w:t>[54]</w:t>
      </w:r>
      <w:r>
        <w:rPr>
          <w:b/>
          <w:lang w:val="en-US"/>
        </w:rPr>
        <w:t>Follett, P. A.</w:t>
      </w:r>
      <w:r>
        <w:rPr>
          <w:lang w:val="en-US"/>
        </w:rPr>
        <w:t xml:space="preserve"> 2008. Effect of irradiation on Mexican leafroller (Lepidoptera: Tortricidae) development and reproduction. </w:t>
      </w:r>
      <w:r>
        <w:rPr>
          <w:i/>
          <w:lang w:val="en-US"/>
        </w:rPr>
        <w:t>Journal of Economic Entomology</w:t>
      </w:r>
      <w:r>
        <w:rPr>
          <w:lang w:val="en-US"/>
        </w:rPr>
        <w:t>, 101: 710-715.</w:t>
      </w:r>
    </w:p>
    <w:p w:rsidR="008373FB" w:rsidRDefault="00F10DAD">
      <w:pPr>
        <w:pStyle w:val="IPPReferences"/>
        <w:rPr>
          <w:lang w:val="en-US"/>
        </w:rPr>
      </w:pPr>
      <w:r>
        <w:rPr>
          <w:rStyle w:val="PleaseReviewParagraphId"/>
        </w:rPr>
        <w:t>[55]</w:t>
      </w:r>
      <w:r>
        <w:rPr>
          <w:b/>
          <w:lang w:val="en-US"/>
        </w:rPr>
        <w:t>Follett, P. A.,</w:t>
      </w:r>
      <w:r>
        <w:rPr>
          <w:b/>
          <w:lang w:val="en-US"/>
        </w:rPr>
        <w:t xml:space="preserve"> et Lower, R.A.</w:t>
      </w:r>
      <w:r>
        <w:rPr>
          <w:lang w:val="en-US"/>
        </w:rPr>
        <w:t xml:space="preserve"> 2000. Irradiation to ensure quarantine security for </w:t>
      </w:r>
      <w:r>
        <w:rPr>
          <w:i/>
          <w:lang w:val="en-US"/>
        </w:rPr>
        <w:t>Cryptophlebia</w:t>
      </w:r>
      <w:r>
        <w:rPr>
          <w:lang w:val="en-US"/>
        </w:rPr>
        <w:t xml:space="preserve"> spp. </w:t>
      </w:r>
      <w:r>
        <w:t xml:space="preserve">(Lepidoptera: Tortricidae) in sapindaceous fruits from Hawaii. </w:t>
      </w:r>
      <w:r>
        <w:rPr>
          <w:i/>
          <w:lang w:val="en-US"/>
        </w:rPr>
        <w:t>Journal of Economic Entomology</w:t>
      </w:r>
      <w:r>
        <w:rPr>
          <w:lang w:val="en-US"/>
        </w:rPr>
        <w:t>, 93: 1848-1854.</w:t>
      </w:r>
    </w:p>
    <w:p w:rsidR="008373FB" w:rsidRDefault="00F10DAD">
      <w:pPr>
        <w:pStyle w:val="IPPReferences"/>
        <w:rPr>
          <w:lang w:val="en-US"/>
        </w:rPr>
      </w:pPr>
      <w:r>
        <w:rPr>
          <w:rStyle w:val="PleaseReviewParagraphId"/>
        </w:rPr>
        <w:t>[56]</w:t>
      </w:r>
      <w:r>
        <w:rPr>
          <w:b/>
          <w:lang w:val="en-US"/>
        </w:rPr>
        <w:t>Follett, P. A., et Snook, K.</w:t>
      </w:r>
      <w:r>
        <w:rPr>
          <w:lang w:val="en-US"/>
        </w:rPr>
        <w:t xml:space="preserve"> 2012. Irradiation for quar</w:t>
      </w:r>
      <w:r>
        <w:rPr>
          <w:lang w:val="en-US"/>
        </w:rPr>
        <w:t xml:space="preserve">antine control of the invasive light brown apple moth (Lepidoptera: Tortricidae) and a generic dose for tortricid eggs and larvae. </w:t>
      </w:r>
      <w:r>
        <w:rPr>
          <w:i/>
          <w:lang w:val="en-US"/>
        </w:rPr>
        <w:t>Journal of Economic Entomology</w:t>
      </w:r>
      <w:r>
        <w:rPr>
          <w:lang w:val="en-US"/>
        </w:rPr>
        <w:t>, 105: 1971-1978.</w:t>
      </w:r>
    </w:p>
    <w:p w:rsidR="008373FB" w:rsidRDefault="00F10DAD">
      <w:pPr>
        <w:pStyle w:val="IPPReferences"/>
        <w:rPr>
          <w:lang w:val="en-US"/>
        </w:rPr>
      </w:pPr>
      <w:r>
        <w:rPr>
          <w:rStyle w:val="PleaseReviewParagraphId"/>
        </w:rPr>
        <w:t>[57]</w:t>
      </w:r>
      <w:r>
        <w:rPr>
          <w:b/>
          <w:lang w:val="en-US"/>
        </w:rPr>
        <w:t>Hallman, G.J.</w:t>
      </w:r>
      <w:r>
        <w:rPr>
          <w:lang w:val="en-US"/>
        </w:rPr>
        <w:t xml:space="preserve"> 2004. Ionizing irradiation quarantine treatment against ori</w:t>
      </w:r>
      <w:r>
        <w:rPr>
          <w:lang w:val="en-US"/>
        </w:rPr>
        <w:t xml:space="preserve">ental fruit moth (Lepidoptera: Tortricidae) in ambient and hypoxic atmospheres. </w:t>
      </w:r>
      <w:r>
        <w:rPr>
          <w:i/>
          <w:lang w:val="en-US"/>
        </w:rPr>
        <w:t>Journal of Economic Entomology</w:t>
      </w:r>
      <w:r>
        <w:rPr>
          <w:lang w:val="en-US"/>
        </w:rPr>
        <w:t>, 97: 824-827.</w:t>
      </w:r>
    </w:p>
    <w:p w:rsidR="008373FB" w:rsidRDefault="00F10DAD">
      <w:pPr>
        <w:pStyle w:val="IPPReferences"/>
        <w:rPr>
          <w:lang w:val="en-US"/>
        </w:rPr>
      </w:pPr>
      <w:r>
        <w:rPr>
          <w:rStyle w:val="PleaseReviewParagraphId"/>
        </w:rPr>
        <w:lastRenderedPageBreak/>
        <w:t>[58]</w:t>
      </w:r>
      <w:r>
        <w:rPr>
          <w:b/>
          <w:lang w:val="en-US"/>
        </w:rPr>
        <w:t>Hallman, G.J., Arthur, V., Blackburn, C.M., et Parker, A.G.</w:t>
      </w:r>
      <w:r>
        <w:rPr>
          <w:lang w:val="en-US"/>
        </w:rPr>
        <w:t xml:space="preserve"> 2013. The case for a generic phytosanitary irradiation dose of 250 </w:t>
      </w:r>
      <w:r>
        <w:rPr>
          <w:lang w:val="en-US"/>
        </w:rPr>
        <w:t xml:space="preserve">Gy for Lepidoptera eggs and larvae. </w:t>
      </w:r>
      <w:r>
        <w:rPr>
          <w:i/>
          <w:lang w:val="en-US"/>
        </w:rPr>
        <w:t>Radiation Physics and Chemistry</w:t>
      </w:r>
      <w:r>
        <w:rPr>
          <w:lang w:val="en-US"/>
        </w:rPr>
        <w:t>, 89: 70-75.</w:t>
      </w:r>
    </w:p>
    <w:p w:rsidR="008373FB" w:rsidRDefault="00F10DAD">
      <w:pPr>
        <w:pStyle w:val="IPPReferences"/>
        <w:rPr>
          <w:lang w:val="en-US"/>
        </w:rPr>
      </w:pPr>
      <w:r>
        <w:rPr>
          <w:rStyle w:val="PleaseReviewParagraphId"/>
        </w:rPr>
        <w:t>[59]</w:t>
      </w:r>
      <w:bookmarkStart w:id="4" w:name="_Hlk517001982"/>
      <w:r>
        <w:rPr>
          <w:b/>
          <w:lang w:val="en-US"/>
        </w:rPr>
        <w:t>Hofmeyr</w:t>
      </w:r>
      <w:bookmarkEnd w:id="4"/>
      <w:r>
        <w:rPr>
          <w:b/>
          <w:lang w:val="en-US"/>
        </w:rPr>
        <w:t>, H., Hofmeyr, M., et Slabbert, K.</w:t>
      </w:r>
      <w:r>
        <w:rPr>
          <w:lang w:val="en-US"/>
        </w:rPr>
        <w:t xml:space="preserve"> 2016a. Postharvest phytosanitary disinfestation of </w:t>
      </w:r>
      <w:r>
        <w:rPr>
          <w:i/>
          <w:iCs/>
          <w:lang w:val="en-US"/>
        </w:rPr>
        <w:t>Thaumatotibia leucotreta</w:t>
      </w:r>
      <w:r>
        <w:rPr>
          <w:lang w:val="en-US"/>
        </w:rPr>
        <w:t xml:space="preserve"> (Lepidoptera: Tortricidae) in citrus fruit: Tolerance </w:t>
      </w:r>
      <w:r>
        <w:rPr>
          <w:lang w:val="en-US"/>
        </w:rPr>
        <w:t xml:space="preserve">of eggs and larvae to ionizing radiation. </w:t>
      </w:r>
      <w:r>
        <w:rPr>
          <w:i/>
          <w:lang w:val="en-US"/>
        </w:rPr>
        <w:t>Florida Entomologist</w:t>
      </w:r>
      <w:r>
        <w:rPr>
          <w:lang w:val="en-US"/>
        </w:rPr>
        <w:t>, 99: 48-53.</w:t>
      </w:r>
    </w:p>
    <w:p w:rsidR="008373FB" w:rsidRDefault="00F10DAD">
      <w:pPr>
        <w:pStyle w:val="IPPReferences"/>
        <w:rPr>
          <w:lang w:val="en-US"/>
        </w:rPr>
      </w:pPr>
      <w:r>
        <w:rPr>
          <w:rStyle w:val="PleaseReviewParagraphId"/>
        </w:rPr>
        <w:t>[60]</w:t>
      </w:r>
      <w:r>
        <w:rPr>
          <w:b/>
          <w:lang w:val="en-US"/>
        </w:rPr>
        <w:t>Hofmeyr, H., Hattingh, V., Hofmeyr, M., et Slabbert, K.</w:t>
      </w:r>
      <w:r>
        <w:rPr>
          <w:lang w:val="en-US"/>
        </w:rPr>
        <w:t xml:space="preserve"> 2016b. Postharvest phytosanitary disinfestation of </w:t>
      </w:r>
      <w:r>
        <w:rPr>
          <w:i/>
          <w:lang w:val="en-US"/>
        </w:rPr>
        <w:t>Thaumatotibia leucotreta</w:t>
      </w:r>
      <w:r>
        <w:rPr>
          <w:lang w:val="en-US"/>
        </w:rPr>
        <w:t xml:space="preserve"> (Lepidoptera: Tortricidae) in citrus fruit: V</w:t>
      </w:r>
      <w:r>
        <w:rPr>
          <w:lang w:val="en-US"/>
        </w:rPr>
        <w:t xml:space="preserve">alidation of an ionizing radiation treatment. </w:t>
      </w:r>
      <w:r>
        <w:rPr>
          <w:i/>
          <w:lang w:val="en-US"/>
        </w:rPr>
        <w:t>Florida Entomologist</w:t>
      </w:r>
      <w:r>
        <w:rPr>
          <w:lang w:val="en-US"/>
        </w:rPr>
        <w:t>, 99: 54-58.</w:t>
      </w:r>
    </w:p>
    <w:p w:rsidR="008373FB" w:rsidRDefault="00F10DAD">
      <w:pPr>
        <w:pStyle w:val="IPPReferences"/>
        <w:rPr>
          <w:lang w:val="en-US"/>
        </w:rPr>
      </w:pPr>
      <w:r>
        <w:rPr>
          <w:rStyle w:val="PleaseReviewParagraphId"/>
        </w:rPr>
        <w:t>[61]</w:t>
      </w:r>
      <w:r>
        <w:rPr>
          <w:b/>
          <w:lang w:val="en-US"/>
        </w:rPr>
        <w:t>Lester, P.J., et Barrington, A.M.</w:t>
      </w:r>
      <w:r>
        <w:rPr>
          <w:lang w:val="en-US"/>
        </w:rPr>
        <w:t xml:space="preserve"> 1997. Gamma irradiation for postharvest disinfestation of </w:t>
      </w:r>
      <w:r>
        <w:rPr>
          <w:i/>
          <w:iCs/>
          <w:lang w:val="en-US"/>
        </w:rPr>
        <w:t>C</w:t>
      </w:r>
      <w:r>
        <w:rPr>
          <w:i/>
          <w:lang w:val="en-US"/>
        </w:rPr>
        <w:t>tenopseustis obliquana</w:t>
      </w:r>
      <w:r>
        <w:rPr>
          <w:lang w:val="en-US"/>
        </w:rPr>
        <w:t xml:space="preserve"> (Walker) (Lep., Tortricidae). </w:t>
      </w:r>
      <w:r>
        <w:rPr>
          <w:i/>
          <w:lang w:val="en-US"/>
        </w:rPr>
        <w:t>Journal of Applied Entomolo</w:t>
      </w:r>
      <w:r>
        <w:rPr>
          <w:i/>
          <w:lang w:val="en-US"/>
        </w:rPr>
        <w:t>gy</w:t>
      </w:r>
      <w:r>
        <w:rPr>
          <w:lang w:val="en-US"/>
        </w:rPr>
        <w:t>, 121: 107-110.</w:t>
      </w:r>
    </w:p>
    <w:p w:rsidR="008373FB" w:rsidRDefault="00F10DAD">
      <w:pPr>
        <w:pStyle w:val="IPPReferences"/>
        <w:rPr>
          <w:lang w:val="en-US"/>
        </w:rPr>
      </w:pPr>
      <w:r>
        <w:rPr>
          <w:rStyle w:val="PleaseReviewParagraphId"/>
        </w:rPr>
        <w:t>[62]</w:t>
      </w:r>
      <w:r>
        <w:rPr>
          <w:b/>
          <w:lang w:val="en-US"/>
        </w:rPr>
        <w:t>Lin, J.Y., Horng, S.B., et Hung, C.C.</w:t>
      </w:r>
      <w:r>
        <w:rPr>
          <w:lang w:val="en-US"/>
        </w:rPr>
        <w:t xml:space="preserve"> 2003. Effects of gamma radiation on survival and reproduction of the carambola fruit borer, </w:t>
      </w:r>
      <w:r>
        <w:rPr>
          <w:i/>
          <w:lang w:val="en-US"/>
        </w:rPr>
        <w:t>Eucosma notanthes</w:t>
      </w:r>
      <w:r>
        <w:rPr>
          <w:lang w:val="en-US"/>
        </w:rPr>
        <w:t xml:space="preserve"> Meyrick (Lepidoptera: Tortricidae). </w:t>
      </w:r>
      <w:r>
        <w:rPr>
          <w:i/>
          <w:lang w:val="en-US"/>
        </w:rPr>
        <w:t>Formosan Entomologist</w:t>
      </w:r>
      <w:r>
        <w:rPr>
          <w:lang w:val="en-US"/>
        </w:rPr>
        <w:t>, 23: 189-197.</w:t>
      </w:r>
    </w:p>
    <w:p w:rsidR="008373FB" w:rsidRDefault="00F10DAD">
      <w:pPr>
        <w:pStyle w:val="IPPReferences"/>
        <w:rPr>
          <w:lang w:val="en-US"/>
        </w:rPr>
      </w:pPr>
      <w:r>
        <w:rPr>
          <w:rStyle w:val="PleaseReviewParagraphId"/>
        </w:rPr>
        <w:t>[63]</w:t>
      </w:r>
      <w:r>
        <w:rPr>
          <w:b/>
          <w:lang w:val="en-US"/>
        </w:rPr>
        <w:t>Mansour, M</w:t>
      </w:r>
      <w:r>
        <w:rPr>
          <w:b/>
          <w:lang w:val="en-US"/>
        </w:rPr>
        <w:t>.</w:t>
      </w:r>
      <w:r>
        <w:rPr>
          <w:lang w:val="en-US"/>
        </w:rPr>
        <w:t xml:space="preserve"> 2003. Gamma irradiation as a quarantine treatment for apples infested by codling moth (Lep., Tortricidae). </w:t>
      </w:r>
      <w:r>
        <w:rPr>
          <w:i/>
          <w:lang w:val="en-US"/>
        </w:rPr>
        <w:t>Journal of Applied Entomology</w:t>
      </w:r>
      <w:r>
        <w:rPr>
          <w:lang w:val="en-US"/>
        </w:rPr>
        <w:t>, 127: 137-141.</w:t>
      </w:r>
    </w:p>
    <w:p w:rsidR="008373FB" w:rsidRDefault="00F10DAD">
      <w:pPr>
        <w:pStyle w:val="IPPReferences"/>
        <w:rPr>
          <w:lang w:val="en-US"/>
        </w:rPr>
      </w:pPr>
      <w:r>
        <w:rPr>
          <w:rStyle w:val="PleaseReviewParagraphId"/>
        </w:rPr>
        <w:t>[64]</w:t>
      </w:r>
      <w:r>
        <w:rPr>
          <w:b/>
          <w:lang w:val="en-US"/>
        </w:rPr>
        <w:t>Mansour, M., et Attar, J. Al-.</w:t>
      </w:r>
      <w:r>
        <w:rPr>
          <w:lang w:val="en-US"/>
        </w:rPr>
        <w:t xml:space="preserve"> 2014. Effects of gamma irradiation on the grape vine moth, </w:t>
      </w:r>
      <w:r>
        <w:rPr>
          <w:i/>
          <w:iCs/>
          <w:lang w:val="en-US"/>
        </w:rPr>
        <w:t xml:space="preserve">Lobesia </w:t>
      </w:r>
      <w:r>
        <w:rPr>
          <w:i/>
          <w:iCs/>
          <w:lang w:val="en-US"/>
        </w:rPr>
        <w:t>botrana</w:t>
      </w:r>
      <w:r>
        <w:rPr>
          <w:lang w:val="en-US"/>
        </w:rPr>
        <w:t xml:space="preserve">, mature larvae. </w:t>
      </w:r>
      <w:r>
        <w:rPr>
          <w:i/>
          <w:lang w:val="en-US"/>
        </w:rPr>
        <w:t>Radiation Physics and Chemistry</w:t>
      </w:r>
      <w:r>
        <w:rPr>
          <w:lang w:val="en-US"/>
        </w:rPr>
        <w:t>, 97: 370-373.</w:t>
      </w:r>
    </w:p>
    <w:p w:rsidR="008373FB" w:rsidRDefault="00F10DAD">
      <w:pPr>
        <w:pStyle w:val="IPPReferences"/>
        <w:rPr>
          <w:szCs w:val="22"/>
          <w:lang w:val="en-US"/>
        </w:rPr>
      </w:pPr>
      <w:r>
        <w:rPr>
          <w:rStyle w:val="PleaseReviewParagraphId"/>
        </w:rPr>
        <w:t>[65]</w:t>
      </w:r>
      <w:r>
        <w:rPr>
          <w:b/>
          <w:lang w:val="en-US"/>
        </w:rPr>
        <w:t>Nadel, H., Follett, P.A., Perry, C.L., et Mack, R.G.</w:t>
      </w:r>
      <w:r>
        <w:rPr>
          <w:lang w:val="en-US"/>
        </w:rPr>
        <w:t xml:space="preserve"> 2018. Postharvest irradiation treatment for quarantine control of the invasive </w:t>
      </w:r>
      <w:r>
        <w:rPr>
          <w:i/>
          <w:lang w:val="en-US"/>
        </w:rPr>
        <w:t>Lobesia botrana</w:t>
      </w:r>
      <w:r>
        <w:rPr>
          <w:lang w:val="en-US"/>
        </w:rPr>
        <w:t xml:space="preserve"> (Lepidoptera: Tortricidae). </w:t>
      </w:r>
      <w:r>
        <w:rPr>
          <w:i/>
          <w:lang w:val="en-US"/>
        </w:rPr>
        <w:t>Journa</w:t>
      </w:r>
      <w:r>
        <w:rPr>
          <w:i/>
          <w:lang w:val="en-US"/>
        </w:rPr>
        <w:t>l of Economic Entomology</w:t>
      </w:r>
      <w:r>
        <w:rPr>
          <w:lang w:val="en-US"/>
        </w:rPr>
        <w:t>, 111: 127-134.</w:t>
      </w:r>
    </w:p>
    <w:p w:rsidR="008373FB" w:rsidRDefault="00F10DAD">
      <w:pPr>
        <w:pStyle w:val="IPPReferences"/>
      </w:pPr>
      <w:r>
        <w:rPr>
          <w:rStyle w:val="PleaseReviewParagraphId"/>
        </w:rPr>
        <w:t>[66]</w:t>
      </w:r>
      <w:r>
        <w:rPr>
          <w:b/>
          <w:lang w:val="en-US"/>
        </w:rPr>
        <w:t>Wit, A.K.H., et van de Vrie, M.</w:t>
      </w:r>
      <w:r>
        <w:rPr>
          <w:lang w:val="en-US"/>
        </w:rPr>
        <w:t xml:space="preserve"> 1986. Possibilities for irradiation to control insects and mites in cut flowers after harvest. </w:t>
      </w:r>
      <w:r>
        <w:t xml:space="preserve">Irradiation as a quarantine disinfestation treatment. Rapport de la première réunion </w:t>
      </w:r>
      <w:r>
        <w:t>du projet de recherche coordonnée (Chiang Mai). Vienne, AIEA. 11 p.</w:t>
      </w:r>
    </w:p>
    <w:sectPr w:rsidR="008373FB">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AD" w:rsidRDefault="00F10DAD">
      <w:r>
        <w:rPr>
          <w:rStyle w:val="PleaseReviewParagraphId"/>
        </w:rPr>
        <w:t>[]</w:t>
      </w:r>
      <w:r>
        <w:separator/>
      </w:r>
    </w:p>
  </w:endnote>
  <w:endnote w:type="continuationSeparator" w:id="0">
    <w:p w:rsidR="00F10DAD" w:rsidRDefault="00F10DAD">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AD" w:rsidRDefault="00F10DAD">
      <w:r>
        <w:rPr>
          <w:rStyle w:val="PleaseReviewParagraphId"/>
        </w:rPr>
        <w:t>[]</w:t>
      </w:r>
      <w:r>
        <w:separator/>
      </w:r>
    </w:p>
  </w:footnote>
  <w:footnote w:type="continuationSeparator" w:id="0">
    <w:p w:rsidR="00F10DAD" w:rsidRDefault="00F10DAD">
      <w:r>
        <w:rPr>
          <w:rStyle w:val="PleaseReviewParagraphId"/>
        </w:rPr>
        <w:t>[]</w:t>
      </w:r>
      <w:r>
        <w:continuationSeparator/>
      </w:r>
    </w:p>
  </w:footnote>
  <w:footnote w:id="1">
    <w:p w:rsidR="008373FB" w:rsidRDefault="00F10DAD">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w:t>
      </w:r>
      <w:r>
        <w:t>des traitements par les parties contractantes. Les traitements adoptés par la Commission des mesures phytosanitaires peuvent ne pas fournir d’informations sur des aspects spécifiques concernant la santé humaine ou la sécurité sanitaire des aliments, lesque</w:t>
      </w:r>
      <w:r>
        <w:t>ls devraient être traités selon les procédures nationales avant approbation d’un traitement par les parties contractantes. En outre, les effets potentiels des traitements sur la qualité des produits sont pris en compte pour certaines marchandises hôtes ava</w:t>
      </w:r>
      <w:r>
        <w:t xml:space="preserve">nt l’adoption internationale desdits traitements. Cependant, l’évaluation des éventuels effets d’un traitement sur la qualité des marchandises peut nécessiter un examen complémentaire. Il n’est fait aucune obligation aux parties contractantes d’approuver, </w:t>
      </w:r>
      <w:r>
        <w:t>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AR" w:vendorID="64" w:dllVersion="4096" w:nlCheck="1" w:checkStyle="0"/>
  <w:activeWritingStyle w:appName="MSWord" w:lang="en-AU"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6318"/>
    <w:rsid w:val="0000763E"/>
    <w:rsid w:val="0001089D"/>
    <w:rsid w:val="000141E4"/>
    <w:rsid w:val="00021786"/>
    <w:rsid w:val="00032883"/>
    <w:rsid w:val="00037ECF"/>
    <w:rsid w:val="00045EF4"/>
    <w:rsid w:val="000509EE"/>
    <w:rsid w:val="000610D5"/>
    <w:rsid w:val="000776DD"/>
    <w:rsid w:val="00085F5A"/>
    <w:rsid w:val="00087A75"/>
    <w:rsid w:val="000915EC"/>
    <w:rsid w:val="000922FC"/>
    <w:rsid w:val="000937F9"/>
    <w:rsid w:val="00097E56"/>
    <w:rsid w:val="000A1C6C"/>
    <w:rsid w:val="000A2570"/>
    <w:rsid w:val="000A3CBB"/>
    <w:rsid w:val="000A4747"/>
    <w:rsid w:val="000A62EB"/>
    <w:rsid w:val="000A6F75"/>
    <w:rsid w:val="000B0CD7"/>
    <w:rsid w:val="000C59AE"/>
    <w:rsid w:val="000D0828"/>
    <w:rsid w:val="000D0C67"/>
    <w:rsid w:val="000D585C"/>
    <w:rsid w:val="000D7354"/>
    <w:rsid w:val="000F11BA"/>
    <w:rsid w:val="000F32DF"/>
    <w:rsid w:val="000F331E"/>
    <w:rsid w:val="00100EC0"/>
    <w:rsid w:val="00100F36"/>
    <w:rsid w:val="0010591A"/>
    <w:rsid w:val="00107DFB"/>
    <w:rsid w:val="0011347D"/>
    <w:rsid w:val="001149C3"/>
    <w:rsid w:val="00114BFA"/>
    <w:rsid w:val="00121528"/>
    <w:rsid w:val="00131D1A"/>
    <w:rsid w:val="0013718F"/>
    <w:rsid w:val="00140B4F"/>
    <w:rsid w:val="00141DE9"/>
    <w:rsid w:val="00143698"/>
    <w:rsid w:val="00156F91"/>
    <w:rsid w:val="001628B0"/>
    <w:rsid w:val="001675EF"/>
    <w:rsid w:val="0017245B"/>
    <w:rsid w:val="00175B5F"/>
    <w:rsid w:val="00182CF6"/>
    <w:rsid w:val="001A1707"/>
    <w:rsid w:val="001A3A2F"/>
    <w:rsid w:val="001A5734"/>
    <w:rsid w:val="001B200F"/>
    <w:rsid w:val="001B7BFD"/>
    <w:rsid w:val="001B7E08"/>
    <w:rsid w:val="001D1FF3"/>
    <w:rsid w:val="001D35E5"/>
    <w:rsid w:val="001D4C87"/>
    <w:rsid w:val="001F1C3A"/>
    <w:rsid w:val="001F3B80"/>
    <w:rsid w:val="001F69BF"/>
    <w:rsid w:val="00202757"/>
    <w:rsid w:val="00206716"/>
    <w:rsid w:val="00206B1C"/>
    <w:rsid w:val="00207822"/>
    <w:rsid w:val="00210FDA"/>
    <w:rsid w:val="002137D1"/>
    <w:rsid w:val="00213F98"/>
    <w:rsid w:val="002145AD"/>
    <w:rsid w:val="00216C20"/>
    <w:rsid w:val="00222207"/>
    <w:rsid w:val="002316C7"/>
    <w:rsid w:val="00232BD0"/>
    <w:rsid w:val="00240383"/>
    <w:rsid w:val="0025000C"/>
    <w:rsid w:val="0025150B"/>
    <w:rsid w:val="00261F61"/>
    <w:rsid w:val="00265BE4"/>
    <w:rsid w:val="00267EA1"/>
    <w:rsid w:val="00270C1B"/>
    <w:rsid w:val="00284515"/>
    <w:rsid w:val="002A3B60"/>
    <w:rsid w:val="002B2C55"/>
    <w:rsid w:val="002B5063"/>
    <w:rsid w:val="002B5A03"/>
    <w:rsid w:val="002B6546"/>
    <w:rsid w:val="002B7E64"/>
    <w:rsid w:val="002C59F3"/>
    <w:rsid w:val="002D0AB9"/>
    <w:rsid w:val="002D27AB"/>
    <w:rsid w:val="002E210F"/>
    <w:rsid w:val="002E233E"/>
    <w:rsid w:val="002E4091"/>
    <w:rsid w:val="002F1CFC"/>
    <w:rsid w:val="002F34FC"/>
    <w:rsid w:val="002F4AF7"/>
    <w:rsid w:val="00300575"/>
    <w:rsid w:val="00312B00"/>
    <w:rsid w:val="003208F9"/>
    <w:rsid w:val="0033234E"/>
    <w:rsid w:val="00341EE1"/>
    <w:rsid w:val="00342198"/>
    <w:rsid w:val="00345D98"/>
    <w:rsid w:val="00345ED9"/>
    <w:rsid w:val="0036473A"/>
    <w:rsid w:val="003648D0"/>
    <w:rsid w:val="003724B9"/>
    <w:rsid w:val="00372724"/>
    <w:rsid w:val="003730D8"/>
    <w:rsid w:val="00383889"/>
    <w:rsid w:val="00384EF9"/>
    <w:rsid w:val="0039408C"/>
    <w:rsid w:val="003A2D8F"/>
    <w:rsid w:val="003A3B4E"/>
    <w:rsid w:val="003B2EA8"/>
    <w:rsid w:val="003B3306"/>
    <w:rsid w:val="003B34D1"/>
    <w:rsid w:val="003C4924"/>
    <w:rsid w:val="003C636B"/>
    <w:rsid w:val="003D0A11"/>
    <w:rsid w:val="003D3923"/>
    <w:rsid w:val="003D74C1"/>
    <w:rsid w:val="003E05AB"/>
    <w:rsid w:val="003E1D61"/>
    <w:rsid w:val="003E2276"/>
    <w:rsid w:val="003E3904"/>
    <w:rsid w:val="003E53BB"/>
    <w:rsid w:val="003E794D"/>
    <w:rsid w:val="003F13BB"/>
    <w:rsid w:val="003F654A"/>
    <w:rsid w:val="004001C8"/>
    <w:rsid w:val="00404C7A"/>
    <w:rsid w:val="004159A4"/>
    <w:rsid w:val="00424D07"/>
    <w:rsid w:val="00433741"/>
    <w:rsid w:val="00433EEC"/>
    <w:rsid w:val="004345E8"/>
    <w:rsid w:val="00446DC9"/>
    <w:rsid w:val="004533B2"/>
    <w:rsid w:val="0045590A"/>
    <w:rsid w:val="004650A6"/>
    <w:rsid w:val="004676F9"/>
    <w:rsid w:val="004821F5"/>
    <w:rsid w:val="004829A6"/>
    <w:rsid w:val="00485A7F"/>
    <w:rsid w:val="004A49DC"/>
    <w:rsid w:val="004A53CD"/>
    <w:rsid w:val="004B1D87"/>
    <w:rsid w:val="004B361F"/>
    <w:rsid w:val="004C1EFB"/>
    <w:rsid w:val="004E0039"/>
    <w:rsid w:val="004E37AF"/>
    <w:rsid w:val="004E6A47"/>
    <w:rsid w:val="004F2981"/>
    <w:rsid w:val="00511E7F"/>
    <w:rsid w:val="00516E3C"/>
    <w:rsid w:val="0053315D"/>
    <w:rsid w:val="00537268"/>
    <w:rsid w:val="00540BCB"/>
    <w:rsid w:val="0057454D"/>
    <w:rsid w:val="00575300"/>
    <w:rsid w:val="00576028"/>
    <w:rsid w:val="0058366F"/>
    <w:rsid w:val="00584A8D"/>
    <w:rsid w:val="0058601F"/>
    <w:rsid w:val="00591BDD"/>
    <w:rsid w:val="00593300"/>
    <w:rsid w:val="00595B63"/>
    <w:rsid w:val="005971C5"/>
    <w:rsid w:val="005A0F6D"/>
    <w:rsid w:val="005C2C5E"/>
    <w:rsid w:val="005C4993"/>
    <w:rsid w:val="005C726E"/>
    <w:rsid w:val="005C77C1"/>
    <w:rsid w:val="005D0460"/>
    <w:rsid w:val="005D3471"/>
    <w:rsid w:val="005E783F"/>
    <w:rsid w:val="005F28F7"/>
    <w:rsid w:val="005F796A"/>
    <w:rsid w:val="00601606"/>
    <w:rsid w:val="0060469D"/>
    <w:rsid w:val="006048EB"/>
    <w:rsid w:val="006111B7"/>
    <w:rsid w:val="00611BFA"/>
    <w:rsid w:val="006140B3"/>
    <w:rsid w:val="006354F7"/>
    <w:rsid w:val="006433B8"/>
    <w:rsid w:val="00646A3D"/>
    <w:rsid w:val="00647B5E"/>
    <w:rsid w:val="00651D28"/>
    <w:rsid w:val="00653381"/>
    <w:rsid w:val="0065401B"/>
    <w:rsid w:val="0068227F"/>
    <w:rsid w:val="0068385F"/>
    <w:rsid w:val="00683A8F"/>
    <w:rsid w:val="006958F5"/>
    <w:rsid w:val="006A2271"/>
    <w:rsid w:val="006A380E"/>
    <w:rsid w:val="006A6DA8"/>
    <w:rsid w:val="006A7A47"/>
    <w:rsid w:val="006B217C"/>
    <w:rsid w:val="006B3510"/>
    <w:rsid w:val="006B4290"/>
    <w:rsid w:val="006B4B47"/>
    <w:rsid w:val="006B6E7D"/>
    <w:rsid w:val="006C4A4A"/>
    <w:rsid w:val="006D3C89"/>
    <w:rsid w:val="006D3F64"/>
    <w:rsid w:val="006E25F3"/>
    <w:rsid w:val="006F65C2"/>
    <w:rsid w:val="006F79B6"/>
    <w:rsid w:val="00711561"/>
    <w:rsid w:val="0071382D"/>
    <w:rsid w:val="00716275"/>
    <w:rsid w:val="007214DE"/>
    <w:rsid w:val="00722380"/>
    <w:rsid w:val="0072264C"/>
    <w:rsid w:val="00731331"/>
    <w:rsid w:val="00734926"/>
    <w:rsid w:val="00760762"/>
    <w:rsid w:val="0076558F"/>
    <w:rsid w:val="0077673F"/>
    <w:rsid w:val="00780CAF"/>
    <w:rsid w:val="007812FE"/>
    <w:rsid w:val="00781778"/>
    <w:rsid w:val="007827E1"/>
    <w:rsid w:val="0079105C"/>
    <w:rsid w:val="00793AB9"/>
    <w:rsid w:val="00796C14"/>
    <w:rsid w:val="007A1D3F"/>
    <w:rsid w:val="007B5869"/>
    <w:rsid w:val="007B7328"/>
    <w:rsid w:val="007C2ED8"/>
    <w:rsid w:val="007C395E"/>
    <w:rsid w:val="007C766E"/>
    <w:rsid w:val="007D0295"/>
    <w:rsid w:val="007D300B"/>
    <w:rsid w:val="007D7635"/>
    <w:rsid w:val="007E0A7A"/>
    <w:rsid w:val="007E2702"/>
    <w:rsid w:val="007E2943"/>
    <w:rsid w:val="007E3D34"/>
    <w:rsid w:val="007F141A"/>
    <w:rsid w:val="007F4820"/>
    <w:rsid w:val="007F5DE3"/>
    <w:rsid w:val="00802D55"/>
    <w:rsid w:val="008346AC"/>
    <w:rsid w:val="008373FB"/>
    <w:rsid w:val="00840CFF"/>
    <w:rsid w:val="00874066"/>
    <w:rsid w:val="0088112E"/>
    <w:rsid w:val="008904EF"/>
    <w:rsid w:val="00891CFB"/>
    <w:rsid w:val="008965A1"/>
    <w:rsid w:val="00896E8F"/>
    <w:rsid w:val="008A467A"/>
    <w:rsid w:val="008C0753"/>
    <w:rsid w:val="008C558A"/>
    <w:rsid w:val="008C617D"/>
    <w:rsid w:val="008C7981"/>
    <w:rsid w:val="008D47C1"/>
    <w:rsid w:val="008D6B45"/>
    <w:rsid w:val="008E3E8A"/>
    <w:rsid w:val="008E4D6A"/>
    <w:rsid w:val="008E63FD"/>
    <w:rsid w:val="008F35E4"/>
    <w:rsid w:val="008F41A9"/>
    <w:rsid w:val="0090119E"/>
    <w:rsid w:val="00901612"/>
    <w:rsid w:val="00906F8A"/>
    <w:rsid w:val="00914557"/>
    <w:rsid w:val="00915EB2"/>
    <w:rsid w:val="00920D58"/>
    <w:rsid w:val="00943DBA"/>
    <w:rsid w:val="009459AD"/>
    <w:rsid w:val="00947DBE"/>
    <w:rsid w:val="009738C6"/>
    <w:rsid w:val="00983AAC"/>
    <w:rsid w:val="00994085"/>
    <w:rsid w:val="009B1E26"/>
    <w:rsid w:val="009B3F13"/>
    <w:rsid w:val="009B5FF8"/>
    <w:rsid w:val="009B6405"/>
    <w:rsid w:val="009C11E2"/>
    <w:rsid w:val="009D0EA9"/>
    <w:rsid w:val="009D3F41"/>
    <w:rsid w:val="009D5780"/>
    <w:rsid w:val="009E18F7"/>
    <w:rsid w:val="009E6726"/>
    <w:rsid w:val="009F58BD"/>
    <w:rsid w:val="009F5A26"/>
    <w:rsid w:val="009F6379"/>
    <w:rsid w:val="00A00C03"/>
    <w:rsid w:val="00A029C1"/>
    <w:rsid w:val="00A16C88"/>
    <w:rsid w:val="00A20A5E"/>
    <w:rsid w:val="00A31AA9"/>
    <w:rsid w:val="00A3237E"/>
    <w:rsid w:val="00A4377B"/>
    <w:rsid w:val="00A47B1F"/>
    <w:rsid w:val="00A569B3"/>
    <w:rsid w:val="00A56FDA"/>
    <w:rsid w:val="00A65E0C"/>
    <w:rsid w:val="00A813EE"/>
    <w:rsid w:val="00A81800"/>
    <w:rsid w:val="00A867B2"/>
    <w:rsid w:val="00A8797A"/>
    <w:rsid w:val="00A95F1A"/>
    <w:rsid w:val="00A96475"/>
    <w:rsid w:val="00AA205E"/>
    <w:rsid w:val="00AA7F53"/>
    <w:rsid w:val="00AB3A2B"/>
    <w:rsid w:val="00AB5123"/>
    <w:rsid w:val="00AE5419"/>
    <w:rsid w:val="00AE7ADF"/>
    <w:rsid w:val="00AF4240"/>
    <w:rsid w:val="00B00A4A"/>
    <w:rsid w:val="00B0330E"/>
    <w:rsid w:val="00B05071"/>
    <w:rsid w:val="00B17C9D"/>
    <w:rsid w:val="00B231F5"/>
    <w:rsid w:val="00B33A85"/>
    <w:rsid w:val="00B36BF2"/>
    <w:rsid w:val="00B37721"/>
    <w:rsid w:val="00B42FFA"/>
    <w:rsid w:val="00B45CFC"/>
    <w:rsid w:val="00B514AD"/>
    <w:rsid w:val="00B54931"/>
    <w:rsid w:val="00B60801"/>
    <w:rsid w:val="00B76307"/>
    <w:rsid w:val="00B7631C"/>
    <w:rsid w:val="00B7719F"/>
    <w:rsid w:val="00B80DA5"/>
    <w:rsid w:val="00B90AD4"/>
    <w:rsid w:val="00B92640"/>
    <w:rsid w:val="00BA12BD"/>
    <w:rsid w:val="00BA51B3"/>
    <w:rsid w:val="00BB2518"/>
    <w:rsid w:val="00BB4C31"/>
    <w:rsid w:val="00BD0074"/>
    <w:rsid w:val="00BD3052"/>
    <w:rsid w:val="00BD382E"/>
    <w:rsid w:val="00BD50C1"/>
    <w:rsid w:val="00BE3F35"/>
    <w:rsid w:val="00BF4E67"/>
    <w:rsid w:val="00C03CED"/>
    <w:rsid w:val="00C07263"/>
    <w:rsid w:val="00C168AE"/>
    <w:rsid w:val="00C17E5E"/>
    <w:rsid w:val="00C20099"/>
    <w:rsid w:val="00C21320"/>
    <w:rsid w:val="00C302A6"/>
    <w:rsid w:val="00C30FDC"/>
    <w:rsid w:val="00C32F84"/>
    <w:rsid w:val="00C36377"/>
    <w:rsid w:val="00C36B2A"/>
    <w:rsid w:val="00C40334"/>
    <w:rsid w:val="00C467E9"/>
    <w:rsid w:val="00C51219"/>
    <w:rsid w:val="00C5253A"/>
    <w:rsid w:val="00C525F0"/>
    <w:rsid w:val="00C63B38"/>
    <w:rsid w:val="00C66AAD"/>
    <w:rsid w:val="00C83932"/>
    <w:rsid w:val="00CA3EB3"/>
    <w:rsid w:val="00CA600A"/>
    <w:rsid w:val="00CB05E7"/>
    <w:rsid w:val="00CB0712"/>
    <w:rsid w:val="00CB4B33"/>
    <w:rsid w:val="00CC14C1"/>
    <w:rsid w:val="00CC1EDA"/>
    <w:rsid w:val="00CD24DC"/>
    <w:rsid w:val="00CD7512"/>
    <w:rsid w:val="00CE182A"/>
    <w:rsid w:val="00CE594E"/>
    <w:rsid w:val="00CF0B03"/>
    <w:rsid w:val="00CF724C"/>
    <w:rsid w:val="00D06F0C"/>
    <w:rsid w:val="00D12375"/>
    <w:rsid w:val="00D158BB"/>
    <w:rsid w:val="00D17533"/>
    <w:rsid w:val="00D21768"/>
    <w:rsid w:val="00D27EC6"/>
    <w:rsid w:val="00D41FE7"/>
    <w:rsid w:val="00D4695A"/>
    <w:rsid w:val="00D606CF"/>
    <w:rsid w:val="00D61FB8"/>
    <w:rsid w:val="00D83139"/>
    <w:rsid w:val="00DB2382"/>
    <w:rsid w:val="00DB33B5"/>
    <w:rsid w:val="00DC4DE5"/>
    <w:rsid w:val="00DD2157"/>
    <w:rsid w:val="00DD21E8"/>
    <w:rsid w:val="00DD2EA9"/>
    <w:rsid w:val="00DD3471"/>
    <w:rsid w:val="00DD5E0A"/>
    <w:rsid w:val="00DE1B04"/>
    <w:rsid w:val="00DF5D9D"/>
    <w:rsid w:val="00DF5E68"/>
    <w:rsid w:val="00DF65A8"/>
    <w:rsid w:val="00E0199E"/>
    <w:rsid w:val="00E0425F"/>
    <w:rsid w:val="00E0695F"/>
    <w:rsid w:val="00E10005"/>
    <w:rsid w:val="00E15011"/>
    <w:rsid w:val="00E1723A"/>
    <w:rsid w:val="00E21462"/>
    <w:rsid w:val="00E3092F"/>
    <w:rsid w:val="00E30A88"/>
    <w:rsid w:val="00E45131"/>
    <w:rsid w:val="00E65986"/>
    <w:rsid w:val="00E81634"/>
    <w:rsid w:val="00E90B6D"/>
    <w:rsid w:val="00EA1BD3"/>
    <w:rsid w:val="00ED416D"/>
    <w:rsid w:val="00ED71F0"/>
    <w:rsid w:val="00EE3F9B"/>
    <w:rsid w:val="00EE5D68"/>
    <w:rsid w:val="00F10DAD"/>
    <w:rsid w:val="00F23EDE"/>
    <w:rsid w:val="00F2598B"/>
    <w:rsid w:val="00F27AEE"/>
    <w:rsid w:val="00F352C6"/>
    <w:rsid w:val="00F35759"/>
    <w:rsid w:val="00F4087B"/>
    <w:rsid w:val="00F421BB"/>
    <w:rsid w:val="00F441E6"/>
    <w:rsid w:val="00F4496E"/>
    <w:rsid w:val="00F64C14"/>
    <w:rsid w:val="00F65B6F"/>
    <w:rsid w:val="00F83DE4"/>
    <w:rsid w:val="00F84DFE"/>
    <w:rsid w:val="00FA6EA5"/>
    <w:rsid w:val="00FB27A8"/>
    <w:rsid w:val="00FD480D"/>
    <w:rsid w:val="00FD4999"/>
    <w:rsid w:val="00FD623E"/>
    <w:rsid w:val="00FE6446"/>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79A3C-AB79-468F-A434-552C3BD8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0F"/>
    <w:pPr>
      <w:jc w:val="both"/>
    </w:pPr>
    <w:rPr>
      <w:rFonts w:eastAsia="MS Mincho"/>
      <w:sz w:val="22"/>
      <w:szCs w:val="24"/>
      <w:lang w:val="en-GB"/>
    </w:rPr>
  </w:style>
  <w:style w:type="paragraph" w:styleId="Heading1">
    <w:name w:val="heading 1"/>
    <w:aliases w:val="IPPC Headsection"/>
    <w:basedOn w:val="Normal"/>
    <w:next w:val="Normal"/>
    <w:link w:val="Heading1Char"/>
    <w:qFormat/>
    <w:rsid w:val="001B200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B200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B200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B20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200F"/>
  </w:style>
  <w:style w:type="paragraph" w:styleId="Header">
    <w:name w:val="header"/>
    <w:basedOn w:val="Normal"/>
    <w:link w:val="HeaderChar"/>
    <w:rsid w:val="001B200F"/>
    <w:pPr>
      <w:tabs>
        <w:tab w:val="center" w:pos="4680"/>
        <w:tab w:val="right" w:pos="9360"/>
      </w:tabs>
    </w:pPr>
  </w:style>
  <w:style w:type="character" w:customStyle="1" w:styleId="HeaderChar">
    <w:name w:val="Header Char"/>
    <w:basedOn w:val="DefaultParagraphFont"/>
    <w:link w:val="Header"/>
    <w:rsid w:val="001B200F"/>
    <w:rPr>
      <w:rFonts w:eastAsia="MS Mincho"/>
      <w:sz w:val="22"/>
      <w:szCs w:val="24"/>
      <w:lang w:val="en-GB"/>
    </w:rPr>
  </w:style>
  <w:style w:type="paragraph" w:styleId="Footer">
    <w:name w:val="footer"/>
    <w:basedOn w:val="Normal"/>
    <w:link w:val="FooterChar"/>
    <w:rsid w:val="001B200F"/>
    <w:pPr>
      <w:tabs>
        <w:tab w:val="center" w:pos="4680"/>
        <w:tab w:val="right" w:pos="9360"/>
      </w:tabs>
    </w:pPr>
  </w:style>
  <w:style w:type="character" w:customStyle="1" w:styleId="FooterChar">
    <w:name w:val="Footer Char"/>
    <w:basedOn w:val="DefaultParagraphFont"/>
    <w:link w:val="Footer"/>
    <w:rsid w:val="001B200F"/>
    <w:rPr>
      <w:rFonts w:eastAsia="MS Mincho"/>
      <w:sz w:val="22"/>
      <w:szCs w:val="24"/>
      <w:lang w:val="en-GB"/>
    </w:rPr>
  </w:style>
  <w:style w:type="character" w:customStyle="1" w:styleId="Heading1Char">
    <w:name w:val="Heading 1 Char"/>
    <w:aliases w:val="IPPC Headsection Char"/>
    <w:basedOn w:val="DefaultParagraphFont"/>
    <w:link w:val="Heading1"/>
    <w:rsid w:val="001B200F"/>
    <w:rPr>
      <w:rFonts w:eastAsia="MS Mincho"/>
      <w:b/>
      <w:bCs/>
      <w:sz w:val="22"/>
      <w:szCs w:val="24"/>
      <w:lang w:val="en-GB"/>
    </w:rPr>
  </w:style>
  <w:style w:type="paragraph" w:customStyle="1" w:styleId="IPPArialFootnote">
    <w:name w:val="IPP Arial Footnote"/>
    <w:basedOn w:val="IPPArialTable"/>
    <w:qFormat/>
    <w:rsid w:val="001B200F"/>
    <w:pPr>
      <w:tabs>
        <w:tab w:val="left" w:pos="28"/>
      </w:tabs>
      <w:ind w:left="284" w:hanging="284"/>
    </w:pPr>
    <w:rPr>
      <w:sz w:val="16"/>
    </w:rPr>
  </w:style>
  <w:style w:type="paragraph" w:customStyle="1" w:styleId="IPPContentsHead">
    <w:name w:val="IPP ContentsHead"/>
    <w:basedOn w:val="IPPSubhead"/>
    <w:next w:val="IPPNormal"/>
    <w:qFormat/>
    <w:rsid w:val="001B200F"/>
    <w:pPr>
      <w:spacing w:after="240"/>
    </w:pPr>
    <w:rPr>
      <w:sz w:val="24"/>
    </w:rPr>
  </w:style>
  <w:style w:type="paragraph" w:customStyle="1" w:styleId="IPPBullet2">
    <w:name w:val="IPP Bullet2"/>
    <w:basedOn w:val="IPPNormal"/>
    <w:next w:val="IPPBullet1"/>
    <w:qFormat/>
    <w:rsid w:val="001B200F"/>
    <w:pPr>
      <w:numPr>
        <w:numId w:val="4"/>
      </w:numPr>
      <w:tabs>
        <w:tab w:val="left" w:pos="1134"/>
      </w:tabs>
      <w:spacing w:after="60"/>
      <w:ind w:left="1134" w:hanging="567"/>
    </w:pPr>
  </w:style>
  <w:style w:type="paragraph" w:customStyle="1" w:styleId="IPPQuote">
    <w:name w:val="IPP Quote"/>
    <w:basedOn w:val="IPPNormal"/>
    <w:qFormat/>
    <w:rsid w:val="001B200F"/>
    <w:pPr>
      <w:ind w:left="851" w:right="851"/>
    </w:pPr>
    <w:rPr>
      <w:sz w:val="18"/>
    </w:rPr>
  </w:style>
  <w:style w:type="paragraph" w:customStyle="1" w:styleId="IPPNormal">
    <w:name w:val="IPP Normal"/>
    <w:basedOn w:val="Normal"/>
    <w:link w:val="IPPNormalChar"/>
    <w:qFormat/>
    <w:rsid w:val="001B200F"/>
    <w:pPr>
      <w:spacing w:after="180"/>
    </w:pPr>
    <w:rPr>
      <w:rFonts w:eastAsia="Times"/>
    </w:rPr>
  </w:style>
  <w:style w:type="paragraph" w:customStyle="1" w:styleId="IPPIndentClose">
    <w:name w:val="IPP Indent Close"/>
    <w:basedOn w:val="IPPNormal"/>
    <w:qFormat/>
    <w:rsid w:val="001B200F"/>
    <w:pPr>
      <w:tabs>
        <w:tab w:val="left" w:pos="2835"/>
      </w:tabs>
      <w:spacing w:after="60"/>
      <w:ind w:left="567"/>
    </w:pPr>
  </w:style>
  <w:style w:type="paragraph" w:customStyle="1" w:styleId="IPPIndent">
    <w:name w:val="IPP Indent"/>
    <w:basedOn w:val="IPPIndentClose"/>
    <w:qFormat/>
    <w:rsid w:val="001B200F"/>
    <w:pPr>
      <w:spacing w:after="180"/>
    </w:pPr>
  </w:style>
  <w:style w:type="paragraph" w:customStyle="1" w:styleId="IPPFootnote">
    <w:name w:val="IPP Footnote"/>
    <w:basedOn w:val="IPPArialFootnote"/>
    <w:qFormat/>
    <w:rsid w:val="001B200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B200F"/>
    <w:pPr>
      <w:keepNext/>
      <w:tabs>
        <w:tab w:val="left" w:pos="567"/>
      </w:tabs>
      <w:spacing w:before="120" w:after="120"/>
      <w:ind w:left="567" w:hanging="567"/>
    </w:pPr>
    <w:rPr>
      <w:b/>
      <w:i/>
    </w:rPr>
  </w:style>
  <w:style w:type="character" w:customStyle="1" w:styleId="IPPnormalitalics">
    <w:name w:val="IPP normal italics"/>
    <w:basedOn w:val="DefaultParagraphFont"/>
    <w:rsid w:val="001B200F"/>
    <w:rPr>
      <w:rFonts w:ascii="Times New Roman" w:hAnsi="Times New Roman"/>
      <w:i/>
      <w:sz w:val="22"/>
      <w:lang w:val="en-US"/>
    </w:rPr>
  </w:style>
  <w:style w:type="character" w:customStyle="1" w:styleId="IPPNormalbold">
    <w:name w:val="IPP Normal bold"/>
    <w:basedOn w:val="PlainTextChar"/>
    <w:rsid w:val="001B200F"/>
    <w:rPr>
      <w:rFonts w:ascii="Times New Roman" w:eastAsia="Times" w:hAnsi="Times New Roman"/>
      <w:b/>
      <w:sz w:val="22"/>
      <w:szCs w:val="21"/>
      <w:lang w:val="en-AU"/>
    </w:rPr>
  </w:style>
  <w:style w:type="paragraph" w:customStyle="1" w:styleId="IPPHeadSection">
    <w:name w:val="IPP HeadSection"/>
    <w:basedOn w:val="Normal"/>
    <w:next w:val="Normal"/>
    <w:qFormat/>
    <w:rsid w:val="001B200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B200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B200F"/>
    <w:pPr>
      <w:keepNext/>
      <w:ind w:left="567" w:hanging="567"/>
      <w:jc w:val="left"/>
    </w:pPr>
    <w:rPr>
      <w:b/>
      <w:bCs/>
      <w:iCs/>
      <w:szCs w:val="22"/>
    </w:rPr>
  </w:style>
  <w:style w:type="character" w:customStyle="1" w:styleId="IPPNormalunderlined">
    <w:name w:val="IPP Normal underlined"/>
    <w:basedOn w:val="DefaultParagraphFont"/>
    <w:rsid w:val="001B200F"/>
    <w:rPr>
      <w:rFonts w:ascii="Times New Roman" w:hAnsi="Times New Roman"/>
      <w:sz w:val="22"/>
      <w:u w:val="single"/>
      <w:lang w:val="en-US"/>
    </w:rPr>
  </w:style>
  <w:style w:type="paragraph" w:customStyle="1" w:styleId="IPPBullet1">
    <w:name w:val="IPP Bullet1"/>
    <w:basedOn w:val="IPPBullet1Last"/>
    <w:qFormat/>
    <w:rsid w:val="001B200F"/>
    <w:pPr>
      <w:numPr>
        <w:numId w:val="24"/>
      </w:numPr>
      <w:spacing w:after="60"/>
      <w:ind w:left="567" w:hanging="567"/>
    </w:pPr>
    <w:rPr>
      <w:lang w:val="en-US"/>
    </w:rPr>
  </w:style>
  <w:style w:type="paragraph" w:customStyle="1" w:styleId="IPPBullet1Last">
    <w:name w:val="IPP Bullet1Last"/>
    <w:basedOn w:val="IPPNormal"/>
    <w:next w:val="IPPNormal"/>
    <w:autoRedefine/>
    <w:qFormat/>
    <w:rsid w:val="001B200F"/>
    <w:pPr>
      <w:numPr>
        <w:numId w:val="13"/>
      </w:numPr>
    </w:pPr>
  </w:style>
  <w:style w:type="character" w:customStyle="1" w:styleId="IPPNormalstrikethrough">
    <w:name w:val="IPP Normal strikethrough"/>
    <w:rsid w:val="001B200F"/>
    <w:rPr>
      <w:rFonts w:ascii="Times New Roman" w:hAnsi="Times New Roman"/>
      <w:strike/>
      <w:dstrike w:val="0"/>
      <w:sz w:val="22"/>
    </w:rPr>
  </w:style>
  <w:style w:type="paragraph" w:customStyle="1" w:styleId="IPPTitle16pt">
    <w:name w:val="IPP Title16pt"/>
    <w:basedOn w:val="Normal"/>
    <w:qFormat/>
    <w:rsid w:val="001B200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B200F"/>
    <w:pPr>
      <w:spacing w:after="360"/>
      <w:jc w:val="center"/>
    </w:pPr>
    <w:rPr>
      <w:rFonts w:ascii="Arial" w:hAnsi="Arial" w:cs="Arial"/>
      <w:b/>
      <w:bCs/>
      <w:sz w:val="36"/>
      <w:szCs w:val="36"/>
    </w:rPr>
  </w:style>
  <w:style w:type="paragraph" w:customStyle="1" w:styleId="IPPHeader">
    <w:name w:val="IPP Header"/>
    <w:basedOn w:val="Normal"/>
    <w:qFormat/>
    <w:rsid w:val="001B200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B200F"/>
    <w:pPr>
      <w:keepNext/>
      <w:tabs>
        <w:tab w:val="left" w:pos="567"/>
      </w:tabs>
      <w:spacing w:before="120"/>
      <w:jc w:val="left"/>
      <w:outlineLvl w:val="1"/>
    </w:pPr>
    <w:rPr>
      <w:b/>
      <w:sz w:val="24"/>
    </w:rPr>
  </w:style>
  <w:style w:type="numbering" w:customStyle="1" w:styleId="IPPParagraphnumberedlist">
    <w:name w:val="IPP Paragraph numbered list"/>
    <w:rsid w:val="001B200F"/>
    <w:pPr>
      <w:numPr>
        <w:numId w:val="37"/>
      </w:numPr>
    </w:pPr>
  </w:style>
  <w:style w:type="paragraph" w:customStyle="1" w:styleId="IPPNormalCloseSpace">
    <w:name w:val="IPP NormalCloseSpace"/>
    <w:basedOn w:val="Normal"/>
    <w:qFormat/>
    <w:rsid w:val="001B200F"/>
    <w:pPr>
      <w:keepNext/>
      <w:spacing w:after="60"/>
    </w:pPr>
  </w:style>
  <w:style w:type="paragraph" w:customStyle="1" w:styleId="IPPHeading2">
    <w:name w:val="IPP Heading2"/>
    <w:basedOn w:val="IPPNormal"/>
    <w:next w:val="IPPNormal"/>
    <w:qFormat/>
    <w:rsid w:val="001B200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B200F"/>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1B200F"/>
    <w:pPr>
      <w:spacing w:after="60"/>
      <w:ind w:left="567" w:hanging="567"/>
    </w:pPr>
  </w:style>
  <w:style w:type="paragraph" w:customStyle="1" w:styleId="IPPArial">
    <w:name w:val="IPP Arial"/>
    <w:basedOn w:val="IPPNormal"/>
    <w:qFormat/>
    <w:rsid w:val="001B200F"/>
    <w:pPr>
      <w:spacing w:after="0"/>
    </w:pPr>
    <w:rPr>
      <w:rFonts w:ascii="Arial" w:hAnsi="Arial"/>
      <w:sz w:val="18"/>
    </w:rPr>
  </w:style>
  <w:style w:type="paragraph" w:customStyle="1" w:styleId="IPPArialTable">
    <w:name w:val="IPP Arial Table"/>
    <w:basedOn w:val="IPPArial"/>
    <w:qFormat/>
    <w:rsid w:val="001B200F"/>
    <w:pPr>
      <w:spacing w:before="60" w:after="60"/>
      <w:jc w:val="left"/>
    </w:pPr>
  </w:style>
  <w:style w:type="paragraph" w:customStyle="1" w:styleId="IPPHeaderlandscape">
    <w:name w:val="IPP Header landscape"/>
    <w:basedOn w:val="IPPHeader"/>
    <w:qFormat/>
    <w:rsid w:val="001B200F"/>
    <w:pPr>
      <w:pBdr>
        <w:bottom w:val="single" w:sz="4" w:space="1" w:color="auto"/>
      </w:pBdr>
      <w:tabs>
        <w:tab w:val="clear" w:pos="9072"/>
        <w:tab w:val="right" w:pos="14034"/>
      </w:tabs>
      <w:spacing w:after="0"/>
      <w:ind w:right="-32"/>
    </w:pPr>
    <w:rPr>
      <w:noProof/>
    </w:rPr>
  </w:style>
  <w:style w:type="character" w:styleId="PageNumber">
    <w:name w:val="page number"/>
    <w:rsid w:val="001B200F"/>
    <w:rPr>
      <w:rFonts w:ascii="Arial" w:hAnsi="Arial"/>
      <w:b/>
      <w:sz w:val="18"/>
    </w:rPr>
  </w:style>
  <w:style w:type="character" w:customStyle="1" w:styleId="Heading2Char">
    <w:name w:val="Heading 2 Char"/>
    <w:basedOn w:val="DefaultParagraphFont"/>
    <w:link w:val="Heading2"/>
    <w:rsid w:val="001B200F"/>
    <w:rPr>
      <w:rFonts w:ascii="Calibri" w:eastAsia="MS Mincho" w:hAnsi="Calibri"/>
      <w:b/>
      <w:bCs/>
      <w:i/>
      <w:iCs/>
      <w:sz w:val="28"/>
      <w:szCs w:val="28"/>
      <w:lang w:val="en-GB"/>
    </w:rPr>
  </w:style>
  <w:style w:type="character" w:customStyle="1" w:styleId="Heading3Char">
    <w:name w:val="Heading 3 Char"/>
    <w:basedOn w:val="DefaultParagraphFont"/>
    <w:link w:val="Heading3"/>
    <w:rsid w:val="001B200F"/>
    <w:rPr>
      <w:rFonts w:ascii="Calibri" w:eastAsia="MS Mincho" w:hAnsi="Calibri"/>
      <w:b/>
      <w:bCs/>
      <w:sz w:val="26"/>
      <w:szCs w:val="26"/>
      <w:lang w:val="en-GB"/>
    </w:rPr>
  </w:style>
  <w:style w:type="paragraph" w:styleId="FootnoteText">
    <w:name w:val="footnote text"/>
    <w:basedOn w:val="Normal"/>
    <w:link w:val="FootnoteTextChar"/>
    <w:semiHidden/>
    <w:rsid w:val="001B200F"/>
    <w:pPr>
      <w:spacing w:before="60"/>
    </w:pPr>
    <w:rPr>
      <w:sz w:val="20"/>
    </w:rPr>
  </w:style>
  <w:style w:type="character" w:customStyle="1" w:styleId="FootnoteTextChar">
    <w:name w:val="Footnote Text Char"/>
    <w:basedOn w:val="DefaultParagraphFont"/>
    <w:link w:val="FootnoteText"/>
    <w:semiHidden/>
    <w:rsid w:val="001B200F"/>
    <w:rPr>
      <w:rFonts w:eastAsia="MS Mincho"/>
      <w:szCs w:val="24"/>
      <w:lang w:val="en-GB"/>
    </w:rPr>
  </w:style>
  <w:style w:type="character" w:styleId="FootnoteReference">
    <w:name w:val="footnote reference"/>
    <w:basedOn w:val="DefaultParagraphFont"/>
    <w:semiHidden/>
    <w:rsid w:val="001B200F"/>
    <w:rPr>
      <w:vertAlign w:val="superscript"/>
    </w:rPr>
  </w:style>
  <w:style w:type="paragraph" w:customStyle="1" w:styleId="Style">
    <w:name w:val="Style"/>
    <w:basedOn w:val="Footer"/>
    <w:autoRedefine/>
    <w:qFormat/>
    <w:rsid w:val="001B200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1B200F"/>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200F"/>
    <w:rPr>
      <w:rFonts w:ascii="Tahoma" w:hAnsi="Tahoma" w:cs="Tahoma"/>
      <w:sz w:val="16"/>
      <w:szCs w:val="16"/>
    </w:rPr>
  </w:style>
  <w:style w:type="character" w:customStyle="1" w:styleId="BalloonTextChar">
    <w:name w:val="Balloon Text Char"/>
    <w:basedOn w:val="DefaultParagraphFont"/>
    <w:link w:val="BalloonText"/>
    <w:rsid w:val="001B200F"/>
    <w:rPr>
      <w:rFonts w:ascii="Tahoma" w:eastAsia="MS Mincho" w:hAnsi="Tahoma" w:cs="Tahoma"/>
      <w:sz w:val="16"/>
      <w:szCs w:val="16"/>
      <w:lang w:val="en-GB"/>
    </w:rPr>
  </w:style>
  <w:style w:type="paragraph" w:customStyle="1" w:styleId="IPPLetterList">
    <w:name w:val="IPP LetterList"/>
    <w:basedOn w:val="IPPBullet2"/>
    <w:qFormat/>
    <w:rsid w:val="001B200F"/>
    <w:pPr>
      <w:numPr>
        <w:numId w:val="1"/>
      </w:numPr>
      <w:jc w:val="left"/>
    </w:pPr>
  </w:style>
  <w:style w:type="paragraph" w:customStyle="1" w:styleId="IPPLetterListIndent">
    <w:name w:val="IPP LetterList Indent"/>
    <w:basedOn w:val="IPPLetterList"/>
    <w:qFormat/>
    <w:rsid w:val="001B200F"/>
    <w:pPr>
      <w:numPr>
        <w:numId w:val="2"/>
      </w:numPr>
    </w:pPr>
  </w:style>
  <w:style w:type="paragraph" w:customStyle="1" w:styleId="IPPFooterLandscape">
    <w:name w:val="IPP Footer Landscape"/>
    <w:basedOn w:val="IPPHeaderlandscape"/>
    <w:qFormat/>
    <w:rsid w:val="001B200F"/>
    <w:pPr>
      <w:pBdr>
        <w:top w:val="single" w:sz="4" w:space="1" w:color="auto"/>
        <w:bottom w:val="none" w:sz="0" w:space="0" w:color="auto"/>
      </w:pBdr>
      <w:jc w:val="right"/>
    </w:pPr>
    <w:rPr>
      <w:b/>
    </w:rPr>
  </w:style>
  <w:style w:type="paragraph" w:customStyle="1" w:styleId="IPPSubheadSpace">
    <w:name w:val="IPP Subhead Space"/>
    <w:basedOn w:val="IPPSubhead"/>
    <w:qFormat/>
    <w:rsid w:val="001B200F"/>
    <w:pPr>
      <w:tabs>
        <w:tab w:val="left" w:pos="567"/>
      </w:tabs>
      <w:spacing w:before="60" w:after="60"/>
    </w:pPr>
  </w:style>
  <w:style w:type="paragraph" w:customStyle="1" w:styleId="IPPSubheadSpaceAfter">
    <w:name w:val="IPP Subhead SpaceAfter"/>
    <w:basedOn w:val="IPPSubhead"/>
    <w:qFormat/>
    <w:rsid w:val="001B200F"/>
    <w:pPr>
      <w:spacing w:after="60"/>
    </w:pPr>
  </w:style>
  <w:style w:type="paragraph" w:customStyle="1" w:styleId="IPPHdg1Num">
    <w:name w:val="IPP Hdg1Num"/>
    <w:basedOn w:val="IPPHeading1"/>
    <w:next w:val="IPPNormal"/>
    <w:qFormat/>
    <w:rsid w:val="001B200F"/>
    <w:pPr>
      <w:numPr>
        <w:numId w:val="14"/>
      </w:numPr>
    </w:pPr>
  </w:style>
  <w:style w:type="paragraph" w:customStyle="1" w:styleId="IPPHdg2Num">
    <w:name w:val="IPP Hdg2Num"/>
    <w:basedOn w:val="IPPHeading2"/>
    <w:next w:val="IPPNormal"/>
    <w:qFormat/>
    <w:rsid w:val="001B200F"/>
    <w:pPr>
      <w:numPr>
        <w:ilvl w:val="1"/>
        <w:numId w:val="15"/>
      </w:numPr>
    </w:pPr>
  </w:style>
  <w:style w:type="paragraph" w:customStyle="1" w:styleId="IPPNumberedList">
    <w:name w:val="IPP NumberedList"/>
    <w:basedOn w:val="IPPBullet1"/>
    <w:qFormat/>
    <w:rsid w:val="001B200F"/>
    <w:pPr>
      <w:numPr>
        <w:numId w:val="9"/>
      </w:numPr>
    </w:pPr>
  </w:style>
  <w:style w:type="paragraph" w:customStyle="1" w:styleId="IPPParagraphnumbering">
    <w:name w:val="IPP Paragraph numbering"/>
    <w:basedOn w:val="IPPNormal"/>
    <w:qFormat/>
    <w:rsid w:val="001B200F"/>
    <w:pPr>
      <w:numPr>
        <w:numId w:val="38"/>
      </w:numPr>
    </w:pPr>
    <w:rPr>
      <w:lang w:val="en-US"/>
    </w:rPr>
  </w:style>
  <w:style w:type="paragraph" w:styleId="TOC1">
    <w:name w:val="toc 1"/>
    <w:basedOn w:val="IPPNormalCloseSpace"/>
    <w:next w:val="Normal"/>
    <w:autoRedefine/>
    <w:uiPriority w:val="39"/>
    <w:rsid w:val="001B200F"/>
    <w:pPr>
      <w:tabs>
        <w:tab w:val="right" w:leader="dot" w:pos="9072"/>
      </w:tabs>
      <w:spacing w:before="240"/>
      <w:ind w:left="567" w:hanging="567"/>
    </w:pPr>
  </w:style>
  <w:style w:type="paragraph" w:styleId="TOC2">
    <w:name w:val="toc 2"/>
    <w:basedOn w:val="TOC1"/>
    <w:next w:val="Normal"/>
    <w:autoRedefine/>
    <w:uiPriority w:val="39"/>
    <w:rsid w:val="001B200F"/>
    <w:pPr>
      <w:keepNext w:val="0"/>
      <w:tabs>
        <w:tab w:val="left" w:pos="425"/>
      </w:tabs>
      <w:spacing w:before="120" w:after="0"/>
      <w:ind w:left="425" w:right="284" w:hanging="425"/>
    </w:pPr>
  </w:style>
  <w:style w:type="paragraph" w:styleId="TOC3">
    <w:name w:val="toc 3"/>
    <w:basedOn w:val="TOC2"/>
    <w:next w:val="Normal"/>
    <w:autoRedefine/>
    <w:uiPriority w:val="39"/>
    <w:rsid w:val="001B200F"/>
    <w:pPr>
      <w:tabs>
        <w:tab w:val="left" w:pos="1276"/>
      </w:tabs>
      <w:spacing w:before="60"/>
      <w:ind w:left="1276" w:hanging="851"/>
    </w:pPr>
    <w:rPr>
      <w:rFonts w:eastAsia="Times"/>
    </w:rPr>
  </w:style>
  <w:style w:type="paragraph" w:styleId="TOC4">
    <w:name w:val="toc 4"/>
    <w:basedOn w:val="Normal"/>
    <w:next w:val="Normal"/>
    <w:autoRedefine/>
    <w:uiPriority w:val="39"/>
    <w:rsid w:val="001B200F"/>
    <w:pPr>
      <w:spacing w:after="120"/>
      <w:ind w:left="660"/>
    </w:pPr>
    <w:rPr>
      <w:rFonts w:eastAsia="Times"/>
      <w:lang w:val="en-AU"/>
    </w:rPr>
  </w:style>
  <w:style w:type="paragraph" w:styleId="TOC5">
    <w:name w:val="toc 5"/>
    <w:basedOn w:val="Normal"/>
    <w:next w:val="Normal"/>
    <w:autoRedefine/>
    <w:uiPriority w:val="39"/>
    <w:rsid w:val="001B200F"/>
    <w:pPr>
      <w:spacing w:after="120"/>
      <w:ind w:left="880"/>
    </w:pPr>
    <w:rPr>
      <w:rFonts w:eastAsia="Times"/>
      <w:lang w:val="en-AU"/>
    </w:rPr>
  </w:style>
  <w:style w:type="paragraph" w:styleId="TOC6">
    <w:name w:val="toc 6"/>
    <w:basedOn w:val="Normal"/>
    <w:next w:val="Normal"/>
    <w:autoRedefine/>
    <w:uiPriority w:val="39"/>
    <w:rsid w:val="001B200F"/>
    <w:pPr>
      <w:spacing w:after="120"/>
      <w:ind w:left="1100"/>
    </w:pPr>
    <w:rPr>
      <w:rFonts w:eastAsia="Times"/>
      <w:lang w:val="en-AU"/>
    </w:rPr>
  </w:style>
  <w:style w:type="paragraph" w:styleId="TOC7">
    <w:name w:val="toc 7"/>
    <w:basedOn w:val="Normal"/>
    <w:next w:val="Normal"/>
    <w:autoRedefine/>
    <w:uiPriority w:val="39"/>
    <w:rsid w:val="001B200F"/>
    <w:pPr>
      <w:spacing w:after="120"/>
      <w:ind w:left="1320"/>
    </w:pPr>
    <w:rPr>
      <w:rFonts w:eastAsia="Times"/>
      <w:lang w:val="en-AU"/>
    </w:rPr>
  </w:style>
  <w:style w:type="paragraph" w:styleId="TOC8">
    <w:name w:val="toc 8"/>
    <w:basedOn w:val="Normal"/>
    <w:next w:val="Normal"/>
    <w:autoRedefine/>
    <w:uiPriority w:val="39"/>
    <w:rsid w:val="001B200F"/>
    <w:pPr>
      <w:spacing w:after="120"/>
      <w:ind w:left="1540"/>
    </w:pPr>
    <w:rPr>
      <w:rFonts w:eastAsia="Times"/>
      <w:lang w:val="en-AU"/>
    </w:rPr>
  </w:style>
  <w:style w:type="paragraph" w:styleId="TOC9">
    <w:name w:val="toc 9"/>
    <w:basedOn w:val="Normal"/>
    <w:next w:val="Normal"/>
    <w:autoRedefine/>
    <w:uiPriority w:val="39"/>
    <w:rsid w:val="001B200F"/>
    <w:pPr>
      <w:spacing w:after="120"/>
      <w:ind w:left="1760"/>
    </w:pPr>
    <w:rPr>
      <w:rFonts w:eastAsia="Times"/>
      <w:lang w:val="en-AU"/>
    </w:rPr>
  </w:style>
  <w:style w:type="paragraph" w:customStyle="1" w:styleId="IPPParagraphnumberingclose">
    <w:name w:val="IPP Paragraph numbering close"/>
    <w:basedOn w:val="IPPParagraphnumbering"/>
    <w:qFormat/>
    <w:rsid w:val="001B200F"/>
    <w:pPr>
      <w:keepNext/>
      <w:spacing w:after="60"/>
    </w:pPr>
  </w:style>
  <w:style w:type="paragraph" w:styleId="PlainText">
    <w:name w:val="Plain Text"/>
    <w:basedOn w:val="Normal"/>
    <w:link w:val="PlainTextChar"/>
    <w:uiPriority w:val="99"/>
    <w:unhideWhenUsed/>
    <w:rsid w:val="001B200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B200F"/>
    <w:rPr>
      <w:rFonts w:ascii="Courier" w:eastAsia="Times" w:hAnsi="Courier"/>
      <w:sz w:val="21"/>
      <w:szCs w:val="21"/>
      <w:lang w:val="en-AU"/>
    </w:rPr>
  </w:style>
  <w:style w:type="paragraph" w:customStyle="1" w:styleId="IPPNumberedListLast">
    <w:name w:val="IPP NumberedListLast"/>
    <w:basedOn w:val="IPPNumberedList"/>
    <w:qFormat/>
    <w:rsid w:val="001B200F"/>
    <w:pPr>
      <w:spacing w:after="180"/>
    </w:pPr>
  </w:style>
  <w:style w:type="character" w:styleId="Strong">
    <w:name w:val="Strong"/>
    <w:basedOn w:val="DefaultParagraphFont"/>
    <w:qFormat/>
    <w:rsid w:val="001B200F"/>
    <w:rPr>
      <w:b/>
      <w:bCs/>
    </w:rPr>
  </w:style>
  <w:style w:type="paragraph" w:styleId="ListParagraph">
    <w:name w:val="List Paragraph"/>
    <w:basedOn w:val="Normal"/>
    <w:uiPriority w:val="34"/>
    <w:qFormat/>
    <w:rsid w:val="001B200F"/>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Menzionenonrisolta1">
    <w:name w:val="Menzione non risolta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9156">
      <w:bodyDiv w:val="1"/>
      <w:marLeft w:val="0"/>
      <w:marRight w:val="0"/>
      <w:marTop w:val="0"/>
      <w:marBottom w:val="0"/>
      <w:divBdr>
        <w:top w:val="none" w:sz="0" w:space="0" w:color="auto"/>
        <w:left w:val="none" w:sz="0" w:space="0" w:color="auto"/>
        <w:bottom w:val="none" w:sz="0" w:space="0" w:color="auto"/>
        <w:right w:val="none" w:sz="0" w:space="0" w:color="auto"/>
      </w:divBdr>
    </w:div>
    <w:div w:id="982849222">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B3730235-5569-48F3-A2BE-E9235B409F36}">
  <ds:schemaRefs>
    <ds:schemaRef ds:uri="http://schemas.microsoft.com/sharepoint/v3/contenttype/forms"/>
  </ds:schemaRefs>
</ds:datastoreItem>
</file>

<file path=customXml/itemProps2.xml><?xml version="1.0" encoding="utf-8"?>
<ds:datastoreItem xmlns:ds="http://schemas.openxmlformats.org/officeDocument/2006/customXml" ds:itemID="{BDAC533B-31F9-488F-B37E-6B00FCCF9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E65A28-D27E-4924-85A5-F5796E4F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722D8-4D72-450B-B8F1-01E5950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JimenezTabares, Alejandra (AGDI)</cp:lastModifiedBy>
  <cp:revision>2</cp:revision>
  <dcterms:created xsi:type="dcterms:W3CDTF">2020-06-29T09:47:00Z</dcterms:created>
  <dcterms:modified xsi:type="dcterms:W3CDTF">2020-06-29T09:47:00Z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