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BFA" w:rsidRPr="00A94BFA" w:rsidRDefault="00A94BFA" w:rsidP="004461A0">
      <w:pPr>
        <w:jc w:val="center"/>
        <w:rPr>
          <w:rFonts w:cs="Times New Roman"/>
          <w:i/>
          <w:sz w:val="24"/>
          <w:szCs w:val="24"/>
        </w:rPr>
      </w:pPr>
      <w:r w:rsidRPr="00A94BFA">
        <w:rPr>
          <w:rFonts w:cs="Times New Roman"/>
          <w:i/>
          <w:sz w:val="24"/>
          <w:szCs w:val="24"/>
        </w:rPr>
        <w:t>Document presented to CPM-7(2013)</w:t>
      </w:r>
    </w:p>
    <w:p w:rsidR="002C0CF4" w:rsidRPr="004461A0" w:rsidRDefault="005D7364" w:rsidP="004461A0">
      <w:pPr>
        <w:jc w:val="center"/>
        <w:rPr>
          <w:rFonts w:cs="Times New Roman"/>
          <w:b/>
          <w:sz w:val="24"/>
          <w:szCs w:val="24"/>
        </w:rPr>
      </w:pPr>
      <w:r w:rsidRPr="006F77F9">
        <w:rPr>
          <w:rFonts w:cs="Times New Roman"/>
          <w:b/>
          <w:sz w:val="24"/>
          <w:szCs w:val="24"/>
        </w:rPr>
        <w:t xml:space="preserve">IPPC LIAISON, COOPERATION AND </w:t>
      </w:r>
      <w:r w:rsidR="00710976" w:rsidRPr="006F77F9">
        <w:rPr>
          <w:rFonts w:cs="Times New Roman"/>
          <w:b/>
          <w:sz w:val="24"/>
          <w:szCs w:val="24"/>
        </w:rPr>
        <w:t>PARTNERSHIP POLICY</w:t>
      </w:r>
    </w:p>
    <w:p w:rsidR="00BC1DD6" w:rsidRPr="00BC1DD6" w:rsidRDefault="00BC1DD6" w:rsidP="00BC1DD6">
      <w:pPr>
        <w:pStyle w:val="ListParagraph"/>
        <w:numPr>
          <w:ilvl w:val="0"/>
          <w:numId w:val="9"/>
        </w:numPr>
        <w:jc w:val="both"/>
        <w:rPr>
          <w:rFonts w:asciiTheme="minorHAnsi" w:hAnsiTheme="minorHAnsi"/>
          <w:u w:val="single"/>
        </w:rPr>
      </w:pPr>
      <w:r w:rsidRPr="00BC1DD6">
        <w:rPr>
          <w:rFonts w:asciiTheme="minorHAnsi" w:hAnsiTheme="minorHAnsi"/>
          <w:u w:val="single"/>
        </w:rPr>
        <w:t>Antecedents</w:t>
      </w:r>
    </w:p>
    <w:p w:rsidR="002C0CF4" w:rsidRPr="002C0CF4" w:rsidRDefault="002C0CF4" w:rsidP="002C0CF4">
      <w:pPr>
        <w:jc w:val="both"/>
        <w:rPr>
          <w:rFonts w:cs="Times New Roman"/>
        </w:rPr>
      </w:pPr>
      <w:r>
        <w:rPr>
          <w:rFonts w:cs="Times New Roman"/>
        </w:rPr>
        <w:t>In 2012, the Secretariat presented a paper</w:t>
      </w:r>
      <w:r w:rsidR="00BC1DD6">
        <w:rPr>
          <w:rFonts w:cs="Times New Roman"/>
        </w:rPr>
        <w:t xml:space="preserve"> on liaison, cooperation and partnership</w:t>
      </w:r>
      <w:r>
        <w:rPr>
          <w:rFonts w:cs="Times New Roman"/>
        </w:rPr>
        <w:t xml:space="preserve"> to the SPG and received the following recommendations:</w:t>
      </w:r>
    </w:p>
    <w:p w:rsidR="002C0CF4" w:rsidRPr="00BC1DD6" w:rsidRDefault="002C0CF4" w:rsidP="002C0CF4">
      <w:pPr>
        <w:jc w:val="both"/>
      </w:pPr>
      <w:r w:rsidRPr="00BC1DD6">
        <w:t xml:space="preserve">Recommendations from the SPG 2012: </w:t>
      </w:r>
    </w:p>
    <w:p w:rsidR="002C0CF4" w:rsidRPr="002C0CF4" w:rsidRDefault="002C0CF4" w:rsidP="002C0CF4">
      <w:pPr>
        <w:pStyle w:val="IPPNormal"/>
        <w:numPr>
          <w:ilvl w:val="0"/>
          <w:numId w:val="7"/>
        </w:numPr>
        <w:rPr>
          <w:rFonts w:asciiTheme="minorHAnsi" w:hAnsiTheme="minorHAnsi"/>
        </w:rPr>
      </w:pPr>
      <w:r w:rsidRPr="002C0CF4">
        <w:rPr>
          <w:rFonts w:asciiTheme="minorHAnsi" w:hAnsiTheme="minorHAnsi"/>
        </w:rPr>
        <w:t>An SPG member pointed out that partnerships must be structured, as to identify win-win options. Identifying benefits in partnering with IPPC is paramount for a successful partnership strategy.</w:t>
      </w:r>
    </w:p>
    <w:p w:rsidR="002C0CF4" w:rsidRPr="002C0CF4" w:rsidRDefault="002C0CF4" w:rsidP="002C0CF4">
      <w:pPr>
        <w:pStyle w:val="IPPNormal"/>
        <w:numPr>
          <w:ilvl w:val="0"/>
          <w:numId w:val="7"/>
        </w:numPr>
        <w:rPr>
          <w:rFonts w:asciiTheme="minorHAnsi" w:hAnsiTheme="minorHAnsi"/>
        </w:rPr>
      </w:pPr>
      <w:r w:rsidRPr="002C0CF4">
        <w:rPr>
          <w:rFonts w:asciiTheme="minorHAnsi" w:hAnsiTheme="minorHAnsi"/>
        </w:rPr>
        <w:t xml:space="preserve">Another SPG member discussed the necessity to think about objectives. It was suggested to start with standards that are currently being developed (sea containers, seeds, grains, etc.), and to add the scientific world in addition to the industry world. </w:t>
      </w:r>
    </w:p>
    <w:p w:rsidR="002C0CF4" w:rsidRPr="002C0CF4" w:rsidRDefault="002C0CF4" w:rsidP="002C0CF4">
      <w:pPr>
        <w:pStyle w:val="IPPNormal"/>
        <w:numPr>
          <w:ilvl w:val="0"/>
          <w:numId w:val="7"/>
        </w:numPr>
        <w:rPr>
          <w:rFonts w:asciiTheme="minorHAnsi" w:hAnsiTheme="minorHAnsi"/>
        </w:rPr>
      </w:pPr>
      <w:r w:rsidRPr="002C0CF4">
        <w:rPr>
          <w:rFonts w:asciiTheme="minorHAnsi" w:hAnsiTheme="minorHAnsi"/>
        </w:rPr>
        <w:t>The SPG also suggested contacting RPPOs and NPPOs to seek guidance on their experience related to partnerships. Liaising with private sector is acknowledged to be a complex issue, but also a potentially productive one.</w:t>
      </w:r>
    </w:p>
    <w:p w:rsidR="002C0CF4" w:rsidRPr="002C0CF4" w:rsidRDefault="002C0CF4" w:rsidP="002C0CF4">
      <w:pPr>
        <w:pStyle w:val="IPPNormal"/>
        <w:numPr>
          <w:ilvl w:val="0"/>
          <w:numId w:val="7"/>
        </w:numPr>
        <w:rPr>
          <w:rFonts w:asciiTheme="minorHAnsi" w:hAnsiTheme="minorHAnsi"/>
        </w:rPr>
      </w:pPr>
      <w:r w:rsidRPr="002C0CF4">
        <w:rPr>
          <w:rFonts w:asciiTheme="minorHAnsi" w:hAnsiTheme="minorHAnsi"/>
        </w:rPr>
        <w:t xml:space="preserve">There was a suggestion to focus on partners that are involved in current projects. The SPG warned that if the IPPC goes further, there will be a need to find out what industry needs from a plant protection organization, and how much the Secretariat can commit to this effort. </w:t>
      </w:r>
    </w:p>
    <w:p w:rsidR="002C0CF4" w:rsidRPr="002C0CF4" w:rsidRDefault="002C0CF4" w:rsidP="002C0CF4">
      <w:pPr>
        <w:pStyle w:val="IPPNormal"/>
        <w:numPr>
          <w:ilvl w:val="0"/>
          <w:numId w:val="7"/>
        </w:numPr>
        <w:rPr>
          <w:rFonts w:asciiTheme="minorHAnsi" w:hAnsiTheme="minorHAnsi"/>
        </w:rPr>
      </w:pPr>
      <w:r w:rsidRPr="002C0CF4">
        <w:rPr>
          <w:rFonts w:asciiTheme="minorHAnsi" w:hAnsiTheme="minorHAnsi"/>
        </w:rPr>
        <w:t xml:space="preserve">The SPG further noted that if there is a linkage with industry, there will be a need to be more active, enhance efforts to get results quickly, improve budgeting activities, and meet specific targets on time. </w:t>
      </w:r>
    </w:p>
    <w:p w:rsidR="002C0CF4" w:rsidRPr="002C0CF4" w:rsidRDefault="002C0CF4" w:rsidP="002C0CF4">
      <w:pPr>
        <w:pStyle w:val="IPPNormal"/>
        <w:numPr>
          <w:ilvl w:val="0"/>
          <w:numId w:val="7"/>
        </w:numPr>
        <w:rPr>
          <w:rFonts w:asciiTheme="minorHAnsi" w:hAnsiTheme="minorHAnsi"/>
        </w:rPr>
      </w:pPr>
      <w:r w:rsidRPr="002C0CF4">
        <w:rPr>
          <w:rFonts w:asciiTheme="minorHAnsi" w:hAnsiTheme="minorHAnsi"/>
        </w:rPr>
        <w:t xml:space="preserve">The SPG suggested building partnerships with universities. It noted that it would be useful if students could get credits for subjects related to IPPC and potentially intern for the Secretariat, as this could also be a source of future staff. </w:t>
      </w:r>
    </w:p>
    <w:p w:rsidR="002C0CF4" w:rsidRPr="002C0CF4" w:rsidRDefault="002C0CF4" w:rsidP="002C0CF4">
      <w:pPr>
        <w:pStyle w:val="IPPNormal"/>
        <w:rPr>
          <w:rFonts w:asciiTheme="minorHAnsi" w:hAnsiTheme="minorHAnsi"/>
        </w:rPr>
      </w:pPr>
      <w:r w:rsidRPr="002C0CF4">
        <w:rPr>
          <w:rFonts w:asciiTheme="minorHAnsi" w:hAnsiTheme="minorHAnsi"/>
        </w:rPr>
        <w:t xml:space="preserve">The SPG: </w:t>
      </w:r>
    </w:p>
    <w:p w:rsidR="002C0CF4" w:rsidRPr="002C0CF4" w:rsidRDefault="002C0CF4" w:rsidP="002C0CF4">
      <w:pPr>
        <w:pStyle w:val="IPPNormal"/>
        <w:rPr>
          <w:rFonts w:asciiTheme="minorHAnsi" w:hAnsiTheme="minorHAnsi"/>
        </w:rPr>
      </w:pPr>
      <w:r w:rsidRPr="002C0CF4">
        <w:rPr>
          <w:rFonts w:asciiTheme="minorHAnsi" w:hAnsiTheme="minorHAnsi"/>
        </w:rPr>
        <w:t xml:space="preserve">1. </w:t>
      </w:r>
      <w:r w:rsidRPr="002C0CF4">
        <w:rPr>
          <w:rFonts w:asciiTheme="minorHAnsi" w:hAnsiTheme="minorHAnsi"/>
          <w:i/>
        </w:rPr>
        <w:t>concluded</w:t>
      </w:r>
      <w:r w:rsidRPr="002C0CF4">
        <w:rPr>
          <w:rFonts w:asciiTheme="minorHAnsi" w:hAnsiTheme="minorHAnsi"/>
        </w:rPr>
        <w:t xml:space="preserve"> that, while resources are limited for the Secretariat, the Secretariat should pursue a partnership strategy; </w:t>
      </w:r>
    </w:p>
    <w:p w:rsidR="002C0CF4" w:rsidRPr="002C0CF4" w:rsidRDefault="002C0CF4" w:rsidP="002C0CF4">
      <w:pPr>
        <w:pStyle w:val="IPPNormal"/>
        <w:rPr>
          <w:rFonts w:asciiTheme="minorHAnsi" w:hAnsiTheme="minorHAnsi"/>
        </w:rPr>
      </w:pPr>
      <w:r w:rsidRPr="002C0CF4">
        <w:rPr>
          <w:rFonts w:asciiTheme="minorHAnsi" w:hAnsiTheme="minorHAnsi"/>
        </w:rPr>
        <w:t xml:space="preserve">2. </w:t>
      </w:r>
      <w:r w:rsidRPr="002C0CF4">
        <w:rPr>
          <w:rFonts w:asciiTheme="minorHAnsi" w:hAnsiTheme="minorHAnsi"/>
          <w:i/>
        </w:rPr>
        <w:t>noted</w:t>
      </w:r>
      <w:r w:rsidRPr="002C0CF4">
        <w:rPr>
          <w:rFonts w:asciiTheme="minorHAnsi" w:hAnsiTheme="minorHAnsi"/>
        </w:rPr>
        <w:t xml:space="preserve"> that a significant amount of time is needed in research for developing clear parameters for future partnerships, clearly outlining mutual benefits; </w:t>
      </w:r>
    </w:p>
    <w:p w:rsidR="002C0CF4" w:rsidRPr="006F77F9" w:rsidRDefault="002C0CF4" w:rsidP="002C0CF4">
      <w:pPr>
        <w:pStyle w:val="IPPNormal"/>
        <w:rPr>
          <w:rFonts w:asciiTheme="minorHAnsi" w:hAnsiTheme="minorHAnsi"/>
        </w:rPr>
      </w:pPr>
      <w:r w:rsidRPr="002C0CF4">
        <w:rPr>
          <w:rFonts w:asciiTheme="minorHAnsi" w:hAnsiTheme="minorHAnsi"/>
        </w:rPr>
        <w:t xml:space="preserve">3. </w:t>
      </w:r>
      <w:r w:rsidRPr="002C0CF4">
        <w:rPr>
          <w:rFonts w:asciiTheme="minorHAnsi" w:hAnsiTheme="minorHAnsi"/>
          <w:i/>
        </w:rPr>
        <w:t>suggested</w:t>
      </w:r>
      <w:r w:rsidRPr="002C0CF4">
        <w:rPr>
          <w:rFonts w:asciiTheme="minorHAnsi" w:hAnsiTheme="minorHAnsi"/>
        </w:rPr>
        <w:t xml:space="preserve"> that research should be undertaken to find partners for the development of specific standards, and to build partnerships with universities.</w:t>
      </w:r>
      <w:r w:rsidRPr="006F77F9">
        <w:rPr>
          <w:rFonts w:asciiTheme="minorHAnsi" w:hAnsiTheme="minorHAnsi"/>
        </w:rPr>
        <w:t xml:space="preserve"> </w:t>
      </w:r>
    </w:p>
    <w:p w:rsidR="00BC1DD6" w:rsidRDefault="00BC1DD6" w:rsidP="00BC1DD6">
      <w:pPr>
        <w:ind w:firstLine="720"/>
        <w:jc w:val="both"/>
        <w:rPr>
          <w:rFonts w:cs="Times New Roman"/>
        </w:rPr>
      </w:pPr>
      <w:r>
        <w:rPr>
          <w:rFonts w:cs="Times New Roman"/>
          <w:u w:val="single"/>
        </w:rPr>
        <w:t xml:space="preserve">2.  </w:t>
      </w:r>
      <w:r w:rsidRPr="00BC1DD6">
        <w:rPr>
          <w:rFonts w:cs="Times New Roman"/>
          <w:u w:val="single"/>
        </w:rPr>
        <w:t>Understanding the different situations</w:t>
      </w:r>
    </w:p>
    <w:p w:rsidR="00BC1DD6" w:rsidRDefault="00BC1DD6" w:rsidP="0069246C">
      <w:pPr>
        <w:jc w:val="both"/>
        <w:rPr>
          <w:rFonts w:cs="Times New Roman"/>
        </w:rPr>
      </w:pPr>
    </w:p>
    <w:p w:rsidR="00812713" w:rsidRDefault="0077297E" w:rsidP="0069246C">
      <w:pPr>
        <w:jc w:val="both"/>
        <w:rPr>
          <w:rFonts w:eastAsia="Times New Roman" w:cs="Times New Roman"/>
        </w:rPr>
      </w:pPr>
      <w:r w:rsidRPr="006F77F9">
        <w:rPr>
          <w:rFonts w:cs="Times New Roman"/>
        </w:rPr>
        <w:t>For the purposes of this document, the following de</w:t>
      </w:r>
      <w:r w:rsidR="007E0544" w:rsidRPr="006F77F9">
        <w:rPr>
          <w:rFonts w:cs="Times New Roman"/>
        </w:rPr>
        <w:t>finition</w:t>
      </w:r>
      <w:r w:rsidRPr="006F77F9">
        <w:rPr>
          <w:rFonts w:cs="Times New Roman"/>
        </w:rPr>
        <w:t>s</w:t>
      </w:r>
      <w:r w:rsidR="007E0544" w:rsidRPr="006F77F9">
        <w:rPr>
          <w:rFonts w:cs="Times New Roman"/>
        </w:rPr>
        <w:t xml:space="preserve"> </w:t>
      </w:r>
      <w:r w:rsidRPr="006F77F9">
        <w:rPr>
          <w:rFonts w:eastAsia="Times New Roman" w:cs="Times New Roman"/>
        </w:rPr>
        <w:t>will be use</w:t>
      </w:r>
      <w:r w:rsidR="00812713">
        <w:rPr>
          <w:rFonts w:eastAsia="Times New Roman" w:cs="Times New Roman"/>
        </w:rPr>
        <w:t>d</w:t>
      </w:r>
      <w:r w:rsidR="00C619BB" w:rsidRPr="006F77F9">
        <w:rPr>
          <w:rFonts w:eastAsia="Times New Roman" w:cs="Times New Roman"/>
        </w:rPr>
        <w:t xml:space="preserve">: </w:t>
      </w:r>
    </w:p>
    <w:p w:rsidR="0069246C" w:rsidRPr="006F77F9" w:rsidRDefault="00812713" w:rsidP="0069246C">
      <w:pPr>
        <w:jc w:val="both"/>
        <w:rPr>
          <w:rFonts w:eastAsia="Times New Roman" w:cs="Times New Roman"/>
        </w:rPr>
      </w:pPr>
      <w:r>
        <w:rPr>
          <w:rFonts w:eastAsia="Times New Roman" w:cs="Times New Roman"/>
          <w:b/>
        </w:rPr>
        <w:t>L</w:t>
      </w:r>
      <w:r w:rsidR="00C619BB" w:rsidRPr="006F77F9">
        <w:rPr>
          <w:rFonts w:eastAsia="Times New Roman" w:cs="Times New Roman"/>
          <w:b/>
        </w:rPr>
        <w:t>iaison</w:t>
      </w:r>
      <w:r w:rsidR="00C619BB" w:rsidRPr="006F77F9">
        <w:rPr>
          <w:rFonts w:eastAsia="Times New Roman" w:cs="Times New Roman"/>
        </w:rPr>
        <w:t xml:space="preserve"> - c</w:t>
      </w:r>
      <w:r w:rsidR="00C619BB" w:rsidRPr="006F77F9">
        <w:rPr>
          <w:rFonts w:cs="Times New Roman"/>
        </w:rPr>
        <w:t xml:space="preserve">ommunication and contact between groups or units, and </w:t>
      </w:r>
      <w:r w:rsidR="00C619BB" w:rsidRPr="006F77F9">
        <w:rPr>
          <w:rFonts w:cs="Times New Roman"/>
          <w:b/>
        </w:rPr>
        <w:t>liaison officer</w:t>
      </w:r>
      <w:r w:rsidR="00C619BB" w:rsidRPr="006F77F9">
        <w:rPr>
          <w:rFonts w:cs="Times New Roman"/>
        </w:rPr>
        <w:t xml:space="preserve"> - a person who liaises between groups or units.  </w:t>
      </w:r>
      <w:r w:rsidR="00ED2DE1" w:rsidRPr="006F77F9">
        <w:rPr>
          <w:rFonts w:eastAsia="Times New Roman" w:cs="Times New Roman"/>
        </w:rPr>
        <w:t>T</w:t>
      </w:r>
      <w:r w:rsidR="007E0544" w:rsidRPr="006F77F9">
        <w:rPr>
          <w:rFonts w:eastAsia="Times New Roman" w:cs="Times New Roman"/>
        </w:rPr>
        <w:t>h</w:t>
      </w:r>
      <w:r w:rsidR="00ED2DE1" w:rsidRPr="006F77F9">
        <w:rPr>
          <w:rFonts w:eastAsia="Times New Roman" w:cs="Times New Roman"/>
        </w:rPr>
        <w:t>ese</w:t>
      </w:r>
      <w:r w:rsidR="007E0544" w:rsidRPr="006F77F9">
        <w:rPr>
          <w:rFonts w:eastAsia="Times New Roman" w:cs="Times New Roman"/>
        </w:rPr>
        <w:t xml:space="preserve"> definitions apply to the IPPC as personnel of the Secretariat staff frequently act as liaison between the IPPC and other organizations, be they national, international, public or private, and, staff of the IPPC engage in the act of liaison by establishing and maintaining mutual</w:t>
      </w:r>
      <w:r w:rsidR="00ED2DE1" w:rsidRPr="006F77F9">
        <w:rPr>
          <w:rFonts w:eastAsia="Times New Roman" w:cs="Times New Roman"/>
        </w:rPr>
        <w:t xml:space="preserve"> understanding</w:t>
      </w:r>
      <w:r w:rsidR="007E0544" w:rsidRPr="006F77F9">
        <w:rPr>
          <w:rFonts w:eastAsia="Times New Roman" w:cs="Times New Roman"/>
        </w:rPr>
        <w:t>.</w:t>
      </w:r>
      <w:r>
        <w:rPr>
          <w:rFonts w:eastAsia="Times New Roman" w:cs="Times New Roman"/>
        </w:rPr>
        <w:t xml:space="preserve"> </w:t>
      </w:r>
      <w:r w:rsidR="007E0544" w:rsidRPr="006F77F9">
        <w:rPr>
          <w:rFonts w:eastAsia="Times New Roman" w:cs="Times New Roman"/>
        </w:rPr>
        <w:t>In the majority of situations in which the IPPC liaises, the activity is focused on maintaining or enhancing mutual understanding, rather than on any specific coo</w:t>
      </w:r>
      <w:r w:rsidR="00ED2DE1" w:rsidRPr="006F77F9">
        <w:rPr>
          <w:rFonts w:eastAsia="Times New Roman" w:cs="Times New Roman"/>
        </w:rPr>
        <w:t xml:space="preserve">perative activity.  </w:t>
      </w:r>
    </w:p>
    <w:p w:rsidR="007E0544" w:rsidRPr="000133E3" w:rsidRDefault="00812713" w:rsidP="000133E3">
      <w:pPr>
        <w:spacing w:line="300" w:lineRule="atLeast"/>
        <w:jc w:val="both"/>
        <w:rPr>
          <w:rFonts w:eastAsia="Times New Roman" w:cs="Times New Roman"/>
        </w:rPr>
      </w:pPr>
      <w:r>
        <w:rPr>
          <w:rFonts w:eastAsia="Times New Roman" w:cs="Times New Roman"/>
        </w:rPr>
        <w:t>C</w:t>
      </w:r>
      <w:r w:rsidRPr="00812713">
        <w:rPr>
          <w:rFonts w:eastAsia="Times New Roman" w:cs="Times New Roman"/>
          <w:b/>
        </w:rPr>
        <w:t>ooperation</w:t>
      </w:r>
      <w:r>
        <w:rPr>
          <w:rFonts w:eastAsia="Times New Roman" w:cs="Times New Roman"/>
        </w:rPr>
        <w:t xml:space="preserve">- </w:t>
      </w:r>
      <w:r w:rsidR="000133E3">
        <w:rPr>
          <w:rFonts w:eastAsia="Times New Roman" w:cs="Times New Roman"/>
        </w:rPr>
        <w:t>t</w:t>
      </w:r>
      <w:r w:rsidR="00160EAA">
        <w:rPr>
          <w:rFonts w:eastAsia="Times New Roman" w:cs="Times New Roman"/>
        </w:rPr>
        <w:t>he</w:t>
      </w:r>
      <w:r w:rsidR="000133E3">
        <w:rPr>
          <w:rFonts w:eastAsia="Times New Roman" w:cs="Times New Roman"/>
        </w:rPr>
        <w:t xml:space="preserve"> action or process to </w:t>
      </w:r>
      <w:r w:rsidR="004A6D24">
        <w:rPr>
          <w:rFonts w:eastAsia="Times New Roman" w:cs="Times New Roman"/>
        </w:rPr>
        <w:t>work with</w:t>
      </w:r>
      <w:r w:rsidR="000133E3">
        <w:rPr>
          <w:rFonts w:eastAsia="Times New Roman" w:cs="Times New Roman"/>
        </w:rPr>
        <w:t xml:space="preserve"> </w:t>
      </w:r>
      <w:r w:rsidR="004A6D24">
        <w:rPr>
          <w:rFonts w:eastAsia="Times New Roman" w:cs="Times New Roman"/>
        </w:rPr>
        <w:t>others for</w:t>
      </w:r>
      <w:r w:rsidR="000133E3">
        <w:rPr>
          <w:rFonts w:eastAsia="Times New Roman" w:cs="Times New Roman"/>
        </w:rPr>
        <w:t xml:space="preserve"> mutual benefit and towards the same end. </w:t>
      </w:r>
      <w:r w:rsidR="00ED2DE1" w:rsidRPr="006F77F9">
        <w:rPr>
          <w:rFonts w:eastAsia="Times New Roman" w:cs="Times New Roman"/>
        </w:rPr>
        <w:t xml:space="preserve">The IPPC </w:t>
      </w:r>
      <w:r w:rsidR="0077366E" w:rsidRPr="006F77F9">
        <w:rPr>
          <w:rFonts w:eastAsia="Times New Roman" w:cs="Times New Roman"/>
        </w:rPr>
        <w:t xml:space="preserve">rarely </w:t>
      </w:r>
      <w:r w:rsidR="007E0544" w:rsidRPr="006F77F9">
        <w:rPr>
          <w:rFonts w:eastAsia="Times New Roman" w:cs="Times New Roman"/>
        </w:rPr>
        <w:t>engage</w:t>
      </w:r>
      <w:r w:rsidR="00ED2DE1" w:rsidRPr="006F77F9">
        <w:rPr>
          <w:rFonts w:eastAsia="Times New Roman" w:cs="Times New Roman"/>
        </w:rPr>
        <w:t xml:space="preserve">s </w:t>
      </w:r>
      <w:r w:rsidR="007E0544" w:rsidRPr="006F77F9">
        <w:rPr>
          <w:rFonts w:eastAsia="Times New Roman" w:cs="Times New Roman"/>
        </w:rPr>
        <w:t xml:space="preserve">in cooperative activities, </w:t>
      </w:r>
      <w:r w:rsidR="00ED2DE1" w:rsidRPr="006F77F9">
        <w:rPr>
          <w:rFonts w:eastAsia="Times New Roman" w:cs="Times New Roman"/>
        </w:rPr>
        <w:t>and only after receiving the</w:t>
      </w:r>
      <w:r w:rsidR="0069086D" w:rsidRPr="006F77F9">
        <w:rPr>
          <w:rFonts w:eastAsia="Times New Roman" w:cs="Times New Roman"/>
        </w:rPr>
        <w:t xml:space="preserve"> approval of the Commission on </w:t>
      </w:r>
      <w:r w:rsidR="00ED2DE1" w:rsidRPr="006F77F9">
        <w:rPr>
          <w:rFonts w:eastAsia="Times New Roman" w:cs="Times New Roman"/>
        </w:rPr>
        <w:t xml:space="preserve">Phytosanitary Measures.  </w:t>
      </w:r>
      <w:r w:rsidR="000133E3">
        <w:rPr>
          <w:rFonts w:eastAsia="Times New Roman" w:cs="Times New Roman"/>
        </w:rPr>
        <w:t xml:space="preserve">Not all forms of cooperation </w:t>
      </w:r>
      <w:r w:rsidR="004A6D24">
        <w:rPr>
          <w:rFonts w:eastAsia="Times New Roman" w:cs="Times New Roman"/>
        </w:rPr>
        <w:t>require a</w:t>
      </w:r>
      <w:r w:rsidR="000133E3">
        <w:rPr>
          <w:rFonts w:eastAsia="Times New Roman" w:cs="Times New Roman"/>
        </w:rPr>
        <w:t xml:space="preserve"> formalized partnership. Informal cooperation can be an initial step to a partnership. </w:t>
      </w:r>
      <w:r w:rsidR="000133E3">
        <w:t xml:space="preserve">The contacts </w:t>
      </w:r>
      <w:r w:rsidR="0024070D" w:rsidRPr="000133E3">
        <w:t>OCA and IMO</w:t>
      </w:r>
      <w:r w:rsidR="000133E3" w:rsidRPr="000133E3">
        <w:t xml:space="preserve"> are examples of</w:t>
      </w:r>
      <w:r w:rsidR="000133E3">
        <w:t xml:space="preserve"> current cooperation </w:t>
      </w:r>
      <w:r w:rsidR="004A6D24">
        <w:t>actions towards</w:t>
      </w:r>
      <w:r w:rsidR="000133E3">
        <w:t xml:space="preserve"> the development of one standard.</w:t>
      </w:r>
    </w:p>
    <w:p w:rsidR="00F26ACE" w:rsidRDefault="0024070D" w:rsidP="002C0CF4">
      <w:pPr>
        <w:jc w:val="both"/>
        <w:rPr>
          <w:rFonts w:cs="Times New Roman"/>
        </w:rPr>
      </w:pPr>
      <w:r w:rsidRPr="0024070D">
        <w:rPr>
          <w:rFonts w:eastAsia="Times New Roman" w:cs="Times New Roman"/>
          <w:b/>
        </w:rPr>
        <w:t>Partnership</w:t>
      </w:r>
      <w:r>
        <w:rPr>
          <w:rFonts w:eastAsia="Times New Roman" w:cs="Times New Roman"/>
        </w:rPr>
        <w:t>- P</w:t>
      </w:r>
      <w:r w:rsidR="0077366E" w:rsidRPr="006F77F9">
        <w:rPr>
          <w:rFonts w:cs="Times New Roman"/>
        </w:rPr>
        <w:t>artnerships can range from</w:t>
      </w:r>
      <w:r w:rsidR="007051F8" w:rsidRPr="006F77F9">
        <w:rPr>
          <w:rFonts w:cs="Times New Roman"/>
        </w:rPr>
        <w:t xml:space="preserve"> informal, flexible arrangements to highly defined relationships based on </w:t>
      </w:r>
      <w:r w:rsidR="0077366E" w:rsidRPr="006F77F9">
        <w:rPr>
          <w:rFonts w:cs="Times New Roman"/>
        </w:rPr>
        <w:t xml:space="preserve">the </w:t>
      </w:r>
      <w:r w:rsidR="007051F8" w:rsidRPr="00160EAA">
        <w:rPr>
          <w:rFonts w:cs="Times New Roman"/>
          <w:u w:val="single"/>
        </w:rPr>
        <w:t>full sharing of risks, resources and responsibilities</w:t>
      </w:r>
      <w:r w:rsidR="007051F8" w:rsidRPr="006F77F9">
        <w:rPr>
          <w:rFonts w:cs="Times New Roman"/>
        </w:rPr>
        <w:t xml:space="preserve">.  The characteristics and complexity of these partnerships depends on the organizations involved, as well as the objectives, duration and scope of the collaboration in question.  Sometimes, partnerships are accompanied by new financing and/or legal arrangements.  </w:t>
      </w:r>
      <w:r w:rsidR="0077366E" w:rsidRPr="006F77F9">
        <w:rPr>
          <w:rFonts w:cs="Times New Roman"/>
        </w:rPr>
        <w:t>The</w:t>
      </w:r>
      <w:r w:rsidR="00C619BB" w:rsidRPr="006F77F9">
        <w:rPr>
          <w:rFonts w:cs="Times New Roman"/>
        </w:rPr>
        <w:t xml:space="preserve"> types of organizations with which the IPPC may interact should not be limited </w:t>
      </w:r>
      <w:r w:rsidR="00C619BB" w:rsidRPr="000133E3">
        <w:rPr>
          <w:rFonts w:cs="Times New Roman"/>
        </w:rPr>
        <w:t xml:space="preserve">to </w:t>
      </w:r>
      <w:r w:rsidR="00C619BB" w:rsidRPr="002C0CF4">
        <w:rPr>
          <w:rFonts w:cs="Times New Roman"/>
        </w:rPr>
        <w:t xml:space="preserve">any specific form. </w:t>
      </w:r>
    </w:p>
    <w:p w:rsidR="00BC1DD6" w:rsidRPr="00BC1DD6" w:rsidRDefault="00BC1DD6" w:rsidP="00BC1DD6">
      <w:pPr>
        <w:pStyle w:val="ListParagraph"/>
        <w:numPr>
          <w:ilvl w:val="0"/>
          <w:numId w:val="10"/>
        </w:numPr>
        <w:jc w:val="both"/>
        <w:rPr>
          <w:rFonts w:asciiTheme="minorHAnsi" w:hAnsiTheme="minorHAnsi"/>
          <w:u w:val="single"/>
        </w:rPr>
      </w:pPr>
      <w:r w:rsidRPr="00BC1DD6">
        <w:rPr>
          <w:rFonts w:asciiTheme="minorHAnsi" w:hAnsiTheme="minorHAnsi"/>
          <w:u w:val="single"/>
        </w:rPr>
        <w:t>New developments</w:t>
      </w:r>
    </w:p>
    <w:p w:rsidR="001E69A0" w:rsidRDefault="00C619BB" w:rsidP="00160EAA">
      <w:pPr>
        <w:jc w:val="both"/>
        <w:rPr>
          <w:rFonts w:cs="Times New Roman"/>
        </w:rPr>
      </w:pPr>
      <w:r w:rsidRPr="002C0CF4">
        <w:rPr>
          <w:rFonts w:cs="Times New Roman"/>
        </w:rPr>
        <w:t xml:space="preserve"> </w:t>
      </w:r>
      <w:r w:rsidR="001E69A0">
        <w:rPr>
          <w:rFonts w:cs="Times New Roman"/>
        </w:rPr>
        <w:t xml:space="preserve">In </w:t>
      </w:r>
      <w:r w:rsidR="00C239E5">
        <w:rPr>
          <w:rFonts w:cs="Times New Roman"/>
        </w:rPr>
        <w:t>M</w:t>
      </w:r>
      <w:r w:rsidR="001E69A0">
        <w:rPr>
          <w:rFonts w:cs="Times New Roman"/>
        </w:rPr>
        <w:t xml:space="preserve">arch 2013, FAO </w:t>
      </w:r>
      <w:r w:rsidR="004A6D24">
        <w:rPr>
          <w:rFonts w:cs="Times New Roman"/>
        </w:rPr>
        <w:t>presented to</w:t>
      </w:r>
      <w:r w:rsidR="001E69A0">
        <w:rPr>
          <w:rFonts w:cs="Times New Roman"/>
        </w:rPr>
        <w:t xml:space="preserve"> the 113</w:t>
      </w:r>
      <w:r w:rsidR="00C239E5">
        <w:rPr>
          <w:rFonts w:cs="Times New Roman"/>
        </w:rPr>
        <w:t>th</w:t>
      </w:r>
      <w:r w:rsidR="001E69A0">
        <w:rPr>
          <w:rFonts w:cs="Times New Roman"/>
        </w:rPr>
        <w:t xml:space="preserve"> Session of the Programme Committee and 147</w:t>
      </w:r>
      <w:r w:rsidR="00C239E5">
        <w:rPr>
          <w:rFonts w:cs="Times New Roman"/>
        </w:rPr>
        <w:t>th</w:t>
      </w:r>
      <w:r w:rsidR="001E69A0">
        <w:rPr>
          <w:rFonts w:cs="Times New Roman"/>
        </w:rPr>
        <w:t xml:space="preserve"> Session of the Finance Committee a document on FA Strategy for Partnership with the Private Sector and </w:t>
      </w:r>
      <w:r w:rsidR="004A6D24">
        <w:rPr>
          <w:rFonts w:cs="Times New Roman"/>
        </w:rPr>
        <w:t>a similar</w:t>
      </w:r>
      <w:r w:rsidR="001E69A0">
        <w:rPr>
          <w:rFonts w:cs="Times New Roman"/>
        </w:rPr>
        <w:t xml:space="preserve"> document for partnerships with Civil Society Organizations.</w:t>
      </w:r>
    </w:p>
    <w:p w:rsidR="001E69A0" w:rsidRPr="00BC1DD6" w:rsidRDefault="001E69A0" w:rsidP="00160EAA">
      <w:pPr>
        <w:jc w:val="both"/>
        <w:rPr>
          <w:rFonts w:cs="Times New Roman"/>
        </w:rPr>
      </w:pPr>
      <w:r>
        <w:rPr>
          <w:rFonts w:cs="Times New Roman"/>
        </w:rPr>
        <w:t>The first document establishes among other issues</w:t>
      </w:r>
      <w:r w:rsidR="004A6D24">
        <w:rPr>
          <w:rFonts w:cs="Times New Roman"/>
        </w:rPr>
        <w:t>, a</w:t>
      </w:r>
      <w:r>
        <w:rPr>
          <w:rFonts w:cs="Times New Roman"/>
        </w:rPr>
        <w:t xml:space="preserve"> risk </w:t>
      </w:r>
      <w:r w:rsidR="004A6D24">
        <w:rPr>
          <w:rFonts w:cs="Times New Roman"/>
        </w:rPr>
        <w:t>management system</w:t>
      </w:r>
      <w:r>
        <w:rPr>
          <w:rFonts w:cs="Times New Roman"/>
        </w:rPr>
        <w:t xml:space="preserve"> in </w:t>
      </w:r>
      <w:r w:rsidR="004A6D24">
        <w:rPr>
          <w:rFonts w:cs="Times New Roman"/>
        </w:rPr>
        <w:t>FAO with</w:t>
      </w:r>
      <w:r>
        <w:rPr>
          <w:rFonts w:cs="Times New Roman"/>
        </w:rPr>
        <w:t xml:space="preserve"> 3 steps</w:t>
      </w:r>
      <w:r w:rsidR="00C239E5">
        <w:rPr>
          <w:rFonts w:cs="Times New Roman"/>
        </w:rPr>
        <w:t xml:space="preserve"> and a monitoring and evaluation system, </w:t>
      </w:r>
      <w:r>
        <w:rPr>
          <w:rFonts w:cs="Times New Roman"/>
        </w:rPr>
        <w:t xml:space="preserve">and promotes multi –stakeholders approaches as the one used for </w:t>
      </w:r>
      <w:r w:rsidRPr="00BC1DD6">
        <w:rPr>
          <w:rFonts w:cs="Times New Roman"/>
        </w:rPr>
        <w:t>the IPPC Capacity Development Trust Fund.</w:t>
      </w:r>
    </w:p>
    <w:p w:rsidR="00BC1DD6" w:rsidRPr="00BC1DD6" w:rsidRDefault="00BC1DD6" w:rsidP="00BC1DD6">
      <w:pPr>
        <w:pStyle w:val="ListParagraph"/>
        <w:numPr>
          <w:ilvl w:val="0"/>
          <w:numId w:val="10"/>
        </w:numPr>
        <w:jc w:val="both"/>
        <w:rPr>
          <w:rFonts w:asciiTheme="minorHAnsi" w:hAnsiTheme="minorHAnsi"/>
          <w:u w:val="single"/>
        </w:rPr>
      </w:pPr>
      <w:r w:rsidRPr="00BC1DD6">
        <w:rPr>
          <w:rFonts w:asciiTheme="minorHAnsi" w:hAnsiTheme="minorHAnsi"/>
          <w:u w:val="single"/>
        </w:rPr>
        <w:t>Procedures</w:t>
      </w:r>
    </w:p>
    <w:p w:rsidR="006F77F9" w:rsidRPr="00BC1DD6" w:rsidRDefault="00BC1DD6" w:rsidP="00BC1DD6">
      <w:pPr>
        <w:jc w:val="both"/>
      </w:pPr>
      <w:r w:rsidRPr="00BC1DD6">
        <w:t>In the IPPC framework, the only procedure related to a</w:t>
      </w:r>
      <w:r>
        <w:t xml:space="preserve"> </w:t>
      </w:r>
      <w:r w:rsidR="004A6D24" w:rsidRPr="00BC1DD6">
        <w:t>partnership adopted</w:t>
      </w:r>
      <w:r w:rsidRPr="00BC1DD6">
        <w:t xml:space="preserve"> till now has been t</w:t>
      </w:r>
      <w:r w:rsidR="006F77F9" w:rsidRPr="00BC1DD6">
        <w:t>he 3 steps approach</w:t>
      </w:r>
      <w:r w:rsidRPr="00BC1DD6">
        <w:t xml:space="preserve"> </w:t>
      </w:r>
      <w:r w:rsidR="004A6D24" w:rsidRPr="00BC1DD6">
        <w:t>adopted at</w:t>
      </w:r>
      <w:r w:rsidRPr="00BC1DD6">
        <w:t xml:space="preserve"> </w:t>
      </w:r>
      <w:r w:rsidR="006F77F9" w:rsidRPr="00BC1DD6">
        <w:t>ICPM-7 (200</w:t>
      </w:r>
      <w:r w:rsidRPr="00BC1DD6">
        <w:t xml:space="preserve">5) </w:t>
      </w:r>
      <w:r w:rsidR="006F77F9" w:rsidRPr="00BC1DD6">
        <w:t xml:space="preserve">for initiating contacts with the OIE and Codex Alimentarius: </w:t>
      </w:r>
    </w:p>
    <w:p w:rsidR="006F77F9" w:rsidRPr="006F77F9" w:rsidRDefault="006F77F9" w:rsidP="006F77F9">
      <w:pPr>
        <w:pStyle w:val="Default"/>
        <w:rPr>
          <w:rFonts w:asciiTheme="minorHAnsi" w:hAnsiTheme="minorHAnsi"/>
          <w:sz w:val="22"/>
          <w:szCs w:val="22"/>
        </w:rPr>
      </w:pPr>
      <w:r w:rsidRPr="006F77F9">
        <w:rPr>
          <w:rFonts w:asciiTheme="minorHAnsi" w:hAnsiTheme="minorHAnsi"/>
          <w:sz w:val="22"/>
          <w:szCs w:val="22"/>
        </w:rPr>
        <w:t xml:space="preserve">a) The Interim Commission Bureau initiates contacts with the OIE and Codex Alimentarius </w:t>
      </w:r>
    </w:p>
    <w:p w:rsidR="006F77F9" w:rsidRPr="006F77F9" w:rsidRDefault="006F77F9" w:rsidP="006F77F9">
      <w:pPr>
        <w:pStyle w:val="Default"/>
        <w:rPr>
          <w:rFonts w:asciiTheme="minorHAnsi" w:hAnsiTheme="minorHAnsi"/>
          <w:sz w:val="22"/>
          <w:szCs w:val="22"/>
        </w:rPr>
      </w:pPr>
      <w:r w:rsidRPr="006F77F9">
        <w:rPr>
          <w:rFonts w:asciiTheme="minorHAnsi" w:hAnsiTheme="minorHAnsi"/>
          <w:sz w:val="22"/>
          <w:szCs w:val="22"/>
        </w:rPr>
        <w:t xml:space="preserve">b) Meetings as necessary between IPPC, Codex Alimentarius and the OIE to identify potential topics and priorities and develop draft procedures for cooperation. </w:t>
      </w:r>
    </w:p>
    <w:p w:rsidR="00EA760A" w:rsidRDefault="006F77F9" w:rsidP="006F77F9">
      <w:pPr>
        <w:jc w:val="both"/>
      </w:pPr>
      <w:r w:rsidRPr="006F77F9">
        <w:t>c) Adoption by the Interim Commission of the potential topics, priorities and draft procedures.</w:t>
      </w:r>
    </w:p>
    <w:p w:rsidR="00BC1DD6" w:rsidRPr="00BC1DD6" w:rsidRDefault="00BC1DD6" w:rsidP="00BC1DD6">
      <w:pPr>
        <w:jc w:val="both"/>
      </w:pPr>
      <w:r>
        <w:t>This antecedent is not fully applicable to the current situation or for the future actions of establishment of concrete partnerships</w:t>
      </w:r>
      <w:r w:rsidRPr="00BC1DD6">
        <w:t xml:space="preserve"> </w:t>
      </w:r>
      <w:r>
        <w:t>with i</w:t>
      </w:r>
      <w:r w:rsidRPr="00BC1DD6">
        <w:t>ndustry</w:t>
      </w:r>
      <w:r>
        <w:t xml:space="preserve">, research, </w:t>
      </w:r>
      <w:r w:rsidR="004A6D24">
        <w:t>and teaching</w:t>
      </w:r>
      <w:r>
        <w:t xml:space="preserve"> and civil society.</w:t>
      </w:r>
    </w:p>
    <w:p w:rsidR="00BC1DD6" w:rsidRPr="006F77F9" w:rsidRDefault="00BC1DD6" w:rsidP="006F77F9">
      <w:pPr>
        <w:jc w:val="both"/>
      </w:pPr>
    </w:p>
    <w:p w:rsidR="006F77F9" w:rsidRPr="006F1DF0" w:rsidRDefault="00BC1DD6" w:rsidP="006F1DF0">
      <w:pPr>
        <w:pStyle w:val="ListParagraph"/>
        <w:ind w:left="1080"/>
        <w:jc w:val="both"/>
        <w:rPr>
          <w:rFonts w:asciiTheme="minorHAnsi" w:eastAsia="Times New Roman" w:hAnsiTheme="minorHAnsi"/>
          <w:u w:val="single"/>
        </w:rPr>
      </w:pPr>
      <w:r w:rsidRPr="006F1DF0">
        <w:rPr>
          <w:rFonts w:asciiTheme="minorHAnsi" w:eastAsia="Times New Roman" w:hAnsiTheme="minorHAnsi"/>
          <w:u w:val="single"/>
        </w:rPr>
        <w:t xml:space="preserve">Current </w:t>
      </w:r>
      <w:r w:rsidR="006F77F9" w:rsidRPr="006F1DF0">
        <w:rPr>
          <w:rFonts w:asciiTheme="minorHAnsi" w:eastAsia="Times New Roman" w:hAnsiTheme="minorHAnsi"/>
          <w:u w:val="single"/>
        </w:rPr>
        <w:t>Situation of IPPC Partnerships</w:t>
      </w:r>
    </w:p>
    <w:tbl>
      <w:tblPr>
        <w:tblStyle w:val="TableGrid"/>
        <w:tblW w:w="0" w:type="auto"/>
        <w:tblLook w:val="04A0"/>
      </w:tblPr>
      <w:tblGrid>
        <w:gridCol w:w="1362"/>
        <w:gridCol w:w="1108"/>
        <w:gridCol w:w="1455"/>
        <w:gridCol w:w="1232"/>
        <w:gridCol w:w="1171"/>
        <w:gridCol w:w="1418"/>
        <w:gridCol w:w="915"/>
        <w:gridCol w:w="915"/>
      </w:tblGrid>
      <w:tr w:rsidR="00444A77" w:rsidRPr="006F77F9" w:rsidTr="00BC1DD6">
        <w:tc>
          <w:tcPr>
            <w:tcW w:w="1362" w:type="dxa"/>
          </w:tcPr>
          <w:p w:rsidR="006F77F9" w:rsidRPr="006F77F9" w:rsidRDefault="006F77F9" w:rsidP="0069246C">
            <w:pPr>
              <w:jc w:val="both"/>
              <w:rPr>
                <w:rFonts w:cs="Times New Roman"/>
              </w:rPr>
            </w:pPr>
            <w:r w:rsidRPr="006F77F9">
              <w:rPr>
                <w:rFonts w:cs="Times New Roman"/>
              </w:rPr>
              <w:t xml:space="preserve">Organization </w:t>
            </w:r>
          </w:p>
        </w:tc>
        <w:tc>
          <w:tcPr>
            <w:tcW w:w="1108" w:type="dxa"/>
          </w:tcPr>
          <w:p w:rsidR="006F77F9" w:rsidRPr="006F77F9" w:rsidRDefault="006F77F9" w:rsidP="0069246C">
            <w:pPr>
              <w:jc w:val="both"/>
              <w:rPr>
                <w:rFonts w:cs="Times New Roman"/>
              </w:rPr>
            </w:pPr>
            <w:r w:rsidRPr="006F77F9">
              <w:rPr>
                <w:rFonts w:cs="Times New Roman"/>
              </w:rPr>
              <w:t xml:space="preserve">Level of contact </w:t>
            </w:r>
          </w:p>
        </w:tc>
        <w:tc>
          <w:tcPr>
            <w:tcW w:w="1455" w:type="dxa"/>
          </w:tcPr>
          <w:p w:rsidR="0024070D" w:rsidRDefault="0024070D" w:rsidP="00444A77">
            <w:pPr>
              <w:jc w:val="both"/>
              <w:rPr>
                <w:rFonts w:cs="Times New Roman"/>
              </w:rPr>
            </w:pPr>
            <w:r>
              <w:rPr>
                <w:rFonts w:cs="Times New Roman"/>
              </w:rPr>
              <w:t>Legal arrangement</w:t>
            </w:r>
            <w:r>
              <w:rPr>
                <w:rStyle w:val="FootnoteReference"/>
                <w:rFonts w:cs="Times New Roman"/>
              </w:rPr>
              <w:footnoteReference w:id="1"/>
            </w:r>
          </w:p>
          <w:p w:rsidR="006F77F9" w:rsidRPr="006F77F9" w:rsidRDefault="006F77F9" w:rsidP="00444A77">
            <w:pPr>
              <w:jc w:val="both"/>
              <w:rPr>
                <w:rFonts w:cs="Times New Roman"/>
              </w:rPr>
            </w:pPr>
          </w:p>
        </w:tc>
        <w:tc>
          <w:tcPr>
            <w:tcW w:w="1232" w:type="dxa"/>
          </w:tcPr>
          <w:p w:rsidR="006F77F9" w:rsidRPr="006F77F9" w:rsidRDefault="006F77F9" w:rsidP="0069246C">
            <w:pPr>
              <w:jc w:val="both"/>
              <w:rPr>
                <w:rFonts w:cs="Times New Roman"/>
              </w:rPr>
            </w:pPr>
            <w:r w:rsidRPr="006F77F9">
              <w:rPr>
                <w:rFonts w:cs="Times New Roman"/>
              </w:rPr>
              <w:t xml:space="preserve">Work plan </w:t>
            </w:r>
          </w:p>
        </w:tc>
        <w:tc>
          <w:tcPr>
            <w:tcW w:w="1171" w:type="dxa"/>
          </w:tcPr>
          <w:p w:rsidR="006F77F9" w:rsidRPr="006F77F9" w:rsidRDefault="006F77F9" w:rsidP="0069246C">
            <w:pPr>
              <w:jc w:val="both"/>
              <w:rPr>
                <w:rFonts w:cs="Times New Roman"/>
              </w:rPr>
            </w:pPr>
            <w:r w:rsidRPr="006F77F9">
              <w:rPr>
                <w:rFonts w:cs="Times New Roman"/>
              </w:rPr>
              <w:t xml:space="preserve">Duration </w:t>
            </w:r>
          </w:p>
        </w:tc>
        <w:tc>
          <w:tcPr>
            <w:tcW w:w="1418" w:type="dxa"/>
          </w:tcPr>
          <w:p w:rsidR="006F77F9" w:rsidRPr="006F77F9" w:rsidRDefault="00444A77" w:rsidP="0069246C">
            <w:pPr>
              <w:jc w:val="both"/>
              <w:rPr>
                <w:rFonts w:cs="Times New Roman"/>
              </w:rPr>
            </w:pPr>
            <w:r>
              <w:rPr>
                <w:rFonts w:cs="Times New Roman"/>
              </w:rPr>
              <w:t>Approved by</w:t>
            </w:r>
          </w:p>
        </w:tc>
        <w:tc>
          <w:tcPr>
            <w:tcW w:w="915" w:type="dxa"/>
          </w:tcPr>
          <w:p w:rsidR="006F77F9" w:rsidRPr="006F77F9" w:rsidRDefault="006F77F9" w:rsidP="0069246C">
            <w:pPr>
              <w:jc w:val="both"/>
              <w:rPr>
                <w:rFonts w:cs="Times New Roman"/>
              </w:rPr>
            </w:pPr>
          </w:p>
        </w:tc>
        <w:tc>
          <w:tcPr>
            <w:tcW w:w="915" w:type="dxa"/>
          </w:tcPr>
          <w:p w:rsidR="006F77F9" w:rsidRPr="006F77F9" w:rsidRDefault="006F77F9" w:rsidP="0069246C">
            <w:pPr>
              <w:jc w:val="both"/>
              <w:rPr>
                <w:rFonts w:cs="Times New Roman"/>
              </w:rPr>
            </w:pPr>
          </w:p>
        </w:tc>
      </w:tr>
      <w:tr w:rsidR="00444A77" w:rsidRPr="006F77F9" w:rsidTr="00BC1DD6">
        <w:tc>
          <w:tcPr>
            <w:tcW w:w="1362" w:type="dxa"/>
          </w:tcPr>
          <w:p w:rsidR="006F77F9" w:rsidRPr="006F77F9" w:rsidRDefault="006F77F9" w:rsidP="0069246C">
            <w:pPr>
              <w:jc w:val="both"/>
              <w:rPr>
                <w:rFonts w:cs="Times New Roman"/>
              </w:rPr>
            </w:pPr>
            <w:r w:rsidRPr="006F77F9">
              <w:rPr>
                <w:rFonts w:cs="Times New Roman"/>
              </w:rPr>
              <w:t>RPPOs</w:t>
            </w:r>
          </w:p>
        </w:tc>
        <w:tc>
          <w:tcPr>
            <w:tcW w:w="1108" w:type="dxa"/>
          </w:tcPr>
          <w:p w:rsidR="006F77F9" w:rsidRPr="006F77F9" w:rsidRDefault="006F77F9" w:rsidP="0069246C">
            <w:pPr>
              <w:jc w:val="both"/>
              <w:rPr>
                <w:rFonts w:cs="Times New Roman"/>
              </w:rPr>
            </w:pPr>
            <w:r w:rsidRPr="006F77F9">
              <w:rPr>
                <w:rFonts w:cs="Times New Roman"/>
              </w:rPr>
              <w:t>Partner</w:t>
            </w:r>
          </w:p>
        </w:tc>
        <w:tc>
          <w:tcPr>
            <w:tcW w:w="1455" w:type="dxa"/>
          </w:tcPr>
          <w:p w:rsidR="006F77F9" w:rsidRPr="006F77F9" w:rsidRDefault="006F77F9" w:rsidP="0069246C">
            <w:pPr>
              <w:jc w:val="both"/>
              <w:rPr>
                <w:rFonts w:cs="Times New Roman"/>
              </w:rPr>
            </w:pPr>
            <w:r w:rsidRPr="006F77F9">
              <w:rPr>
                <w:rFonts w:cs="Times New Roman"/>
              </w:rPr>
              <w:t xml:space="preserve">Legal recognition by CPM </w:t>
            </w:r>
          </w:p>
        </w:tc>
        <w:tc>
          <w:tcPr>
            <w:tcW w:w="1232" w:type="dxa"/>
          </w:tcPr>
          <w:p w:rsidR="006F77F9" w:rsidRPr="006F77F9" w:rsidRDefault="006F77F9" w:rsidP="0069246C">
            <w:pPr>
              <w:jc w:val="both"/>
              <w:rPr>
                <w:rFonts w:cs="Times New Roman"/>
              </w:rPr>
            </w:pPr>
            <w:r w:rsidRPr="006F77F9">
              <w:rPr>
                <w:rFonts w:cs="Times New Roman"/>
              </w:rPr>
              <w:t>IPPC WP</w:t>
            </w:r>
          </w:p>
        </w:tc>
        <w:tc>
          <w:tcPr>
            <w:tcW w:w="1171" w:type="dxa"/>
          </w:tcPr>
          <w:p w:rsidR="006F77F9" w:rsidRPr="006F77F9" w:rsidRDefault="006F77F9" w:rsidP="0069246C">
            <w:pPr>
              <w:jc w:val="both"/>
              <w:rPr>
                <w:rFonts w:cs="Times New Roman"/>
              </w:rPr>
            </w:pPr>
            <w:r w:rsidRPr="006F77F9">
              <w:rPr>
                <w:rFonts w:cs="Times New Roman"/>
              </w:rPr>
              <w:t>On-going</w:t>
            </w:r>
          </w:p>
        </w:tc>
        <w:tc>
          <w:tcPr>
            <w:tcW w:w="1418" w:type="dxa"/>
          </w:tcPr>
          <w:p w:rsidR="006F77F9" w:rsidRPr="006F77F9" w:rsidRDefault="00444A77" w:rsidP="0069246C">
            <w:pPr>
              <w:jc w:val="both"/>
              <w:rPr>
                <w:rFonts w:cs="Times New Roman"/>
              </w:rPr>
            </w:pPr>
            <w:r>
              <w:rPr>
                <w:rFonts w:cs="Times New Roman"/>
              </w:rPr>
              <w:t>CPM</w:t>
            </w:r>
          </w:p>
        </w:tc>
        <w:tc>
          <w:tcPr>
            <w:tcW w:w="915" w:type="dxa"/>
          </w:tcPr>
          <w:p w:rsidR="006F77F9" w:rsidRPr="006F77F9" w:rsidRDefault="006F77F9" w:rsidP="0069246C">
            <w:pPr>
              <w:jc w:val="both"/>
              <w:rPr>
                <w:rFonts w:cs="Times New Roman"/>
              </w:rPr>
            </w:pPr>
          </w:p>
        </w:tc>
        <w:tc>
          <w:tcPr>
            <w:tcW w:w="915" w:type="dxa"/>
          </w:tcPr>
          <w:p w:rsidR="006F77F9" w:rsidRPr="006F77F9" w:rsidRDefault="006F77F9" w:rsidP="0069246C">
            <w:pPr>
              <w:jc w:val="both"/>
              <w:rPr>
                <w:rFonts w:cs="Times New Roman"/>
              </w:rPr>
            </w:pPr>
          </w:p>
        </w:tc>
      </w:tr>
      <w:tr w:rsidR="00444A77" w:rsidRPr="006F77F9" w:rsidTr="00BC1DD6">
        <w:tc>
          <w:tcPr>
            <w:tcW w:w="1362" w:type="dxa"/>
          </w:tcPr>
          <w:p w:rsidR="006F77F9" w:rsidRPr="006F77F9" w:rsidRDefault="006F77F9" w:rsidP="0069246C">
            <w:pPr>
              <w:jc w:val="both"/>
              <w:rPr>
                <w:rFonts w:cs="Times New Roman"/>
              </w:rPr>
            </w:pPr>
            <w:r w:rsidRPr="006F77F9">
              <w:rPr>
                <w:rFonts w:cs="Times New Roman"/>
              </w:rPr>
              <w:t>CBD</w:t>
            </w:r>
          </w:p>
        </w:tc>
        <w:tc>
          <w:tcPr>
            <w:tcW w:w="1108" w:type="dxa"/>
          </w:tcPr>
          <w:p w:rsidR="006F77F9" w:rsidRPr="006F77F9" w:rsidRDefault="006F77F9" w:rsidP="0069246C">
            <w:pPr>
              <w:jc w:val="both"/>
              <w:rPr>
                <w:rFonts w:cs="Times New Roman"/>
              </w:rPr>
            </w:pPr>
          </w:p>
        </w:tc>
        <w:tc>
          <w:tcPr>
            <w:tcW w:w="1455" w:type="dxa"/>
          </w:tcPr>
          <w:p w:rsidR="006F77F9" w:rsidRPr="006F77F9" w:rsidRDefault="00444A77" w:rsidP="0069246C">
            <w:pPr>
              <w:jc w:val="both"/>
              <w:rPr>
                <w:rFonts w:cs="Times New Roman"/>
              </w:rPr>
            </w:pPr>
            <w:r>
              <w:rPr>
                <w:rFonts w:cs="Times New Roman"/>
              </w:rPr>
              <w:t>MOU and WP</w:t>
            </w:r>
          </w:p>
        </w:tc>
        <w:tc>
          <w:tcPr>
            <w:tcW w:w="1232" w:type="dxa"/>
          </w:tcPr>
          <w:p w:rsidR="006F77F9" w:rsidRPr="006F77F9" w:rsidRDefault="006F77F9" w:rsidP="0069246C">
            <w:pPr>
              <w:jc w:val="both"/>
              <w:rPr>
                <w:rFonts w:cs="Times New Roman"/>
              </w:rPr>
            </w:pPr>
          </w:p>
        </w:tc>
        <w:tc>
          <w:tcPr>
            <w:tcW w:w="1171" w:type="dxa"/>
          </w:tcPr>
          <w:p w:rsidR="006F77F9" w:rsidRPr="006F77F9" w:rsidRDefault="00444A77" w:rsidP="0069246C">
            <w:pPr>
              <w:jc w:val="both"/>
              <w:rPr>
                <w:rFonts w:cs="Times New Roman"/>
              </w:rPr>
            </w:pPr>
            <w:r>
              <w:rPr>
                <w:rFonts w:cs="Times New Roman"/>
              </w:rPr>
              <w:t xml:space="preserve">Till one of the partners decides so </w:t>
            </w:r>
          </w:p>
        </w:tc>
        <w:tc>
          <w:tcPr>
            <w:tcW w:w="1418" w:type="dxa"/>
          </w:tcPr>
          <w:p w:rsidR="006F77F9" w:rsidRPr="006F77F9" w:rsidRDefault="00444A77" w:rsidP="0069246C">
            <w:pPr>
              <w:jc w:val="both"/>
              <w:rPr>
                <w:rFonts w:cs="Times New Roman"/>
              </w:rPr>
            </w:pPr>
            <w:r>
              <w:rPr>
                <w:rFonts w:cs="Times New Roman"/>
              </w:rPr>
              <w:t>CPM</w:t>
            </w:r>
          </w:p>
        </w:tc>
        <w:tc>
          <w:tcPr>
            <w:tcW w:w="915" w:type="dxa"/>
          </w:tcPr>
          <w:p w:rsidR="006F77F9" w:rsidRPr="006F77F9" w:rsidRDefault="006F77F9" w:rsidP="0069246C">
            <w:pPr>
              <w:jc w:val="both"/>
              <w:rPr>
                <w:rFonts w:cs="Times New Roman"/>
              </w:rPr>
            </w:pPr>
          </w:p>
        </w:tc>
        <w:tc>
          <w:tcPr>
            <w:tcW w:w="915" w:type="dxa"/>
          </w:tcPr>
          <w:p w:rsidR="006F77F9" w:rsidRPr="006F77F9" w:rsidRDefault="006F77F9" w:rsidP="0069246C">
            <w:pPr>
              <w:jc w:val="both"/>
              <w:rPr>
                <w:rFonts w:cs="Times New Roman"/>
              </w:rPr>
            </w:pPr>
          </w:p>
        </w:tc>
      </w:tr>
      <w:tr w:rsidR="00444A77" w:rsidRPr="006F77F9" w:rsidTr="00BC1DD6">
        <w:tc>
          <w:tcPr>
            <w:tcW w:w="1362" w:type="dxa"/>
          </w:tcPr>
          <w:p w:rsidR="006F77F9" w:rsidRPr="006F1DF0" w:rsidRDefault="006F77F9" w:rsidP="0069246C">
            <w:pPr>
              <w:jc w:val="both"/>
              <w:rPr>
                <w:rFonts w:cs="Times New Roman"/>
                <w:highlight w:val="yellow"/>
              </w:rPr>
            </w:pPr>
            <w:r w:rsidRPr="006F1DF0">
              <w:rPr>
                <w:rFonts w:cs="Times New Roman"/>
                <w:highlight w:val="yellow"/>
              </w:rPr>
              <w:t>WTO-SPS</w:t>
            </w:r>
          </w:p>
        </w:tc>
        <w:tc>
          <w:tcPr>
            <w:tcW w:w="1108" w:type="dxa"/>
          </w:tcPr>
          <w:p w:rsidR="006F77F9" w:rsidRPr="006F1DF0" w:rsidRDefault="00444A77" w:rsidP="0069246C">
            <w:pPr>
              <w:jc w:val="both"/>
              <w:rPr>
                <w:rFonts w:cs="Times New Roman"/>
                <w:highlight w:val="yellow"/>
              </w:rPr>
            </w:pPr>
            <w:r w:rsidRPr="006F1DF0">
              <w:rPr>
                <w:rFonts w:cs="Times New Roman"/>
                <w:highlight w:val="yellow"/>
              </w:rPr>
              <w:t>Partner</w:t>
            </w:r>
          </w:p>
        </w:tc>
        <w:tc>
          <w:tcPr>
            <w:tcW w:w="1455" w:type="dxa"/>
          </w:tcPr>
          <w:p w:rsidR="006F77F9" w:rsidRPr="006F1DF0" w:rsidRDefault="00444A77" w:rsidP="00444A77">
            <w:pPr>
              <w:jc w:val="both"/>
              <w:rPr>
                <w:rFonts w:cs="Times New Roman"/>
                <w:highlight w:val="yellow"/>
              </w:rPr>
            </w:pPr>
            <w:r w:rsidRPr="006F1DF0">
              <w:rPr>
                <w:rFonts w:cs="Times New Roman"/>
                <w:highlight w:val="yellow"/>
              </w:rPr>
              <w:t xml:space="preserve">No </w:t>
            </w:r>
          </w:p>
        </w:tc>
        <w:tc>
          <w:tcPr>
            <w:tcW w:w="1232" w:type="dxa"/>
          </w:tcPr>
          <w:p w:rsidR="006F77F9" w:rsidRPr="006F1DF0" w:rsidRDefault="00444A77" w:rsidP="0069246C">
            <w:pPr>
              <w:jc w:val="both"/>
              <w:rPr>
                <w:rFonts w:cs="Times New Roman"/>
                <w:highlight w:val="yellow"/>
              </w:rPr>
            </w:pPr>
            <w:r w:rsidRPr="006F1DF0">
              <w:rPr>
                <w:rFonts w:cs="Times New Roman"/>
                <w:highlight w:val="yellow"/>
              </w:rPr>
              <w:t>CPM and SPS Committee meetings and SPS Technical Assistance WP</w:t>
            </w:r>
          </w:p>
        </w:tc>
        <w:tc>
          <w:tcPr>
            <w:tcW w:w="1171" w:type="dxa"/>
          </w:tcPr>
          <w:p w:rsidR="006F77F9" w:rsidRPr="006F1DF0" w:rsidRDefault="00444A77" w:rsidP="0069246C">
            <w:pPr>
              <w:jc w:val="both"/>
              <w:rPr>
                <w:rFonts w:cs="Times New Roman"/>
                <w:highlight w:val="yellow"/>
              </w:rPr>
            </w:pPr>
            <w:r w:rsidRPr="006F1DF0">
              <w:rPr>
                <w:rFonts w:cs="Times New Roman"/>
                <w:highlight w:val="yellow"/>
              </w:rPr>
              <w:t>No</w:t>
            </w:r>
          </w:p>
        </w:tc>
        <w:tc>
          <w:tcPr>
            <w:tcW w:w="1418" w:type="dxa"/>
          </w:tcPr>
          <w:p w:rsidR="006F77F9" w:rsidRPr="006F1DF0" w:rsidRDefault="00444A77" w:rsidP="0069246C">
            <w:pPr>
              <w:jc w:val="both"/>
              <w:rPr>
                <w:rFonts w:cs="Times New Roman"/>
                <w:highlight w:val="yellow"/>
              </w:rPr>
            </w:pPr>
            <w:r w:rsidRPr="006F1DF0">
              <w:rPr>
                <w:rFonts w:cs="Times New Roman"/>
                <w:highlight w:val="yellow"/>
              </w:rPr>
              <w:t>No</w:t>
            </w:r>
          </w:p>
        </w:tc>
        <w:tc>
          <w:tcPr>
            <w:tcW w:w="915" w:type="dxa"/>
          </w:tcPr>
          <w:p w:rsidR="006F77F9" w:rsidRPr="006F1DF0" w:rsidRDefault="006F77F9" w:rsidP="0069246C">
            <w:pPr>
              <w:jc w:val="both"/>
              <w:rPr>
                <w:rFonts w:cs="Times New Roman"/>
                <w:highlight w:val="yellow"/>
              </w:rPr>
            </w:pPr>
          </w:p>
        </w:tc>
        <w:tc>
          <w:tcPr>
            <w:tcW w:w="915" w:type="dxa"/>
          </w:tcPr>
          <w:p w:rsidR="006F77F9" w:rsidRPr="006F1DF0" w:rsidRDefault="006F77F9" w:rsidP="0069246C">
            <w:pPr>
              <w:jc w:val="both"/>
              <w:rPr>
                <w:rFonts w:cs="Times New Roman"/>
                <w:highlight w:val="yellow"/>
              </w:rPr>
            </w:pPr>
          </w:p>
        </w:tc>
      </w:tr>
      <w:tr w:rsidR="00444A77" w:rsidRPr="006F77F9" w:rsidTr="00BC1DD6">
        <w:tc>
          <w:tcPr>
            <w:tcW w:w="1362" w:type="dxa"/>
          </w:tcPr>
          <w:p w:rsidR="006F77F9" w:rsidRPr="006F77F9" w:rsidRDefault="006F77F9" w:rsidP="0069246C">
            <w:pPr>
              <w:jc w:val="both"/>
              <w:rPr>
                <w:rFonts w:cs="Times New Roman"/>
              </w:rPr>
            </w:pPr>
            <w:r w:rsidRPr="006F77F9">
              <w:rPr>
                <w:rFonts w:cs="Times New Roman"/>
              </w:rPr>
              <w:t>CODEX</w:t>
            </w:r>
          </w:p>
        </w:tc>
        <w:tc>
          <w:tcPr>
            <w:tcW w:w="1108" w:type="dxa"/>
          </w:tcPr>
          <w:p w:rsidR="006F77F9" w:rsidRPr="006F77F9" w:rsidRDefault="00444A77" w:rsidP="0069246C">
            <w:pPr>
              <w:jc w:val="both"/>
              <w:rPr>
                <w:rFonts w:cs="Times New Roman"/>
              </w:rPr>
            </w:pPr>
            <w:r>
              <w:rPr>
                <w:rFonts w:cs="Times New Roman"/>
              </w:rPr>
              <w:t>?</w:t>
            </w:r>
          </w:p>
        </w:tc>
        <w:tc>
          <w:tcPr>
            <w:tcW w:w="1455" w:type="dxa"/>
          </w:tcPr>
          <w:p w:rsidR="006F77F9" w:rsidRPr="006F77F9" w:rsidRDefault="006F77F9" w:rsidP="0069246C">
            <w:pPr>
              <w:jc w:val="both"/>
              <w:rPr>
                <w:rFonts w:cs="Times New Roman"/>
              </w:rPr>
            </w:pPr>
          </w:p>
        </w:tc>
        <w:tc>
          <w:tcPr>
            <w:tcW w:w="1232" w:type="dxa"/>
          </w:tcPr>
          <w:p w:rsidR="006F77F9" w:rsidRPr="006F77F9" w:rsidRDefault="006F77F9" w:rsidP="0069246C">
            <w:pPr>
              <w:jc w:val="both"/>
              <w:rPr>
                <w:rFonts w:cs="Times New Roman"/>
              </w:rPr>
            </w:pPr>
          </w:p>
        </w:tc>
        <w:tc>
          <w:tcPr>
            <w:tcW w:w="1171" w:type="dxa"/>
          </w:tcPr>
          <w:p w:rsidR="006F77F9" w:rsidRPr="006F77F9" w:rsidRDefault="006F77F9" w:rsidP="0069246C">
            <w:pPr>
              <w:jc w:val="both"/>
              <w:rPr>
                <w:rFonts w:cs="Times New Roman"/>
              </w:rPr>
            </w:pPr>
          </w:p>
        </w:tc>
        <w:tc>
          <w:tcPr>
            <w:tcW w:w="1418" w:type="dxa"/>
          </w:tcPr>
          <w:p w:rsidR="006F77F9" w:rsidRPr="006F77F9" w:rsidRDefault="006F77F9" w:rsidP="0069246C">
            <w:pPr>
              <w:jc w:val="both"/>
              <w:rPr>
                <w:rFonts w:cs="Times New Roman"/>
              </w:rPr>
            </w:pPr>
          </w:p>
        </w:tc>
        <w:tc>
          <w:tcPr>
            <w:tcW w:w="915" w:type="dxa"/>
          </w:tcPr>
          <w:p w:rsidR="006F77F9" w:rsidRPr="006F77F9" w:rsidRDefault="006F77F9" w:rsidP="0069246C">
            <w:pPr>
              <w:jc w:val="both"/>
              <w:rPr>
                <w:rFonts w:cs="Times New Roman"/>
              </w:rPr>
            </w:pPr>
          </w:p>
        </w:tc>
        <w:tc>
          <w:tcPr>
            <w:tcW w:w="915" w:type="dxa"/>
          </w:tcPr>
          <w:p w:rsidR="006F77F9" w:rsidRPr="006F77F9" w:rsidRDefault="006F77F9" w:rsidP="0069246C">
            <w:pPr>
              <w:jc w:val="both"/>
              <w:rPr>
                <w:rFonts w:cs="Times New Roman"/>
              </w:rPr>
            </w:pPr>
          </w:p>
        </w:tc>
      </w:tr>
      <w:tr w:rsidR="00444A77" w:rsidRPr="006F77F9" w:rsidTr="00BC1DD6">
        <w:tc>
          <w:tcPr>
            <w:tcW w:w="1362" w:type="dxa"/>
          </w:tcPr>
          <w:p w:rsidR="006F77F9" w:rsidRPr="006F77F9" w:rsidRDefault="006F77F9" w:rsidP="0069246C">
            <w:pPr>
              <w:jc w:val="both"/>
              <w:rPr>
                <w:rFonts w:cs="Times New Roman"/>
              </w:rPr>
            </w:pPr>
            <w:r w:rsidRPr="006F77F9">
              <w:rPr>
                <w:rFonts w:cs="Times New Roman"/>
              </w:rPr>
              <w:t>OIE</w:t>
            </w:r>
          </w:p>
        </w:tc>
        <w:tc>
          <w:tcPr>
            <w:tcW w:w="1108" w:type="dxa"/>
          </w:tcPr>
          <w:p w:rsidR="006F77F9" w:rsidRPr="006F77F9" w:rsidRDefault="00444A77" w:rsidP="0069246C">
            <w:pPr>
              <w:jc w:val="both"/>
              <w:rPr>
                <w:rFonts w:cs="Times New Roman"/>
              </w:rPr>
            </w:pPr>
            <w:r>
              <w:rPr>
                <w:rFonts w:cs="Times New Roman"/>
              </w:rPr>
              <w:t>?</w:t>
            </w:r>
          </w:p>
        </w:tc>
        <w:tc>
          <w:tcPr>
            <w:tcW w:w="1455" w:type="dxa"/>
          </w:tcPr>
          <w:p w:rsidR="006F77F9" w:rsidRPr="006F77F9" w:rsidRDefault="006F77F9" w:rsidP="0069246C">
            <w:pPr>
              <w:jc w:val="both"/>
              <w:rPr>
                <w:rFonts w:cs="Times New Roman"/>
              </w:rPr>
            </w:pPr>
          </w:p>
        </w:tc>
        <w:tc>
          <w:tcPr>
            <w:tcW w:w="1232" w:type="dxa"/>
          </w:tcPr>
          <w:p w:rsidR="006F77F9" w:rsidRPr="006F77F9" w:rsidRDefault="006F77F9" w:rsidP="0069246C">
            <w:pPr>
              <w:jc w:val="both"/>
              <w:rPr>
                <w:rFonts w:cs="Times New Roman"/>
              </w:rPr>
            </w:pPr>
          </w:p>
        </w:tc>
        <w:tc>
          <w:tcPr>
            <w:tcW w:w="1171" w:type="dxa"/>
          </w:tcPr>
          <w:p w:rsidR="006F77F9" w:rsidRPr="006F77F9" w:rsidRDefault="006F77F9" w:rsidP="0069246C">
            <w:pPr>
              <w:jc w:val="both"/>
              <w:rPr>
                <w:rFonts w:cs="Times New Roman"/>
              </w:rPr>
            </w:pPr>
          </w:p>
        </w:tc>
        <w:tc>
          <w:tcPr>
            <w:tcW w:w="1418" w:type="dxa"/>
          </w:tcPr>
          <w:p w:rsidR="006F77F9" w:rsidRPr="006F77F9" w:rsidRDefault="006F77F9" w:rsidP="0069246C">
            <w:pPr>
              <w:jc w:val="both"/>
              <w:rPr>
                <w:rFonts w:cs="Times New Roman"/>
              </w:rPr>
            </w:pPr>
          </w:p>
        </w:tc>
        <w:tc>
          <w:tcPr>
            <w:tcW w:w="915" w:type="dxa"/>
          </w:tcPr>
          <w:p w:rsidR="006F77F9" w:rsidRPr="006F77F9" w:rsidRDefault="006F77F9" w:rsidP="0069246C">
            <w:pPr>
              <w:jc w:val="both"/>
              <w:rPr>
                <w:rFonts w:cs="Times New Roman"/>
              </w:rPr>
            </w:pPr>
          </w:p>
        </w:tc>
        <w:tc>
          <w:tcPr>
            <w:tcW w:w="915" w:type="dxa"/>
          </w:tcPr>
          <w:p w:rsidR="006F77F9" w:rsidRPr="006F77F9" w:rsidRDefault="006F77F9" w:rsidP="0069246C">
            <w:pPr>
              <w:jc w:val="both"/>
              <w:rPr>
                <w:rFonts w:cs="Times New Roman"/>
              </w:rPr>
            </w:pPr>
          </w:p>
        </w:tc>
      </w:tr>
      <w:tr w:rsidR="0024070D" w:rsidRPr="006F77F9" w:rsidTr="00BC1DD6">
        <w:tc>
          <w:tcPr>
            <w:tcW w:w="1362" w:type="dxa"/>
          </w:tcPr>
          <w:p w:rsidR="006F77F9" w:rsidRPr="006F77F9" w:rsidRDefault="00444A77" w:rsidP="0069246C">
            <w:pPr>
              <w:jc w:val="both"/>
              <w:rPr>
                <w:rFonts w:cs="Times New Roman"/>
              </w:rPr>
            </w:pPr>
            <w:r>
              <w:rPr>
                <w:rFonts w:cs="Times New Roman"/>
              </w:rPr>
              <w:t>IICA</w:t>
            </w:r>
          </w:p>
        </w:tc>
        <w:tc>
          <w:tcPr>
            <w:tcW w:w="1108" w:type="dxa"/>
          </w:tcPr>
          <w:p w:rsidR="006F77F9" w:rsidRPr="006F77F9" w:rsidRDefault="00444A77" w:rsidP="0069246C">
            <w:pPr>
              <w:jc w:val="both"/>
              <w:rPr>
                <w:rFonts w:cs="Times New Roman"/>
              </w:rPr>
            </w:pPr>
            <w:r>
              <w:rPr>
                <w:rFonts w:cs="Times New Roman"/>
              </w:rPr>
              <w:t>?</w:t>
            </w:r>
          </w:p>
        </w:tc>
        <w:tc>
          <w:tcPr>
            <w:tcW w:w="1455" w:type="dxa"/>
          </w:tcPr>
          <w:p w:rsidR="006F77F9" w:rsidRPr="006F77F9" w:rsidRDefault="00444A77" w:rsidP="0069246C">
            <w:pPr>
              <w:jc w:val="both"/>
              <w:rPr>
                <w:rFonts w:cs="Times New Roman"/>
              </w:rPr>
            </w:pPr>
            <w:r>
              <w:rPr>
                <w:rFonts w:cs="Times New Roman"/>
              </w:rPr>
              <w:t xml:space="preserve">LoAs according to the tasks </w:t>
            </w:r>
          </w:p>
        </w:tc>
        <w:tc>
          <w:tcPr>
            <w:tcW w:w="1232" w:type="dxa"/>
          </w:tcPr>
          <w:p w:rsidR="006F77F9" w:rsidRPr="006F77F9" w:rsidRDefault="00444A77" w:rsidP="0069246C">
            <w:pPr>
              <w:jc w:val="both"/>
              <w:rPr>
                <w:rFonts w:cs="Times New Roman"/>
              </w:rPr>
            </w:pPr>
            <w:r>
              <w:rPr>
                <w:rFonts w:cs="Times New Roman"/>
              </w:rPr>
              <w:t>Established in the LoA</w:t>
            </w:r>
          </w:p>
        </w:tc>
        <w:tc>
          <w:tcPr>
            <w:tcW w:w="1171" w:type="dxa"/>
          </w:tcPr>
          <w:p w:rsidR="006F77F9" w:rsidRPr="006F77F9" w:rsidRDefault="00444A77" w:rsidP="0069246C">
            <w:pPr>
              <w:jc w:val="both"/>
              <w:rPr>
                <w:rFonts w:cs="Times New Roman"/>
              </w:rPr>
            </w:pPr>
            <w:r>
              <w:rPr>
                <w:rFonts w:cs="Times New Roman"/>
              </w:rPr>
              <w:t>According to LoA</w:t>
            </w:r>
          </w:p>
        </w:tc>
        <w:tc>
          <w:tcPr>
            <w:tcW w:w="1418" w:type="dxa"/>
          </w:tcPr>
          <w:p w:rsidR="006F77F9" w:rsidRPr="006F77F9" w:rsidRDefault="006F1DF0" w:rsidP="0069246C">
            <w:pPr>
              <w:jc w:val="both"/>
              <w:rPr>
                <w:rFonts w:cs="Times New Roman"/>
              </w:rPr>
            </w:pPr>
            <w:r>
              <w:rPr>
                <w:rFonts w:cs="Times New Roman"/>
              </w:rPr>
              <w:t xml:space="preserve">IPPC </w:t>
            </w:r>
            <w:r w:rsidR="00444A77">
              <w:rPr>
                <w:rFonts w:cs="Times New Roman"/>
              </w:rPr>
              <w:t xml:space="preserve">Management </w:t>
            </w:r>
          </w:p>
        </w:tc>
        <w:tc>
          <w:tcPr>
            <w:tcW w:w="915" w:type="dxa"/>
          </w:tcPr>
          <w:p w:rsidR="006F77F9" w:rsidRPr="006F77F9" w:rsidRDefault="006F77F9" w:rsidP="0069246C">
            <w:pPr>
              <w:jc w:val="both"/>
              <w:rPr>
                <w:rFonts w:cs="Times New Roman"/>
              </w:rPr>
            </w:pPr>
          </w:p>
        </w:tc>
        <w:tc>
          <w:tcPr>
            <w:tcW w:w="915" w:type="dxa"/>
          </w:tcPr>
          <w:p w:rsidR="006F77F9" w:rsidRPr="006F77F9" w:rsidRDefault="006F77F9" w:rsidP="0069246C">
            <w:pPr>
              <w:jc w:val="both"/>
              <w:rPr>
                <w:rFonts w:cs="Times New Roman"/>
              </w:rPr>
            </w:pPr>
          </w:p>
        </w:tc>
      </w:tr>
      <w:tr w:rsidR="00BC1DD6" w:rsidRPr="006F77F9" w:rsidTr="00BC1DD6">
        <w:tc>
          <w:tcPr>
            <w:tcW w:w="1362" w:type="dxa"/>
          </w:tcPr>
          <w:p w:rsidR="00BC1DD6" w:rsidRPr="006F77F9" w:rsidRDefault="00BC1DD6" w:rsidP="0069246C">
            <w:pPr>
              <w:jc w:val="both"/>
              <w:rPr>
                <w:rFonts w:cs="Times New Roman"/>
              </w:rPr>
            </w:pPr>
            <w:r>
              <w:rPr>
                <w:rFonts w:cs="Times New Roman"/>
              </w:rPr>
              <w:t>CABI</w:t>
            </w:r>
          </w:p>
        </w:tc>
        <w:tc>
          <w:tcPr>
            <w:tcW w:w="1108" w:type="dxa"/>
          </w:tcPr>
          <w:p w:rsidR="00BC1DD6" w:rsidRPr="006F77F9" w:rsidRDefault="00BC1DD6" w:rsidP="0069246C">
            <w:pPr>
              <w:jc w:val="both"/>
              <w:rPr>
                <w:rFonts w:cs="Times New Roman"/>
              </w:rPr>
            </w:pPr>
            <w:r>
              <w:rPr>
                <w:rFonts w:cs="Times New Roman"/>
              </w:rPr>
              <w:t>?</w:t>
            </w:r>
          </w:p>
        </w:tc>
        <w:tc>
          <w:tcPr>
            <w:tcW w:w="1455" w:type="dxa"/>
          </w:tcPr>
          <w:p w:rsidR="00BC1DD6" w:rsidRPr="006F77F9" w:rsidRDefault="00BC1DD6" w:rsidP="00BC1DD6">
            <w:pPr>
              <w:jc w:val="both"/>
              <w:rPr>
                <w:rFonts w:cs="Times New Roman"/>
              </w:rPr>
            </w:pPr>
            <w:r>
              <w:rPr>
                <w:rFonts w:cs="Times New Roman"/>
              </w:rPr>
              <w:t xml:space="preserve">LoAs according to the tasks </w:t>
            </w:r>
          </w:p>
        </w:tc>
        <w:tc>
          <w:tcPr>
            <w:tcW w:w="1232" w:type="dxa"/>
          </w:tcPr>
          <w:p w:rsidR="00BC1DD6" w:rsidRPr="006F77F9" w:rsidRDefault="00BC1DD6" w:rsidP="00BC1DD6">
            <w:pPr>
              <w:jc w:val="both"/>
              <w:rPr>
                <w:rFonts w:cs="Times New Roman"/>
              </w:rPr>
            </w:pPr>
            <w:r>
              <w:rPr>
                <w:rFonts w:cs="Times New Roman"/>
              </w:rPr>
              <w:t>Established in the LoA</w:t>
            </w:r>
          </w:p>
        </w:tc>
        <w:tc>
          <w:tcPr>
            <w:tcW w:w="1171" w:type="dxa"/>
          </w:tcPr>
          <w:p w:rsidR="00BC1DD6" w:rsidRPr="006F77F9" w:rsidRDefault="00BC1DD6" w:rsidP="00BC1DD6">
            <w:pPr>
              <w:jc w:val="both"/>
              <w:rPr>
                <w:rFonts w:cs="Times New Roman"/>
              </w:rPr>
            </w:pPr>
            <w:r>
              <w:rPr>
                <w:rFonts w:cs="Times New Roman"/>
              </w:rPr>
              <w:t>According to LoA</w:t>
            </w:r>
          </w:p>
        </w:tc>
        <w:tc>
          <w:tcPr>
            <w:tcW w:w="1418" w:type="dxa"/>
          </w:tcPr>
          <w:p w:rsidR="00BC1DD6" w:rsidRPr="006F77F9" w:rsidRDefault="006F1DF0" w:rsidP="00BC1DD6">
            <w:pPr>
              <w:jc w:val="both"/>
              <w:rPr>
                <w:rFonts w:cs="Times New Roman"/>
              </w:rPr>
            </w:pPr>
            <w:r>
              <w:rPr>
                <w:rFonts w:cs="Times New Roman"/>
              </w:rPr>
              <w:t xml:space="preserve">IPPC </w:t>
            </w:r>
            <w:r w:rsidR="00BC1DD6">
              <w:rPr>
                <w:rFonts w:cs="Times New Roman"/>
              </w:rPr>
              <w:t xml:space="preserve">Management </w:t>
            </w:r>
          </w:p>
        </w:tc>
        <w:tc>
          <w:tcPr>
            <w:tcW w:w="915" w:type="dxa"/>
          </w:tcPr>
          <w:p w:rsidR="00BC1DD6" w:rsidRPr="006F77F9" w:rsidRDefault="00BC1DD6" w:rsidP="0069246C">
            <w:pPr>
              <w:jc w:val="both"/>
              <w:rPr>
                <w:rFonts w:cs="Times New Roman"/>
              </w:rPr>
            </w:pPr>
          </w:p>
        </w:tc>
        <w:tc>
          <w:tcPr>
            <w:tcW w:w="915" w:type="dxa"/>
          </w:tcPr>
          <w:p w:rsidR="00BC1DD6" w:rsidRPr="006F77F9" w:rsidRDefault="00BC1DD6" w:rsidP="0069246C">
            <w:pPr>
              <w:jc w:val="both"/>
              <w:rPr>
                <w:rFonts w:cs="Times New Roman"/>
              </w:rPr>
            </w:pPr>
          </w:p>
        </w:tc>
      </w:tr>
      <w:tr w:rsidR="00BC1DD6" w:rsidRPr="006F77F9" w:rsidTr="00BC1DD6">
        <w:tc>
          <w:tcPr>
            <w:tcW w:w="1362" w:type="dxa"/>
          </w:tcPr>
          <w:p w:rsidR="00BC1DD6" w:rsidRPr="00FC2753" w:rsidRDefault="006F1DF0" w:rsidP="0069246C">
            <w:pPr>
              <w:jc w:val="both"/>
              <w:rPr>
                <w:rFonts w:cs="Times New Roman"/>
                <w:highlight w:val="cyan"/>
              </w:rPr>
            </w:pPr>
            <w:r w:rsidRPr="00FC2753">
              <w:rPr>
                <w:rFonts w:cs="Times New Roman"/>
                <w:highlight w:val="cyan"/>
              </w:rPr>
              <w:t>PERAL</w:t>
            </w:r>
            <w:r w:rsidR="00FC2753">
              <w:rPr>
                <w:rStyle w:val="FootnoteReference"/>
                <w:rFonts w:cs="Times New Roman"/>
                <w:highlight w:val="cyan"/>
              </w:rPr>
              <w:footnoteReference w:id="2"/>
            </w:r>
          </w:p>
        </w:tc>
        <w:tc>
          <w:tcPr>
            <w:tcW w:w="1108" w:type="dxa"/>
          </w:tcPr>
          <w:p w:rsidR="00BC1DD6" w:rsidRPr="00FC2753" w:rsidRDefault="006F1DF0" w:rsidP="0069246C">
            <w:pPr>
              <w:jc w:val="both"/>
              <w:rPr>
                <w:rFonts w:cs="Times New Roman"/>
                <w:highlight w:val="cyan"/>
              </w:rPr>
            </w:pPr>
            <w:r w:rsidRPr="00FC2753">
              <w:rPr>
                <w:rFonts w:cs="Times New Roman"/>
                <w:highlight w:val="cyan"/>
              </w:rPr>
              <w:t>?</w:t>
            </w:r>
          </w:p>
        </w:tc>
        <w:tc>
          <w:tcPr>
            <w:tcW w:w="1455" w:type="dxa"/>
          </w:tcPr>
          <w:p w:rsidR="00BC1DD6" w:rsidRPr="00FC2753" w:rsidRDefault="006F1DF0" w:rsidP="0069246C">
            <w:pPr>
              <w:jc w:val="both"/>
              <w:rPr>
                <w:rFonts w:cs="Times New Roman"/>
                <w:highlight w:val="cyan"/>
              </w:rPr>
            </w:pPr>
            <w:r w:rsidRPr="00FC2753">
              <w:rPr>
                <w:rFonts w:cs="Times New Roman"/>
                <w:highlight w:val="cyan"/>
              </w:rPr>
              <w:t>Exchange of  letters</w:t>
            </w:r>
          </w:p>
        </w:tc>
        <w:tc>
          <w:tcPr>
            <w:tcW w:w="1232" w:type="dxa"/>
          </w:tcPr>
          <w:p w:rsidR="00BC1DD6" w:rsidRPr="00FC2753" w:rsidRDefault="006F1DF0" w:rsidP="0069246C">
            <w:pPr>
              <w:jc w:val="both"/>
              <w:rPr>
                <w:rFonts w:cs="Times New Roman"/>
                <w:highlight w:val="cyan"/>
              </w:rPr>
            </w:pPr>
            <w:r w:rsidRPr="00FC2753">
              <w:rPr>
                <w:rFonts w:cs="Times New Roman"/>
                <w:highlight w:val="cyan"/>
              </w:rPr>
              <w:t>Exchange of  letters</w:t>
            </w:r>
          </w:p>
        </w:tc>
        <w:tc>
          <w:tcPr>
            <w:tcW w:w="1171" w:type="dxa"/>
          </w:tcPr>
          <w:p w:rsidR="00BC1DD6" w:rsidRPr="00FC2753" w:rsidRDefault="006F1DF0" w:rsidP="0069246C">
            <w:pPr>
              <w:jc w:val="both"/>
              <w:rPr>
                <w:rFonts w:cs="Times New Roman"/>
                <w:highlight w:val="cyan"/>
              </w:rPr>
            </w:pPr>
            <w:r w:rsidRPr="00FC2753">
              <w:rPr>
                <w:rFonts w:cs="Times New Roman"/>
                <w:highlight w:val="cyan"/>
              </w:rPr>
              <w:t>Exchange of  letters</w:t>
            </w:r>
          </w:p>
        </w:tc>
        <w:tc>
          <w:tcPr>
            <w:tcW w:w="1418" w:type="dxa"/>
          </w:tcPr>
          <w:p w:rsidR="00BC1DD6" w:rsidRPr="00FC2753" w:rsidRDefault="006F1DF0" w:rsidP="0069246C">
            <w:pPr>
              <w:jc w:val="both"/>
              <w:rPr>
                <w:rFonts w:cs="Times New Roman"/>
                <w:highlight w:val="cyan"/>
              </w:rPr>
            </w:pPr>
            <w:r w:rsidRPr="00FC2753">
              <w:rPr>
                <w:rFonts w:cs="Times New Roman"/>
                <w:highlight w:val="cyan"/>
              </w:rPr>
              <w:t xml:space="preserve">IPPC Management </w:t>
            </w:r>
          </w:p>
        </w:tc>
        <w:tc>
          <w:tcPr>
            <w:tcW w:w="915" w:type="dxa"/>
          </w:tcPr>
          <w:p w:rsidR="00BC1DD6" w:rsidRPr="00FC2753" w:rsidRDefault="00BC1DD6" w:rsidP="0069246C">
            <w:pPr>
              <w:jc w:val="both"/>
              <w:rPr>
                <w:rFonts w:cs="Times New Roman"/>
                <w:highlight w:val="cyan"/>
              </w:rPr>
            </w:pPr>
          </w:p>
        </w:tc>
        <w:tc>
          <w:tcPr>
            <w:tcW w:w="915" w:type="dxa"/>
          </w:tcPr>
          <w:p w:rsidR="00BC1DD6" w:rsidRPr="006F77F9" w:rsidRDefault="00BC1DD6" w:rsidP="0069246C">
            <w:pPr>
              <w:jc w:val="both"/>
              <w:rPr>
                <w:rFonts w:cs="Times New Roman"/>
              </w:rPr>
            </w:pPr>
          </w:p>
        </w:tc>
      </w:tr>
    </w:tbl>
    <w:p w:rsidR="003D1502" w:rsidRDefault="003D1502" w:rsidP="0069246C">
      <w:pPr>
        <w:jc w:val="both"/>
        <w:rPr>
          <w:rFonts w:cs="Times New Roman"/>
        </w:rPr>
      </w:pPr>
    </w:p>
    <w:p w:rsidR="006F77F9" w:rsidRDefault="006F1DF0" w:rsidP="0069246C">
      <w:pPr>
        <w:jc w:val="both"/>
        <w:rPr>
          <w:rFonts w:cs="Times New Roman"/>
        </w:rPr>
      </w:pPr>
      <w:r>
        <w:rPr>
          <w:rFonts w:cs="Times New Roman"/>
        </w:rPr>
        <w:t>Considering the current situation, the suggestion for Bureau approval should be:</w:t>
      </w:r>
    </w:p>
    <w:p w:rsidR="006F1DF0" w:rsidRDefault="006F1DF0" w:rsidP="006F1DF0">
      <w:pPr>
        <w:pStyle w:val="ListParagraph"/>
        <w:numPr>
          <w:ilvl w:val="0"/>
          <w:numId w:val="7"/>
        </w:numPr>
        <w:jc w:val="both"/>
        <w:rPr>
          <w:rFonts w:asciiTheme="minorHAnsi" w:hAnsiTheme="minorHAnsi"/>
        </w:rPr>
      </w:pPr>
      <w:r w:rsidRPr="006F1DF0">
        <w:rPr>
          <w:rFonts w:asciiTheme="minorHAnsi" w:hAnsiTheme="minorHAnsi"/>
        </w:rPr>
        <w:t>To follow most part of the FAO strategy</w:t>
      </w:r>
      <w:r>
        <w:rPr>
          <w:rFonts w:asciiTheme="minorHAnsi" w:hAnsiTheme="minorHAnsi"/>
        </w:rPr>
        <w:t xml:space="preserve"> for partnerships according to the areas of interest for the Convention.</w:t>
      </w:r>
    </w:p>
    <w:p w:rsidR="006F1DF0" w:rsidRDefault="006F1DF0" w:rsidP="006F1DF0">
      <w:pPr>
        <w:pStyle w:val="ListParagraph"/>
        <w:numPr>
          <w:ilvl w:val="0"/>
          <w:numId w:val="7"/>
        </w:numPr>
        <w:jc w:val="both"/>
        <w:rPr>
          <w:rFonts w:asciiTheme="minorHAnsi" w:hAnsiTheme="minorHAnsi"/>
        </w:rPr>
      </w:pPr>
      <w:r>
        <w:rPr>
          <w:rFonts w:asciiTheme="minorHAnsi" w:hAnsiTheme="minorHAnsi"/>
        </w:rPr>
        <w:t>To establish a flexible system of use of models for partnerships.</w:t>
      </w:r>
    </w:p>
    <w:p w:rsidR="006F1DF0" w:rsidRPr="006F1DF0" w:rsidRDefault="006F1DF0" w:rsidP="006F1DF0">
      <w:pPr>
        <w:pStyle w:val="ListParagraph"/>
        <w:numPr>
          <w:ilvl w:val="0"/>
          <w:numId w:val="7"/>
        </w:numPr>
        <w:jc w:val="both"/>
        <w:rPr>
          <w:rFonts w:asciiTheme="minorHAnsi" w:hAnsiTheme="minorHAnsi"/>
        </w:rPr>
      </w:pPr>
      <w:r>
        <w:rPr>
          <w:rFonts w:asciiTheme="minorHAnsi" w:hAnsiTheme="minorHAnsi"/>
        </w:rPr>
        <w:t xml:space="preserve">To examine </w:t>
      </w:r>
      <w:r w:rsidR="00FC2753">
        <w:rPr>
          <w:rFonts w:asciiTheme="minorHAnsi" w:hAnsiTheme="minorHAnsi"/>
        </w:rPr>
        <w:t xml:space="preserve">and approve each </w:t>
      </w:r>
      <w:r>
        <w:rPr>
          <w:rFonts w:asciiTheme="minorHAnsi" w:hAnsiTheme="minorHAnsi"/>
        </w:rPr>
        <w:t xml:space="preserve">proposed </w:t>
      </w:r>
      <w:r w:rsidR="00FC2753">
        <w:rPr>
          <w:rFonts w:asciiTheme="minorHAnsi" w:hAnsiTheme="minorHAnsi"/>
        </w:rPr>
        <w:t>partnership, not included into projects.</w:t>
      </w:r>
    </w:p>
    <w:p w:rsidR="006F77F9" w:rsidRPr="006F77F9" w:rsidRDefault="006F77F9" w:rsidP="0069246C">
      <w:pPr>
        <w:jc w:val="both"/>
        <w:rPr>
          <w:rFonts w:cs="Times New Roman"/>
        </w:rPr>
      </w:pPr>
    </w:p>
    <w:sectPr w:rsidR="006F77F9" w:rsidRPr="006F77F9" w:rsidSect="00F9685D">
      <w:headerReference w:type="even" r:id="rId8"/>
      <w:headerReference w:type="default" r:id="rId9"/>
      <w:footerReference w:type="even"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7E4" w:rsidRPr="00E848D0" w:rsidRDefault="008757E4" w:rsidP="007E2A67">
      <w:pPr>
        <w:spacing w:after="0" w:line="240" w:lineRule="auto"/>
        <w:rPr>
          <w:rFonts w:eastAsia="ヒラギノ角ゴ Pro W3"/>
        </w:rPr>
      </w:pPr>
      <w:r>
        <w:separator/>
      </w:r>
    </w:p>
  </w:endnote>
  <w:endnote w:type="continuationSeparator" w:id="0">
    <w:p w:rsidR="008757E4" w:rsidRPr="00E848D0" w:rsidRDefault="008757E4" w:rsidP="007E2A67">
      <w:pPr>
        <w:spacing w:after="0" w:line="240" w:lineRule="auto"/>
        <w:rPr>
          <w:rFonts w:eastAsia="ヒラギノ角ゴ Pro W3"/>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60405020304"/>
    <w:charset w:val="00"/>
    <w:family w:val="roman"/>
    <w:pitch w:val="variable"/>
    <w:sig w:usb0="00000007"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32274"/>
      <w:docPartObj>
        <w:docPartGallery w:val="Page Numbers (Top of Page)"/>
        <w:docPartUnique/>
      </w:docPartObj>
    </w:sdtPr>
    <w:sdtEndPr>
      <w:rPr>
        <w:rFonts w:ascii="Arial" w:hAnsi="Arial" w:cs="Arial"/>
        <w:sz w:val="18"/>
        <w:szCs w:val="18"/>
      </w:rPr>
    </w:sdtEndPr>
    <w:sdtContent>
      <w:p w:rsidR="00BC1DD6" w:rsidRDefault="00BC1DD6" w:rsidP="00F9685D">
        <w:pPr>
          <w:pStyle w:val="Footer"/>
          <w:pBdr>
            <w:top w:val="single" w:sz="4" w:space="1" w:color="auto"/>
          </w:pBdr>
          <w:tabs>
            <w:tab w:val="clear" w:pos="4680"/>
            <w:tab w:val="clear" w:pos="9360"/>
            <w:tab w:val="right" w:pos="9356"/>
          </w:tabs>
          <w:rPr>
            <w:rFonts w:ascii="Arial" w:hAnsi="Arial" w:cs="Arial"/>
            <w:sz w:val="18"/>
            <w:szCs w:val="18"/>
          </w:rPr>
        </w:pPr>
        <w:r w:rsidRPr="00F9685D">
          <w:rPr>
            <w:rFonts w:ascii="Arial" w:hAnsi="Arial" w:cs="Arial"/>
            <w:sz w:val="18"/>
            <w:szCs w:val="18"/>
          </w:rPr>
          <w:t xml:space="preserve">Page </w:t>
        </w:r>
        <w:r w:rsidR="00991598" w:rsidRPr="00F9685D">
          <w:rPr>
            <w:rFonts w:ascii="Arial" w:hAnsi="Arial" w:cs="Arial"/>
            <w:sz w:val="18"/>
            <w:szCs w:val="18"/>
          </w:rPr>
          <w:fldChar w:fldCharType="begin"/>
        </w:r>
        <w:r w:rsidRPr="00F9685D">
          <w:rPr>
            <w:rFonts w:ascii="Arial" w:hAnsi="Arial" w:cs="Arial"/>
            <w:sz w:val="18"/>
            <w:szCs w:val="18"/>
          </w:rPr>
          <w:instrText xml:space="preserve"> PAGE </w:instrText>
        </w:r>
        <w:r w:rsidR="00991598" w:rsidRPr="00F9685D">
          <w:rPr>
            <w:rFonts w:ascii="Arial" w:hAnsi="Arial" w:cs="Arial"/>
            <w:sz w:val="18"/>
            <w:szCs w:val="18"/>
          </w:rPr>
          <w:fldChar w:fldCharType="separate"/>
        </w:r>
        <w:r w:rsidR="00A94BFA">
          <w:rPr>
            <w:rFonts w:ascii="Arial" w:hAnsi="Arial" w:cs="Arial"/>
            <w:noProof/>
            <w:sz w:val="18"/>
            <w:szCs w:val="18"/>
          </w:rPr>
          <w:t>2</w:t>
        </w:r>
        <w:r w:rsidR="00991598" w:rsidRPr="00F9685D">
          <w:rPr>
            <w:rFonts w:ascii="Arial" w:hAnsi="Arial" w:cs="Arial"/>
            <w:sz w:val="18"/>
            <w:szCs w:val="18"/>
          </w:rPr>
          <w:fldChar w:fldCharType="end"/>
        </w:r>
        <w:r w:rsidRPr="00F9685D">
          <w:rPr>
            <w:rFonts w:ascii="Arial" w:hAnsi="Arial" w:cs="Arial"/>
            <w:sz w:val="18"/>
            <w:szCs w:val="18"/>
          </w:rPr>
          <w:t xml:space="preserve"> of </w:t>
        </w:r>
        <w:r w:rsidR="00991598" w:rsidRPr="00F9685D">
          <w:rPr>
            <w:rFonts w:ascii="Arial" w:hAnsi="Arial" w:cs="Arial"/>
            <w:sz w:val="18"/>
            <w:szCs w:val="18"/>
          </w:rPr>
          <w:fldChar w:fldCharType="begin"/>
        </w:r>
        <w:r w:rsidRPr="00F9685D">
          <w:rPr>
            <w:rFonts w:ascii="Arial" w:hAnsi="Arial" w:cs="Arial"/>
            <w:sz w:val="18"/>
            <w:szCs w:val="18"/>
          </w:rPr>
          <w:instrText xml:space="preserve"> NUMPAGES  </w:instrText>
        </w:r>
        <w:r w:rsidR="00991598" w:rsidRPr="00F9685D">
          <w:rPr>
            <w:rFonts w:ascii="Arial" w:hAnsi="Arial" w:cs="Arial"/>
            <w:sz w:val="18"/>
            <w:szCs w:val="18"/>
          </w:rPr>
          <w:fldChar w:fldCharType="separate"/>
        </w:r>
        <w:r w:rsidR="00A94BFA">
          <w:rPr>
            <w:rFonts w:ascii="Arial" w:hAnsi="Arial" w:cs="Arial"/>
            <w:noProof/>
            <w:sz w:val="18"/>
            <w:szCs w:val="18"/>
          </w:rPr>
          <w:t>4</w:t>
        </w:r>
        <w:r w:rsidR="00991598" w:rsidRPr="00F9685D">
          <w:rPr>
            <w:rFonts w:ascii="Arial" w:hAnsi="Arial" w:cs="Arial"/>
            <w:sz w:val="18"/>
            <w:szCs w:val="18"/>
          </w:rPr>
          <w:fldChar w:fldCharType="end"/>
        </w:r>
        <w:r w:rsidRPr="00F9685D">
          <w:rPr>
            <w:rFonts w:ascii="Arial" w:hAnsi="Arial" w:cs="Arial"/>
            <w:sz w:val="18"/>
            <w:szCs w:val="18"/>
          </w:rPr>
          <w:t xml:space="preserve"> </w:t>
        </w:r>
        <w:r>
          <w:rPr>
            <w:rFonts w:ascii="Arial" w:hAnsi="Arial" w:cs="Arial"/>
            <w:sz w:val="18"/>
            <w:szCs w:val="18"/>
          </w:rPr>
          <w:tab/>
        </w:r>
        <w:r w:rsidRPr="00D32D38">
          <w:rPr>
            <w:rFonts w:ascii="Arial" w:hAnsi="Arial" w:cs="Arial"/>
            <w:sz w:val="18"/>
            <w:szCs w:val="18"/>
          </w:rPr>
          <w:t>International Plant Protection Convention</w:t>
        </w:r>
      </w:p>
    </w:sdtContent>
  </w:sdt>
  <w:p w:rsidR="00BC1DD6" w:rsidRDefault="00BC1DD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06860"/>
      <w:docPartObj>
        <w:docPartGallery w:val="Page Numbers (Bottom of Page)"/>
        <w:docPartUnique/>
      </w:docPartObj>
    </w:sdtPr>
    <w:sdtEndPr>
      <w:rPr>
        <w:rFonts w:ascii="Arial" w:hAnsi="Arial" w:cs="Arial"/>
        <w:sz w:val="18"/>
        <w:szCs w:val="18"/>
      </w:rPr>
    </w:sdtEndPr>
    <w:sdtContent>
      <w:sdt>
        <w:sdtPr>
          <w:id w:val="565050523"/>
          <w:docPartObj>
            <w:docPartGallery w:val="Page Numbers (Top of Page)"/>
            <w:docPartUnique/>
          </w:docPartObj>
        </w:sdtPr>
        <w:sdtEndPr>
          <w:rPr>
            <w:rFonts w:ascii="Arial" w:hAnsi="Arial" w:cs="Arial"/>
            <w:sz w:val="18"/>
            <w:szCs w:val="18"/>
          </w:rPr>
        </w:sdtEndPr>
        <w:sdtContent>
          <w:p w:rsidR="00BC1DD6" w:rsidRPr="00F9685D" w:rsidRDefault="00BC1DD6" w:rsidP="00F9685D">
            <w:pPr>
              <w:pStyle w:val="Footer"/>
              <w:pBdr>
                <w:top w:val="single" w:sz="4" w:space="1" w:color="auto"/>
              </w:pBdr>
              <w:jc w:val="right"/>
              <w:rPr>
                <w:rFonts w:ascii="Arial" w:hAnsi="Arial" w:cs="Arial"/>
                <w:sz w:val="18"/>
                <w:szCs w:val="18"/>
              </w:rPr>
            </w:pPr>
            <w:r w:rsidRPr="00F9685D">
              <w:rPr>
                <w:rFonts w:ascii="Arial" w:hAnsi="Arial" w:cs="Arial"/>
                <w:sz w:val="18"/>
                <w:szCs w:val="18"/>
              </w:rPr>
              <w:t xml:space="preserve">Page </w:t>
            </w:r>
            <w:r w:rsidR="00991598" w:rsidRPr="00F9685D">
              <w:rPr>
                <w:rFonts w:ascii="Arial" w:hAnsi="Arial" w:cs="Arial"/>
                <w:sz w:val="18"/>
                <w:szCs w:val="18"/>
              </w:rPr>
              <w:fldChar w:fldCharType="begin"/>
            </w:r>
            <w:r w:rsidRPr="00F9685D">
              <w:rPr>
                <w:rFonts w:ascii="Arial" w:hAnsi="Arial" w:cs="Arial"/>
                <w:sz w:val="18"/>
                <w:szCs w:val="18"/>
              </w:rPr>
              <w:instrText xml:space="preserve"> PAGE </w:instrText>
            </w:r>
            <w:r w:rsidR="00991598" w:rsidRPr="00F9685D">
              <w:rPr>
                <w:rFonts w:ascii="Arial" w:hAnsi="Arial" w:cs="Arial"/>
                <w:sz w:val="18"/>
                <w:szCs w:val="18"/>
              </w:rPr>
              <w:fldChar w:fldCharType="separate"/>
            </w:r>
            <w:r w:rsidR="00A94BFA">
              <w:rPr>
                <w:rFonts w:ascii="Arial" w:hAnsi="Arial" w:cs="Arial"/>
                <w:noProof/>
                <w:sz w:val="18"/>
                <w:szCs w:val="18"/>
              </w:rPr>
              <w:t>1</w:t>
            </w:r>
            <w:r w:rsidR="00991598" w:rsidRPr="00F9685D">
              <w:rPr>
                <w:rFonts w:ascii="Arial" w:hAnsi="Arial" w:cs="Arial"/>
                <w:sz w:val="18"/>
                <w:szCs w:val="18"/>
              </w:rPr>
              <w:fldChar w:fldCharType="end"/>
            </w:r>
            <w:r w:rsidRPr="00F9685D">
              <w:rPr>
                <w:rFonts w:ascii="Arial" w:hAnsi="Arial" w:cs="Arial"/>
                <w:sz w:val="18"/>
                <w:szCs w:val="18"/>
              </w:rPr>
              <w:t xml:space="preserve"> of </w:t>
            </w:r>
            <w:r w:rsidR="00991598" w:rsidRPr="00F9685D">
              <w:rPr>
                <w:rFonts w:ascii="Arial" w:hAnsi="Arial" w:cs="Arial"/>
                <w:sz w:val="18"/>
                <w:szCs w:val="18"/>
              </w:rPr>
              <w:fldChar w:fldCharType="begin"/>
            </w:r>
            <w:r w:rsidRPr="00F9685D">
              <w:rPr>
                <w:rFonts w:ascii="Arial" w:hAnsi="Arial" w:cs="Arial"/>
                <w:sz w:val="18"/>
                <w:szCs w:val="18"/>
              </w:rPr>
              <w:instrText xml:space="preserve"> NUMPAGES  </w:instrText>
            </w:r>
            <w:r w:rsidR="00991598" w:rsidRPr="00F9685D">
              <w:rPr>
                <w:rFonts w:ascii="Arial" w:hAnsi="Arial" w:cs="Arial"/>
                <w:sz w:val="18"/>
                <w:szCs w:val="18"/>
              </w:rPr>
              <w:fldChar w:fldCharType="separate"/>
            </w:r>
            <w:r w:rsidR="00A94BFA">
              <w:rPr>
                <w:rFonts w:ascii="Arial" w:hAnsi="Arial" w:cs="Arial"/>
                <w:noProof/>
                <w:sz w:val="18"/>
                <w:szCs w:val="18"/>
              </w:rPr>
              <w:t>4</w:t>
            </w:r>
            <w:r w:rsidR="00991598" w:rsidRPr="00F9685D">
              <w:rPr>
                <w:rFonts w:ascii="Arial" w:hAnsi="Arial" w:cs="Arial"/>
                <w:sz w:val="18"/>
                <w:szCs w:val="18"/>
              </w:rPr>
              <w:fldChar w:fldCharType="end"/>
            </w:r>
          </w:p>
        </w:sdtContent>
      </w:sdt>
    </w:sdtContent>
  </w:sdt>
  <w:p w:rsidR="00BC1DD6" w:rsidRDefault="00BC1D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7E4" w:rsidRPr="00E848D0" w:rsidRDefault="008757E4" w:rsidP="007E2A67">
      <w:pPr>
        <w:spacing w:after="0" w:line="240" w:lineRule="auto"/>
        <w:rPr>
          <w:rFonts w:eastAsia="ヒラギノ角ゴ Pro W3"/>
        </w:rPr>
      </w:pPr>
      <w:r>
        <w:separator/>
      </w:r>
    </w:p>
  </w:footnote>
  <w:footnote w:type="continuationSeparator" w:id="0">
    <w:p w:rsidR="008757E4" w:rsidRPr="00E848D0" w:rsidRDefault="008757E4" w:rsidP="007E2A67">
      <w:pPr>
        <w:spacing w:after="0" w:line="240" w:lineRule="auto"/>
        <w:rPr>
          <w:rFonts w:eastAsia="ヒラギノ角ゴ Pro W3"/>
        </w:rPr>
      </w:pPr>
      <w:r>
        <w:continuationSeparator/>
      </w:r>
    </w:p>
  </w:footnote>
  <w:footnote w:id="1">
    <w:p w:rsidR="00BC1DD6" w:rsidRDefault="00BC1DD6">
      <w:pPr>
        <w:pStyle w:val="FootnoteText"/>
      </w:pPr>
      <w:r>
        <w:rPr>
          <w:rStyle w:val="FootnoteReference"/>
        </w:rPr>
        <w:footnoteRef/>
      </w:r>
      <w:r>
        <w:t xml:space="preserve"> Legal arrangements used by FAO are MoU, Partnership agreement </w:t>
      </w:r>
      <w:r w:rsidR="004A6D24">
        <w:t>and Exchange</w:t>
      </w:r>
      <w:r>
        <w:t xml:space="preserve"> of letters.</w:t>
      </w:r>
    </w:p>
  </w:footnote>
  <w:footnote w:id="2">
    <w:p w:rsidR="00FC2753" w:rsidRDefault="00FC2753">
      <w:pPr>
        <w:pStyle w:val="FootnoteText"/>
      </w:pPr>
      <w:r>
        <w:rPr>
          <w:rStyle w:val="FootnoteReference"/>
        </w:rPr>
        <w:footnoteRef/>
      </w:r>
      <w:r>
        <w:t xml:space="preserve"> Partnership into a project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DD6" w:rsidRDefault="00BC1DD6" w:rsidP="00F9685D">
    <w:pPr>
      <w:pStyle w:val="Header"/>
      <w:pBdr>
        <w:bottom w:val="single" w:sz="4" w:space="1" w:color="auto"/>
      </w:pBdr>
      <w:tabs>
        <w:tab w:val="clear" w:pos="4680"/>
        <w:tab w:val="clear" w:pos="9360"/>
        <w:tab w:val="right" w:pos="9356"/>
      </w:tabs>
      <w:jc w:val="right"/>
    </w:pPr>
    <w:r>
      <w:rPr>
        <w:rFonts w:ascii="Arial" w:hAnsi="Arial" w:cs="Arial"/>
        <w:sz w:val="18"/>
        <w:szCs w:val="18"/>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FAA" w:rsidRDefault="001F2FAA" w:rsidP="001F2FAA">
    <w:pPr>
      <w:pBdr>
        <w:bottom w:val="single" w:sz="4" w:space="0" w:color="auto"/>
      </w:pBdr>
      <w:tabs>
        <w:tab w:val="left" w:pos="1134"/>
        <w:tab w:val="right" w:pos="9072"/>
      </w:tabs>
      <w:spacing w:before="120"/>
    </w:pPr>
    <w:r>
      <w:rPr>
        <w:noProof/>
      </w:rPr>
      <w:drawing>
        <wp:inline distT="0" distB="0" distL="0" distR="0">
          <wp:extent cx="5762625" cy="3238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62625" cy="323850"/>
                  </a:xfrm>
                  <a:prstGeom prst="rect">
                    <a:avLst/>
                  </a:prstGeom>
                  <a:noFill/>
                  <a:ln w="9525">
                    <a:noFill/>
                    <a:miter lim="800000"/>
                    <a:headEnd/>
                    <a:tailEnd/>
                  </a:ln>
                </pic:spPr>
              </pic:pic>
            </a:graphicData>
          </a:graphic>
        </wp:inline>
      </w:drawing>
    </w:r>
  </w:p>
  <w:p w:rsidR="001F2FAA" w:rsidRPr="0061028F" w:rsidRDefault="001F2FAA" w:rsidP="001F2FAA">
    <w:pPr>
      <w:pBdr>
        <w:bottom w:val="single" w:sz="4" w:space="0" w:color="auto"/>
      </w:pBdr>
      <w:tabs>
        <w:tab w:val="left" w:pos="1134"/>
        <w:tab w:val="right" w:pos="9072"/>
      </w:tabs>
      <w:spacing w:before="120"/>
      <w:rPr>
        <w:rFonts w:ascii="Arial" w:hAnsi="Arial" w:cs="Arial"/>
        <w:i/>
        <w:sz w:val="18"/>
        <w:szCs w:val="18"/>
      </w:rPr>
    </w:pPr>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-12700</wp:posOffset>
          </wp:positionV>
          <wp:extent cx="632460" cy="324485"/>
          <wp:effectExtent l="19050" t="0" r="0" b="0"/>
          <wp:wrapSquare wrapText="bothSides"/>
          <wp:docPr id="2" name="Picture 1" descr="Description: 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PPCLogo"/>
                  <pic:cNvPicPr>
                    <a:picLocks noChangeAspect="1" noChangeArrowheads="1"/>
                  </pic:cNvPicPr>
                </pic:nvPicPr>
                <pic:blipFill>
                  <a:blip r:embed="rId2"/>
                  <a:srcRect/>
                  <a:stretch>
                    <a:fillRect/>
                  </a:stretch>
                </pic:blipFill>
                <pic:spPr bwMode="auto">
                  <a:xfrm>
                    <a:off x="0" y="0"/>
                    <a:ext cx="632460" cy="324485"/>
                  </a:xfrm>
                  <a:prstGeom prst="rect">
                    <a:avLst/>
                  </a:prstGeom>
                  <a:noFill/>
                </pic:spPr>
              </pic:pic>
            </a:graphicData>
          </a:graphic>
        </wp:anchor>
      </w:drawing>
    </w:r>
    <w:r>
      <w:tab/>
    </w:r>
    <w:r>
      <w:rPr>
        <w:rFonts w:ascii="Arial" w:hAnsi="Arial" w:cs="Arial"/>
        <w:sz w:val="18"/>
        <w:szCs w:val="18"/>
      </w:rPr>
      <w:t xml:space="preserve">International Plant Protection Convention                                   </w:t>
    </w:r>
    <w:r>
      <w:rPr>
        <w:rFonts w:ascii="Arial" w:hAnsi="Arial" w:cs="Arial"/>
        <w:sz w:val="18"/>
        <w:szCs w:val="18"/>
      </w:rPr>
      <w:tab/>
      <w:t>TC-RPPOs_2013</w:t>
    </w:r>
  </w:p>
  <w:p w:rsidR="001F2FAA" w:rsidRPr="00620F60" w:rsidRDefault="001F2FAA" w:rsidP="001F2FAA">
    <w:pPr>
      <w:pStyle w:val="IPPArial"/>
      <w:pBdr>
        <w:bottom w:val="single" w:sz="4" w:space="0" w:color="auto"/>
      </w:pBdr>
      <w:tabs>
        <w:tab w:val="left" w:pos="1134"/>
        <w:tab w:val="right" w:pos="9072"/>
      </w:tabs>
      <w:rPr>
        <w:lang w:val="en-US"/>
      </w:rPr>
    </w:pPr>
    <w:r>
      <w:rPr>
        <w:i/>
        <w:lang w:val="en-US"/>
      </w:rPr>
      <w:tab/>
      <w:t>IPPC Liaison, Cooperation and Partnership policy</w:t>
    </w:r>
    <w:r w:rsidRPr="0061028F">
      <w:rPr>
        <w:rFonts w:cs="Arial"/>
        <w:szCs w:val="18"/>
        <w:lang w:val="en-US"/>
      </w:rPr>
      <w:tab/>
    </w:r>
    <w:r>
      <w:rPr>
        <w:rFonts w:cs="Arial"/>
        <w:i/>
        <w:iCs/>
        <w:szCs w:val="18"/>
        <w:lang w:val="en-US"/>
      </w:rPr>
      <w:t>Agenda item 7</w:t>
    </w:r>
  </w:p>
  <w:p w:rsidR="00BC1DD6" w:rsidRDefault="00BC1DD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92949"/>
    <w:multiLevelType w:val="hybridMultilevel"/>
    <w:tmpl w:val="CE02CACE"/>
    <w:lvl w:ilvl="0" w:tplc="204A2546">
      <w:start w:val="1"/>
      <w:numFmt w:val="decimal"/>
      <w:pStyle w:val="IPPNumberedList"/>
      <w:lvlText w:val="(%1)"/>
      <w:lvlJc w:val="left"/>
      <w:pPr>
        <w:tabs>
          <w:tab w:val="num" w:pos="567"/>
        </w:tabs>
        <w:ind w:left="567" w:hanging="567"/>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3B72E9"/>
    <w:multiLevelType w:val="hybridMultilevel"/>
    <w:tmpl w:val="C1B8558A"/>
    <w:lvl w:ilvl="0" w:tplc="3E84DB62">
      <w:start w:val="3"/>
      <w:numFmt w:val="bullet"/>
      <w:lvlText w:val="-"/>
      <w:lvlJc w:val="left"/>
      <w:pPr>
        <w:ind w:left="720" w:hanging="360"/>
      </w:pPr>
      <w:rPr>
        <w:rFonts w:ascii="Calibri" w:eastAsia="Time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5F39D7"/>
    <w:multiLevelType w:val="hybridMultilevel"/>
    <w:tmpl w:val="7DC21196"/>
    <w:lvl w:ilvl="0" w:tplc="3E84DB62">
      <w:start w:val="3"/>
      <w:numFmt w:val="bullet"/>
      <w:lvlText w:val="-"/>
      <w:lvlJc w:val="left"/>
      <w:pPr>
        <w:ind w:left="720" w:hanging="360"/>
      </w:pPr>
      <w:rPr>
        <w:rFonts w:ascii="Calibri" w:eastAsia="Time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9817F8"/>
    <w:multiLevelType w:val="hybridMultilevel"/>
    <w:tmpl w:val="7B9C8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3310E4"/>
    <w:multiLevelType w:val="hybridMultilevel"/>
    <w:tmpl w:val="662AF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F770D7"/>
    <w:multiLevelType w:val="hybridMultilevel"/>
    <w:tmpl w:val="8ADEE91C"/>
    <w:lvl w:ilvl="0" w:tplc="6B9CDF4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0F255BE"/>
    <w:multiLevelType w:val="hybridMultilevel"/>
    <w:tmpl w:val="B3E8380E"/>
    <w:lvl w:ilvl="0" w:tplc="3D5A0C5E">
      <w:start w:val="1"/>
      <w:numFmt w:val="decimal"/>
      <w:lvlText w:val="%1)"/>
      <w:lvlJc w:val="left"/>
      <w:pPr>
        <w:ind w:left="360" w:hanging="360"/>
      </w:pPr>
      <w:rPr>
        <w:rFonts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587079E"/>
    <w:multiLevelType w:val="hybridMultilevel"/>
    <w:tmpl w:val="064ABD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9525BA"/>
    <w:multiLevelType w:val="hybridMultilevel"/>
    <w:tmpl w:val="2CBA4A56"/>
    <w:lvl w:ilvl="0" w:tplc="B4967452">
      <w:start w:val="36"/>
      <w:numFmt w:val="decimal"/>
      <w:lvlText w:val="[%1]"/>
      <w:lvlJc w:val="left"/>
      <w:pPr>
        <w:ind w:left="360" w:hanging="360"/>
      </w:pPr>
      <w:rPr>
        <w:rFonts w:ascii="Arial" w:hAnsi="Arial" w:cs="Arial" w:hint="default"/>
        <w:b w:val="0"/>
        <w:i/>
        <w:color w:val="0000FF"/>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0"/>
    <w:lvlOverride w:ilvl="0">
      <w:startOverride w:val="1"/>
    </w:lvlOverride>
  </w:num>
  <w:num w:numId="4">
    <w:abstractNumId w:val="8"/>
  </w:num>
  <w:num w:numId="5">
    <w:abstractNumId w:val="3"/>
  </w:num>
  <w:num w:numId="6">
    <w:abstractNumId w:val="1"/>
  </w:num>
  <w:num w:numId="7">
    <w:abstractNumId w:val="2"/>
  </w:num>
  <w:num w:numId="8">
    <w:abstractNumId w:val="6"/>
  </w:num>
  <w:num w:numId="9">
    <w:abstractNumId w:val="4"/>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evenAndOddHeaders/>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rsids>
    <w:rsidRoot w:val="007E0544"/>
    <w:rsid w:val="00002FF6"/>
    <w:rsid w:val="0000691E"/>
    <w:rsid w:val="00006D1F"/>
    <w:rsid w:val="00011F49"/>
    <w:rsid w:val="000133E3"/>
    <w:rsid w:val="000173D8"/>
    <w:rsid w:val="000224BE"/>
    <w:rsid w:val="00030839"/>
    <w:rsid w:val="000308EB"/>
    <w:rsid w:val="00035F8A"/>
    <w:rsid w:val="00036A6A"/>
    <w:rsid w:val="00037121"/>
    <w:rsid w:val="00042722"/>
    <w:rsid w:val="00060B97"/>
    <w:rsid w:val="00064180"/>
    <w:rsid w:val="00070D9A"/>
    <w:rsid w:val="0007380C"/>
    <w:rsid w:val="00073F3D"/>
    <w:rsid w:val="000744AC"/>
    <w:rsid w:val="00082D5B"/>
    <w:rsid w:val="000A72E8"/>
    <w:rsid w:val="000C1DD7"/>
    <w:rsid w:val="000C4C45"/>
    <w:rsid w:val="000C598C"/>
    <w:rsid w:val="000E213E"/>
    <w:rsid w:val="000F4187"/>
    <w:rsid w:val="000F7EAD"/>
    <w:rsid w:val="00100DA8"/>
    <w:rsid w:val="001059AD"/>
    <w:rsid w:val="00110F43"/>
    <w:rsid w:val="00111AE1"/>
    <w:rsid w:val="00130B06"/>
    <w:rsid w:val="00132B39"/>
    <w:rsid w:val="0014630B"/>
    <w:rsid w:val="00160EAA"/>
    <w:rsid w:val="001656DA"/>
    <w:rsid w:val="00167C82"/>
    <w:rsid w:val="001927A7"/>
    <w:rsid w:val="00194E14"/>
    <w:rsid w:val="00196591"/>
    <w:rsid w:val="001A24F6"/>
    <w:rsid w:val="001B3C44"/>
    <w:rsid w:val="001C2EB6"/>
    <w:rsid w:val="001C4729"/>
    <w:rsid w:val="001C6E16"/>
    <w:rsid w:val="001C7D31"/>
    <w:rsid w:val="001D5532"/>
    <w:rsid w:val="001D56C5"/>
    <w:rsid w:val="001E03D7"/>
    <w:rsid w:val="001E3D63"/>
    <w:rsid w:val="001E4EE3"/>
    <w:rsid w:val="001E60E4"/>
    <w:rsid w:val="001E69A0"/>
    <w:rsid w:val="001F01A4"/>
    <w:rsid w:val="001F2FAA"/>
    <w:rsid w:val="001F517B"/>
    <w:rsid w:val="001F5C51"/>
    <w:rsid w:val="00203763"/>
    <w:rsid w:val="00212E7C"/>
    <w:rsid w:val="0022708C"/>
    <w:rsid w:val="002315DC"/>
    <w:rsid w:val="0023167B"/>
    <w:rsid w:val="002348CB"/>
    <w:rsid w:val="0024070D"/>
    <w:rsid w:val="00246AB4"/>
    <w:rsid w:val="00250051"/>
    <w:rsid w:val="002613CC"/>
    <w:rsid w:val="002654E7"/>
    <w:rsid w:val="00272026"/>
    <w:rsid w:val="002825C5"/>
    <w:rsid w:val="002A1FF4"/>
    <w:rsid w:val="002C0CF4"/>
    <w:rsid w:val="002D09E8"/>
    <w:rsid w:val="002D4E91"/>
    <w:rsid w:val="002D7B43"/>
    <w:rsid w:val="002E309B"/>
    <w:rsid w:val="002E47CF"/>
    <w:rsid w:val="00302CD7"/>
    <w:rsid w:val="0030559C"/>
    <w:rsid w:val="00305A0C"/>
    <w:rsid w:val="00316946"/>
    <w:rsid w:val="003308BB"/>
    <w:rsid w:val="00356422"/>
    <w:rsid w:val="003914CC"/>
    <w:rsid w:val="00391AD0"/>
    <w:rsid w:val="00394833"/>
    <w:rsid w:val="003A6FD8"/>
    <w:rsid w:val="003B2973"/>
    <w:rsid w:val="003B721C"/>
    <w:rsid w:val="003D1502"/>
    <w:rsid w:val="003D7FBB"/>
    <w:rsid w:val="003E1244"/>
    <w:rsid w:val="003E1FF7"/>
    <w:rsid w:val="003F4BE7"/>
    <w:rsid w:val="0040010B"/>
    <w:rsid w:val="00401C68"/>
    <w:rsid w:val="004106A1"/>
    <w:rsid w:val="00417C75"/>
    <w:rsid w:val="00424F79"/>
    <w:rsid w:val="00431C44"/>
    <w:rsid w:val="00433FB6"/>
    <w:rsid w:val="00437992"/>
    <w:rsid w:val="0044213D"/>
    <w:rsid w:val="00444A77"/>
    <w:rsid w:val="004461A0"/>
    <w:rsid w:val="004573F1"/>
    <w:rsid w:val="00457D7E"/>
    <w:rsid w:val="00457FB1"/>
    <w:rsid w:val="004610F8"/>
    <w:rsid w:val="00465DA1"/>
    <w:rsid w:val="00470F75"/>
    <w:rsid w:val="004820A3"/>
    <w:rsid w:val="00491891"/>
    <w:rsid w:val="004A07C7"/>
    <w:rsid w:val="004A5CE5"/>
    <w:rsid w:val="004A6D24"/>
    <w:rsid w:val="004A7ED5"/>
    <w:rsid w:val="004B651C"/>
    <w:rsid w:val="004E1A2B"/>
    <w:rsid w:val="004F1564"/>
    <w:rsid w:val="004F50AD"/>
    <w:rsid w:val="004F5319"/>
    <w:rsid w:val="0050122A"/>
    <w:rsid w:val="0051275E"/>
    <w:rsid w:val="00547A6B"/>
    <w:rsid w:val="00561856"/>
    <w:rsid w:val="00582B62"/>
    <w:rsid w:val="0058551A"/>
    <w:rsid w:val="0058759B"/>
    <w:rsid w:val="00590B7F"/>
    <w:rsid w:val="0059256F"/>
    <w:rsid w:val="00594817"/>
    <w:rsid w:val="0059492E"/>
    <w:rsid w:val="005A610F"/>
    <w:rsid w:val="005D7364"/>
    <w:rsid w:val="005E65A7"/>
    <w:rsid w:val="0060144B"/>
    <w:rsid w:val="00605E29"/>
    <w:rsid w:val="00616546"/>
    <w:rsid w:val="00620A6E"/>
    <w:rsid w:val="00623DB1"/>
    <w:rsid w:val="006256ED"/>
    <w:rsid w:val="0067755D"/>
    <w:rsid w:val="006877D5"/>
    <w:rsid w:val="0069086D"/>
    <w:rsid w:val="0069246C"/>
    <w:rsid w:val="006A38DC"/>
    <w:rsid w:val="006A3E79"/>
    <w:rsid w:val="006B6E1C"/>
    <w:rsid w:val="006D24BB"/>
    <w:rsid w:val="006D6A9A"/>
    <w:rsid w:val="006E2498"/>
    <w:rsid w:val="006E5186"/>
    <w:rsid w:val="006E6E06"/>
    <w:rsid w:val="006F1DF0"/>
    <w:rsid w:val="006F77F9"/>
    <w:rsid w:val="007011C6"/>
    <w:rsid w:val="00702203"/>
    <w:rsid w:val="00702C73"/>
    <w:rsid w:val="00704F0F"/>
    <w:rsid w:val="007051F8"/>
    <w:rsid w:val="00710976"/>
    <w:rsid w:val="00720363"/>
    <w:rsid w:val="00742563"/>
    <w:rsid w:val="007427C4"/>
    <w:rsid w:val="00745EE8"/>
    <w:rsid w:val="007536B8"/>
    <w:rsid w:val="007620C1"/>
    <w:rsid w:val="0077297E"/>
    <w:rsid w:val="0077366E"/>
    <w:rsid w:val="007814FF"/>
    <w:rsid w:val="00791B9F"/>
    <w:rsid w:val="00791F9F"/>
    <w:rsid w:val="00793B54"/>
    <w:rsid w:val="007A2025"/>
    <w:rsid w:val="007A3588"/>
    <w:rsid w:val="007A5F06"/>
    <w:rsid w:val="007B0676"/>
    <w:rsid w:val="007B3EA0"/>
    <w:rsid w:val="007B5C9A"/>
    <w:rsid w:val="007D3CE7"/>
    <w:rsid w:val="007E0544"/>
    <w:rsid w:val="007E071D"/>
    <w:rsid w:val="007E2A67"/>
    <w:rsid w:val="007F0716"/>
    <w:rsid w:val="00812713"/>
    <w:rsid w:val="00814171"/>
    <w:rsid w:val="0081439C"/>
    <w:rsid w:val="0083132D"/>
    <w:rsid w:val="0083176E"/>
    <w:rsid w:val="00835340"/>
    <w:rsid w:val="00835F87"/>
    <w:rsid w:val="00851153"/>
    <w:rsid w:val="00856D52"/>
    <w:rsid w:val="008629FE"/>
    <w:rsid w:val="00865C22"/>
    <w:rsid w:val="0086754E"/>
    <w:rsid w:val="008757E4"/>
    <w:rsid w:val="00877B4F"/>
    <w:rsid w:val="00897FD2"/>
    <w:rsid w:val="008A76A9"/>
    <w:rsid w:val="008B0CFA"/>
    <w:rsid w:val="008B4226"/>
    <w:rsid w:val="008C0C0C"/>
    <w:rsid w:val="008C1CC4"/>
    <w:rsid w:val="008C253C"/>
    <w:rsid w:val="008D2F97"/>
    <w:rsid w:val="008D5272"/>
    <w:rsid w:val="008F3D25"/>
    <w:rsid w:val="00900DB3"/>
    <w:rsid w:val="009048DE"/>
    <w:rsid w:val="00923097"/>
    <w:rsid w:val="009320B2"/>
    <w:rsid w:val="00937EDA"/>
    <w:rsid w:val="0096234B"/>
    <w:rsid w:val="00971060"/>
    <w:rsid w:val="00973249"/>
    <w:rsid w:val="0097527A"/>
    <w:rsid w:val="00977411"/>
    <w:rsid w:val="00991598"/>
    <w:rsid w:val="00997E2E"/>
    <w:rsid w:val="009C3766"/>
    <w:rsid w:val="009D2B4A"/>
    <w:rsid w:val="009E04F5"/>
    <w:rsid w:val="009E11B3"/>
    <w:rsid w:val="009E297E"/>
    <w:rsid w:val="009F6378"/>
    <w:rsid w:val="00A15895"/>
    <w:rsid w:val="00A22616"/>
    <w:rsid w:val="00A22B09"/>
    <w:rsid w:val="00A3417B"/>
    <w:rsid w:val="00A3668E"/>
    <w:rsid w:val="00A501EE"/>
    <w:rsid w:val="00A52362"/>
    <w:rsid w:val="00A62CAC"/>
    <w:rsid w:val="00A94BFA"/>
    <w:rsid w:val="00AB03EE"/>
    <w:rsid w:val="00AB053C"/>
    <w:rsid w:val="00AC0058"/>
    <w:rsid w:val="00AC211B"/>
    <w:rsid w:val="00AF6740"/>
    <w:rsid w:val="00B00FD3"/>
    <w:rsid w:val="00B1313C"/>
    <w:rsid w:val="00B21D1F"/>
    <w:rsid w:val="00B26AC6"/>
    <w:rsid w:val="00B30129"/>
    <w:rsid w:val="00B341D2"/>
    <w:rsid w:val="00B42A26"/>
    <w:rsid w:val="00B42FF0"/>
    <w:rsid w:val="00B478E1"/>
    <w:rsid w:val="00B514BA"/>
    <w:rsid w:val="00B54446"/>
    <w:rsid w:val="00B55CBB"/>
    <w:rsid w:val="00B60834"/>
    <w:rsid w:val="00B63886"/>
    <w:rsid w:val="00B64135"/>
    <w:rsid w:val="00B64D14"/>
    <w:rsid w:val="00B7495E"/>
    <w:rsid w:val="00B77D52"/>
    <w:rsid w:val="00B81BAB"/>
    <w:rsid w:val="00B8325F"/>
    <w:rsid w:val="00B849A2"/>
    <w:rsid w:val="00B97280"/>
    <w:rsid w:val="00BA1038"/>
    <w:rsid w:val="00BB07A2"/>
    <w:rsid w:val="00BC082C"/>
    <w:rsid w:val="00BC1DD6"/>
    <w:rsid w:val="00BE753F"/>
    <w:rsid w:val="00BE797C"/>
    <w:rsid w:val="00BF47AD"/>
    <w:rsid w:val="00BF67CC"/>
    <w:rsid w:val="00C00969"/>
    <w:rsid w:val="00C0618C"/>
    <w:rsid w:val="00C10051"/>
    <w:rsid w:val="00C239E5"/>
    <w:rsid w:val="00C26375"/>
    <w:rsid w:val="00C27DF5"/>
    <w:rsid w:val="00C619BB"/>
    <w:rsid w:val="00C74039"/>
    <w:rsid w:val="00CB182E"/>
    <w:rsid w:val="00CB2B79"/>
    <w:rsid w:val="00CC44F8"/>
    <w:rsid w:val="00CC78A9"/>
    <w:rsid w:val="00CD32A9"/>
    <w:rsid w:val="00CD4AE4"/>
    <w:rsid w:val="00CE1726"/>
    <w:rsid w:val="00CE43C9"/>
    <w:rsid w:val="00CF2F37"/>
    <w:rsid w:val="00D02171"/>
    <w:rsid w:val="00D07FEF"/>
    <w:rsid w:val="00D37696"/>
    <w:rsid w:val="00D4309D"/>
    <w:rsid w:val="00D467ED"/>
    <w:rsid w:val="00D535C2"/>
    <w:rsid w:val="00D53FCC"/>
    <w:rsid w:val="00D5411F"/>
    <w:rsid w:val="00D713EA"/>
    <w:rsid w:val="00D764D8"/>
    <w:rsid w:val="00D80976"/>
    <w:rsid w:val="00D854C7"/>
    <w:rsid w:val="00D9211F"/>
    <w:rsid w:val="00D93770"/>
    <w:rsid w:val="00D94865"/>
    <w:rsid w:val="00D95C71"/>
    <w:rsid w:val="00DA0A0B"/>
    <w:rsid w:val="00DA7106"/>
    <w:rsid w:val="00DB40BE"/>
    <w:rsid w:val="00DB4238"/>
    <w:rsid w:val="00DB52B2"/>
    <w:rsid w:val="00DD0BC6"/>
    <w:rsid w:val="00DD120C"/>
    <w:rsid w:val="00DD3325"/>
    <w:rsid w:val="00DE5AA9"/>
    <w:rsid w:val="00E053B6"/>
    <w:rsid w:val="00E13CC2"/>
    <w:rsid w:val="00E14401"/>
    <w:rsid w:val="00E14E60"/>
    <w:rsid w:val="00E51460"/>
    <w:rsid w:val="00E55714"/>
    <w:rsid w:val="00E562A3"/>
    <w:rsid w:val="00E569CB"/>
    <w:rsid w:val="00E61932"/>
    <w:rsid w:val="00E62F34"/>
    <w:rsid w:val="00E66FE3"/>
    <w:rsid w:val="00E671E6"/>
    <w:rsid w:val="00E70924"/>
    <w:rsid w:val="00E72EFA"/>
    <w:rsid w:val="00E732E2"/>
    <w:rsid w:val="00E8483A"/>
    <w:rsid w:val="00E876A2"/>
    <w:rsid w:val="00EA02B3"/>
    <w:rsid w:val="00EA4E80"/>
    <w:rsid w:val="00EA760A"/>
    <w:rsid w:val="00EB06A1"/>
    <w:rsid w:val="00EC025B"/>
    <w:rsid w:val="00EC1525"/>
    <w:rsid w:val="00ED04F7"/>
    <w:rsid w:val="00ED2333"/>
    <w:rsid w:val="00ED2DE1"/>
    <w:rsid w:val="00ED5367"/>
    <w:rsid w:val="00EF50A5"/>
    <w:rsid w:val="00F04DFF"/>
    <w:rsid w:val="00F058F5"/>
    <w:rsid w:val="00F1448B"/>
    <w:rsid w:val="00F14C04"/>
    <w:rsid w:val="00F173A7"/>
    <w:rsid w:val="00F2372C"/>
    <w:rsid w:val="00F26ACE"/>
    <w:rsid w:val="00F40B13"/>
    <w:rsid w:val="00F40F6E"/>
    <w:rsid w:val="00F52B03"/>
    <w:rsid w:val="00F53CBD"/>
    <w:rsid w:val="00F5424D"/>
    <w:rsid w:val="00F56EC6"/>
    <w:rsid w:val="00F579DE"/>
    <w:rsid w:val="00F63405"/>
    <w:rsid w:val="00F6394C"/>
    <w:rsid w:val="00F72A98"/>
    <w:rsid w:val="00F80244"/>
    <w:rsid w:val="00F83BDE"/>
    <w:rsid w:val="00F872E0"/>
    <w:rsid w:val="00F90D75"/>
    <w:rsid w:val="00F91666"/>
    <w:rsid w:val="00F95E52"/>
    <w:rsid w:val="00F9685D"/>
    <w:rsid w:val="00F97423"/>
    <w:rsid w:val="00FC2753"/>
    <w:rsid w:val="00FC42C1"/>
    <w:rsid w:val="00FC5932"/>
    <w:rsid w:val="00FD26B3"/>
    <w:rsid w:val="00FF3C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5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sens">
    <w:name w:val="ssens"/>
    <w:basedOn w:val="DefaultParagraphFont"/>
    <w:rsid w:val="007E0544"/>
  </w:style>
  <w:style w:type="character" w:styleId="Emphasis">
    <w:name w:val="Emphasis"/>
    <w:basedOn w:val="DefaultParagraphFont"/>
    <w:uiPriority w:val="20"/>
    <w:qFormat/>
    <w:rsid w:val="007E0544"/>
    <w:rPr>
      <w:i/>
      <w:iCs/>
    </w:rPr>
  </w:style>
  <w:style w:type="character" w:styleId="Strong">
    <w:name w:val="Strong"/>
    <w:basedOn w:val="DefaultParagraphFont"/>
    <w:uiPriority w:val="22"/>
    <w:qFormat/>
    <w:rsid w:val="007E0544"/>
    <w:rPr>
      <w:b/>
      <w:bCs/>
    </w:rPr>
  </w:style>
  <w:style w:type="paragraph" w:styleId="ListParagraph">
    <w:name w:val="List Paragraph"/>
    <w:basedOn w:val="Normal"/>
    <w:uiPriority w:val="34"/>
    <w:qFormat/>
    <w:rsid w:val="00C619BB"/>
    <w:pPr>
      <w:ind w:left="720"/>
      <w:contextualSpacing/>
    </w:pPr>
    <w:rPr>
      <w:rFonts w:ascii="Times New Roman" w:eastAsia="Calibri" w:hAnsi="Times New Roman" w:cs="Times New Roman"/>
      <w:sz w:val="24"/>
      <w:lang w:val="en-GB"/>
    </w:rPr>
  </w:style>
  <w:style w:type="paragraph" w:styleId="Header">
    <w:name w:val="header"/>
    <w:basedOn w:val="Normal"/>
    <w:link w:val="HeaderChar"/>
    <w:uiPriority w:val="99"/>
    <w:semiHidden/>
    <w:unhideWhenUsed/>
    <w:rsid w:val="007E2A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E2A67"/>
  </w:style>
  <w:style w:type="paragraph" w:styleId="Footer">
    <w:name w:val="footer"/>
    <w:basedOn w:val="Normal"/>
    <w:link w:val="FooterChar"/>
    <w:uiPriority w:val="99"/>
    <w:unhideWhenUsed/>
    <w:rsid w:val="007E2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A67"/>
  </w:style>
  <w:style w:type="paragraph" w:customStyle="1" w:styleId="IPPArial">
    <w:name w:val="IPP Arial"/>
    <w:basedOn w:val="Normal"/>
    <w:qFormat/>
    <w:rsid w:val="007E2A67"/>
    <w:pPr>
      <w:spacing w:after="0" w:line="240" w:lineRule="auto"/>
      <w:jc w:val="both"/>
    </w:pPr>
    <w:rPr>
      <w:rFonts w:ascii="Arial" w:eastAsia="Times" w:hAnsi="Arial" w:cs="Times New Roman"/>
      <w:sz w:val="18"/>
      <w:szCs w:val="20"/>
      <w:lang w:val="en-GB"/>
    </w:rPr>
  </w:style>
  <w:style w:type="paragraph" w:customStyle="1" w:styleId="IPPNormal">
    <w:name w:val="IPP Normal"/>
    <w:basedOn w:val="Normal"/>
    <w:qFormat/>
    <w:rsid w:val="00212E7C"/>
    <w:pPr>
      <w:spacing w:after="180" w:line="240" w:lineRule="auto"/>
      <w:jc w:val="both"/>
    </w:pPr>
    <w:rPr>
      <w:rFonts w:ascii="Times New Roman" w:eastAsia="Times" w:hAnsi="Times New Roman" w:cs="Times New Roman"/>
      <w:szCs w:val="24"/>
      <w:lang w:val="en-GB"/>
    </w:rPr>
  </w:style>
  <w:style w:type="paragraph" w:customStyle="1" w:styleId="IPPNormalCloseSpace">
    <w:name w:val="IPP NormalCloseSpace"/>
    <w:basedOn w:val="Normal"/>
    <w:qFormat/>
    <w:rsid w:val="00212E7C"/>
    <w:pPr>
      <w:keepNext/>
      <w:spacing w:after="60" w:line="240" w:lineRule="auto"/>
      <w:jc w:val="both"/>
    </w:pPr>
    <w:rPr>
      <w:rFonts w:ascii="Times New Roman" w:eastAsia="Times New Roman" w:hAnsi="Times New Roman" w:cs="Times New Roman"/>
      <w:szCs w:val="24"/>
      <w:lang w:val="en-GB"/>
    </w:rPr>
  </w:style>
  <w:style w:type="paragraph" w:customStyle="1" w:styleId="IPPNumberedList">
    <w:name w:val="IPP NumberedList"/>
    <w:basedOn w:val="Normal"/>
    <w:qFormat/>
    <w:rsid w:val="00212E7C"/>
    <w:pPr>
      <w:numPr>
        <w:numId w:val="2"/>
      </w:numPr>
      <w:spacing w:after="60" w:line="240" w:lineRule="auto"/>
      <w:jc w:val="both"/>
    </w:pPr>
    <w:rPr>
      <w:rFonts w:ascii="Times New Roman" w:eastAsia="Times" w:hAnsi="Times New Roman" w:cs="Times New Roman"/>
      <w:szCs w:val="24"/>
    </w:rPr>
  </w:style>
  <w:style w:type="table" w:styleId="TableGrid">
    <w:name w:val="Table Grid"/>
    <w:basedOn w:val="TableNormal"/>
    <w:uiPriority w:val="59"/>
    <w:rsid w:val="00002F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0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976"/>
    <w:rPr>
      <w:rFonts w:ascii="Tahoma" w:hAnsi="Tahoma" w:cs="Tahoma"/>
      <w:sz w:val="16"/>
      <w:szCs w:val="16"/>
    </w:rPr>
  </w:style>
  <w:style w:type="paragraph" w:customStyle="1" w:styleId="Default">
    <w:name w:val="Default"/>
    <w:rsid w:val="006F77F9"/>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2407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070D"/>
    <w:rPr>
      <w:sz w:val="20"/>
      <w:szCs w:val="20"/>
    </w:rPr>
  </w:style>
  <w:style w:type="character" w:styleId="FootnoteReference">
    <w:name w:val="footnote reference"/>
    <w:basedOn w:val="DefaultParagraphFont"/>
    <w:uiPriority w:val="99"/>
    <w:semiHidden/>
    <w:unhideWhenUsed/>
    <w:rsid w:val="0024070D"/>
    <w:rPr>
      <w:vertAlign w:val="superscript"/>
    </w:rPr>
  </w:style>
  <w:style w:type="character" w:customStyle="1" w:styleId="ssens2">
    <w:name w:val="ssens2"/>
    <w:basedOn w:val="DefaultParagraphFont"/>
    <w:rsid w:val="000133E3"/>
  </w:style>
  <w:style w:type="character" w:customStyle="1" w:styleId="vi">
    <w:name w:val="vi"/>
    <w:basedOn w:val="DefaultParagraphFont"/>
    <w:rsid w:val="000133E3"/>
  </w:style>
  <w:style w:type="character" w:customStyle="1" w:styleId="definition">
    <w:name w:val="definition"/>
    <w:basedOn w:val="DefaultParagraphFont"/>
    <w:rsid w:val="000133E3"/>
  </w:style>
</w:styles>
</file>

<file path=word/webSettings.xml><?xml version="1.0" encoding="utf-8"?>
<w:webSettings xmlns:r="http://schemas.openxmlformats.org/officeDocument/2006/relationships" xmlns:w="http://schemas.openxmlformats.org/wordprocessingml/2006/main">
  <w:divs>
    <w:div w:id="90782957">
      <w:bodyDiv w:val="1"/>
      <w:marLeft w:val="0"/>
      <w:marRight w:val="0"/>
      <w:marTop w:val="0"/>
      <w:marBottom w:val="0"/>
      <w:divBdr>
        <w:top w:val="none" w:sz="0" w:space="0" w:color="auto"/>
        <w:left w:val="none" w:sz="0" w:space="0" w:color="auto"/>
        <w:bottom w:val="none" w:sz="0" w:space="0" w:color="auto"/>
        <w:right w:val="none" w:sz="0" w:space="0" w:color="auto"/>
      </w:divBdr>
      <w:divsChild>
        <w:div w:id="863785496">
          <w:marLeft w:val="0"/>
          <w:marRight w:val="0"/>
          <w:marTop w:val="0"/>
          <w:marBottom w:val="300"/>
          <w:divBdr>
            <w:top w:val="none" w:sz="0" w:space="0" w:color="auto"/>
            <w:left w:val="none" w:sz="0" w:space="0" w:color="auto"/>
            <w:bottom w:val="none" w:sz="0" w:space="0" w:color="auto"/>
            <w:right w:val="none" w:sz="0" w:space="0" w:color="auto"/>
          </w:divBdr>
          <w:divsChild>
            <w:div w:id="1988125718">
              <w:marLeft w:val="0"/>
              <w:marRight w:val="0"/>
              <w:marTop w:val="0"/>
              <w:marBottom w:val="0"/>
              <w:divBdr>
                <w:top w:val="none" w:sz="0" w:space="0" w:color="auto"/>
                <w:left w:val="none" w:sz="0" w:space="0" w:color="auto"/>
                <w:bottom w:val="none" w:sz="0" w:space="0" w:color="auto"/>
                <w:right w:val="none" w:sz="0" w:space="0" w:color="auto"/>
              </w:divBdr>
              <w:divsChild>
                <w:div w:id="1879078666">
                  <w:marLeft w:val="2220"/>
                  <w:marRight w:val="0"/>
                  <w:marTop w:val="0"/>
                  <w:marBottom w:val="0"/>
                  <w:divBdr>
                    <w:top w:val="none" w:sz="0" w:space="0" w:color="auto"/>
                    <w:left w:val="none" w:sz="0" w:space="0" w:color="auto"/>
                    <w:bottom w:val="none" w:sz="0" w:space="0" w:color="auto"/>
                    <w:right w:val="none" w:sz="0" w:space="0" w:color="auto"/>
                  </w:divBdr>
                  <w:divsChild>
                    <w:div w:id="1419323037">
                      <w:marLeft w:val="0"/>
                      <w:marRight w:val="0"/>
                      <w:marTop w:val="0"/>
                      <w:marBottom w:val="0"/>
                      <w:divBdr>
                        <w:top w:val="none" w:sz="0" w:space="0" w:color="auto"/>
                        <w:left w:val="none" w:sz="0" w:space="0" w:color="auto"/>
                        <w:bottom w:val="none" w:sz="0" w:space="0" w:color="auto"/>
                        <w:right w:val="none" w:sz="0" w:space="0" w:color="auto"/>
                      </w:divBdr>
                      <w:divsChild>
                        <w:div w:id="1793665536">
                          <w:marLeft w:val="0"/>
                          <w:marRight w:val="0"/>
                          <w:marTop w:val="0"/>
                          <w:marBottom w:val="0"/>
                          <w:divBdr>
                            <w:top w:val="none" w:sz="0" w:space="0" w:color="auto"/>
                            <w:left w:val="none" w:sz="0" w:space="0" w:color="auto"/>
                            <w:bottom w:val="none" w:sz="0" w:space="0" w:color="auto"/>
                            <w:right w:val="none" w:sz="0" w:space="0" w:color="auto"/>
                          </w:divBdr>
                          <w:divsChild>
                            <w:div w:id="1158230229">
                              <w:marLeft w:val="0"/>
                              <w:marRight w:val="0"/>
                              <w:marTop w:val="0"/>
                              <w:marBottom w:val="0"/>
                              <w:divBdr>
                                <w:top w:val="none" w:sz="0" w:space="0" w:color="auto"/>
                                <w:left w:val="none" w:sz="0" w:space="0" w:color="auto"/>
                                <w:bottom w:val="none" w:sz="0" w:space="0" w:color="auto"/>
                                <w:right w:val="none" w:sz="0" w:space="0" w:color="auto"/>
                              </w:divBdr>
                              <w:divsChild>
                                <w:div w:id="1899778746">
                                  <w:marLeft w:val="0"/>
                                  <w:marRight w:val="0"/>
                                  <w:marTop w:val="0"/>
                                  <w:marBottom w:val="0"/>
                                  <w:divBdr>
                                    <w:top w:val="none" w:sz="0" w:space="0" w:color="auto"/>
                                    <w:left w:val="none" w:sz="0" w:space="0" w:color="auto"/>
                                    <w:bottom w:val="none" w:sz="0" w:space="0" w:color="auto"/>
                                    <w:right w:val="none" w:sz="0" w:space="0" w:color="auto"/>
                                  </w:divBdr>
                                  <w:divsChild>
                                    <w:div w:id="1490515249">
                                      <w:marLeft w:val="0"/>
                                      <w:marRight w:val="0"/>
                                      <w:marTop w:val="0"/>
                                      <w:marBottom w:val="0"/>
                                      <w:divBdr>
                                        <w:top w:val="none" w:sz="0" w:space="0" w:color="auto"/>
                                        <w:left w:val="none" w:sz="0" w:space="0" w:color="auto"/>
                                        <w:bottom w:val="none" w:sz="0" w:space="0" w:color="auto"/>
                                        <w:right w:val="none" w:sz="0" w:space="0" w:color="auto"/>
                                      </w:divBdr>
                                      <w:divsChild>
                                        <w:div w:id="1272590101">
                                          <w:marLeft w:val="0"/>
                                          <w:marRight w:val="0"/>
                                          <w:marTop w:val="0"/>
                                          <w:marBottom w:val="0"/>
                                          <w:divBdr>
                                            <w:top w:val="none" w:sz="0" w:space="0" w:color="auto"/>
                                            <w:left w:val="none" w:sz="0" w:space="0" w:color="auto"/>
                                            <w:bottom w:val="none" w:sz="0" w:space="0" w:color="auto"/>
                                            <w:right w:val="none" w:sz="0" w:space="0" w:color="auto"/>
                                          </w:divBdr>
                                          <w:divsChild>
                                            <w:div w:id="1977954343">
                                              <w:marLeft w:val="0"/>
                                              <w:marRight w:val="0"/>
                                              <w:marTop w:val="0"/>
                                              <w:marBottom w:val="0"/>
                                              <w:divBdr>
                                                <w:top w:val="none" w:sz="0" w:space="0" w:color="auto"/>
                                                <w:left w:val="none" w:sz="0" w:space="0" w:color="auto"/>
                                                <w:bottom w:val="none" w:sz="0" w:space="0" w:color="auto"/>
                                                <w:right w:val="none" w:sz="0" w:space="0" w:color="auto"/>
                                              </w:divBdr>
                                              <w:divsChild>
                                                <w:div w:id="693581080">
                                                  <w:marLeft w:val="0"/>
                                                  <w:marRight w:val="0"/>
                                                  <w:marTop w:val="0"/>
                                                  <w:marBottom w:val="0"/>
                                                  <w:divBdr>
                                                    <w:top w:val="none" w:sz="0" w:space="0" w:color="auto"/>
                                                    <w:left w:val="none" w:sz="0" w:space="0" w:color="auto"/>
                                                    <w:bottom w:val="none" w:sz="0" w:space="0" w:color="auto"/>
                                                    <w:right w:val="none" w:sz="0" w:space="0" w:color="auto"/>
                                                  </w:divBdr>
                                                  <w:divsChild>
                                                    <w:div w:id="1194077608">
                                                      <w:marLeft w:val="0"/>
                                                      <w:marRight w:val="0"/>
                                                      <w:marTop w:val="0"/>
                                                      <w:marBottom w:val="0"/>
                                                      <w:divBdr>
                                                        <w:top w:val="none" w:sz="0" w:space="0" w:color="auto"/>
                                                        <w:left w:val="none" w:sz="0" w:space="0" w:color="auto"/>
                                                        <w:bottom w:val="none" w:sz="0" w:space="0" w:color="auto"/>
                                                        <w:right w:val="none" w:sz="0" w:space="0" w:color="auto"/>
                                                      </w:divBdr>
                                                      <w:divsChild>
                                                        <w:div w:id="1063483996">
                                                          <w:marLeft w:val="0"/>
                                                          <w:marRight w:val="0"/>
                                                          <w:marTop w:val="0"/>
                                                          <w:marBottom w:val="0"/>
                                                          <w:divBdr>
                                                            <w:top w:val="none" w:sz="0" w:space="0" w:color="auto"/>
                                                            <w:left w:val="none" w:sz="0" w:space="0" w:color="auto"/>
                                                            <w:bottom w:val="none" w:sz="0" w:space="0" w:color="auto"/>
                                                            <w:right w:val="none" w:sz="0" w:space="0" w:color="auto"/>
                                                          </w:divBdr>
                                                          <w:divsChild>
                                                            <w:div w:id="1037705130">
                                                              <w:marLeft w:val="0"/>
                                                              <w:marRight w:val="0"/>
                                                              <w:marTop w:val="0"/>
                                                              <w:marBottom w:val="0"/>
                                                              <w:divBdr>
                                                                <w:top w:val="none" w:sz="0" w:space="0" w:color="auto"/>
                                                                <w:left w:val="none" w:sz="0" w:space="0" w:color="auto"/>
                                                                <w:bottom w:val="none" w:sz="0" w:space="0" w:color="auto"/>
                                                                <w:right w:val="none" w:sz="0" w:space="0" w:color="auto"/>
                                                              </w:divBdr>
                                                              <w:divsChild>
                                                                <w:div w:id="906307882">
                                                                  <w:marLeft w:val="0"/>
                                                                  <w:marRight w:val="0"/>
                                                                  <w:marTop w:val="0"/>
                                                                  <w:marBottom w:val="0"/>
                                                                  <w:divBdr>
                                                                    <w:top w:val="none" w:sz="0" w:space="0" w:color="auto"/>
                                                                    <w:left w:val="none" w:sz="0" w:space="0" w:color="auto"/>
                                                                    <w:bottom w:val="none" w:sz="0" w:space="0" w:color="auto"/>
                                                                    <w:right w:val="none" w:sz="0" w:space="0" w:color="auto"/>
                                                                  </w:divBdr>
                                                                  <w:divsChild>
                                                                    <w:div w:id="1314333453">
                                                                      <w:marLeft w:val="0"/>
                                                                      <w:marRight w:val="0"/>
                                                                      <w:marTop w:val="0"/>
                                                                      <w:marBottom w:val="0"/>
                                                                      <w:divBdr>
                                                                        <w:top w:val="none" w:sz="0" w:space="0" w:color="auto"/>
                                                                        <w:left w:val="none" w:sz="0" w:space="0" w:color="auto"/>
                                                                        <w:bottom w:val="none" w:sz="0" w:space="0" w:color="auto"/>
                                                                        <w:right w:val="none" w:sz="0" w:space="0" w:color="auto"/>
                                                                      </w:divBdr>
                                                                      <w:divsChild>
                                                                        <w:div w:id="1009677556">
                                                                          <w:marLeft w:val="0"/>
                                                                          <w:marRight w:val="0"/>
                                                                          <w:marTop w:val="0"/>
                                                                          <w:marBottom w:val="0"/>
                                                                          <w:divBdr>
                                                                            <w:top w:val="none" w:sz="0" w:space="0" w:color="auto"/>
                                                                            <w:left w:val="none" w:sz="0" w:space="0" w:color="auto"/>
                                                                            <w:bottom w:val="none" w:sz="0" w:space="0" w:color="auto"/>
                                                                            <w:right w:val="none" w:sz="0" w:space="0" w:color="auto"/>
                                                                          </w:divBdr>
                                                                          <w:divsChild>
                                                                            <w:div w:id="1760564302">
                                                                              <w:marLeft w:val="0"/>
                                                                              <w:marRight w:val="0"/>
                                                                              <w:marTop w:val="0"/>
                                                                              <w:marBottom w:val="0"/>
                                                                              <w:divBdr>
                                                                                <w:top w:val="none" w:sz="0" w:space="0" w:color="auto"/>
                                                                                <w:left w:val="none" w:sz="0" w:space="0" w:color="auto"/>
                                                                                <w:bottom w:val="none" w:sz="0" w:space="0" w:color="auto"/>
                                                                                <w:right w:val="none" w:sz="0" w:space="0" w:color="auto"/>
                                                                              </w:divBdr>
                                                                              <w:divsChild>
                                                                                <w:div w:id="1786077447">
                                                                                  <w:marLeft w:val="300"/>
                                                                                  <w:marRight w:val="0"/>
                                                                                  <w:marTop w:val="0"/>
                                                                                  <w:marBottom w:val="150"/>
                                                                                  <w:divBdr>
                                                                                    <w:top w:val="none" w:sz="0" w:space="0" w:color="auto"/>
                                                                                    <w:left w:val="none" w:sz="0" w:space="0" w:color="auto"/>
                                                                                    <w:bottom w:val="none" w:sz="0" w:space="0" w:color="auto"/>
                                                                                    <w:right w:val="none" w:sz="0" w:space="0" w:color="auto"/>
                                                                                  </w:divBdr>
                                                                                </w:div>
                                                                              </w:divsChild>
                                                                            </w:div>
                                                                            <w:div w:id="1703440006">
                                                                              <w:marLeft w:val="0"/>
                                                                              <w:marRight w:val="0"/>
                                                                              <w:marTop w:val="0"/>
                                                                              <w:marBottom w:val="0"/>
                                                                              <w:divBdr>
                                                                                <w:top w:val="none" w:sz="0" w:space="0" w:color="auto"/>
                                                                                <w:left w:val="none" w:sz="0" w:space="0" w:color="auto"/>
                                                                                <w:bottom w:val="none" w:sz="0" w:space="0" w:color="auto"/>
                                                                                <w:right w:val="none" w:sz="0" w:space="0" w:color="auto"/>
                                                                              </w:divBdr>
                                                                              <w:divsChild>
                                                                                <w:div w:id="1886673811">
                                                                                  <w:marLeft w:val="0"/>
                                                                                  <w:marRight w:val="0"/>
                                                                                  <w:marTop w:val="0"/>
                                                                                  <w:marBottom w:val="0"/>
                                                                                  <w:divBdr>
                                                                                    <w:top w:val="none" w:sz="0" w:space="0" w:color="auto"/>
                                                                                    <w:left w:val="none" w:sz="0" w:space="0" w:color="auto"/>
                                                                                    <w:bottom w:val="none" w:sz="0" w:space="0" w:color="auto"/>
                                                                                    <w:right w:val="none" w:sz="0" w:space="0" w:color="auto"/>
                                                                                  </w:divBdr>
                                                                                </w:div>
                                                                                <w:div w:id="786510934">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900554">
      <w:bodyDiv w:val="1"/>
      <w:marLeft w:val="0"/>
      <w:marRight w:val="0"/>
      <w:marTop w:val="0"/>
      <w:marBottom w:val="0"/>
      <w:divBdr>
        <w:top w:val="none" w:sz="0" w:space="0" w:color="auto"/>
        <w:left w:val="none" w:sz="0" w:space="0" w:color="auto"/>
        <w:bottom w:val="none" w:sz="0" w:space="0" w:color="auto"/>
        <w:right w:val="none" w:sz="0" w:space="0" w:color="auto"/>
      </w:divBdr>
      <w:divsChild>
        <w:div w:id="131673655">
          <w:marLeft w:val="0"/>
          <w:marRight w:val="0"/>
          <w:marTop w:val="0"/>
          <w:marBottom w:val="0"/>
          <w:divBdr>
            <w:top w:val="none" w:sz="0" w:space="0" w:color="auto"/>
            <w:left w:val="none" w:sz="0" w:space="0" w:color="auto"/>
            <w:bottom w:val="none" w:sz="0" w:space="0" w:color="auto"/>
            <w:right w:val="none" w:sz="0" w:space="0" w:color="auto"/>
          </w:divBdr>
          <w:divsChild>
            <w:div w:id="1786922208">
              <w:marLeft w:val="0"/>
              <w:marRight w:val="0"/>
              <w:marTop w:val="0"/>
              <w:marBottom w:val="0"/>
              <w:divBdr>
                <w:top w:val="none" w:sz="0" w:space="0" w:color="auto"/>
                <w:left w:val="none" w:sz="0" w:space="0" w:color="auto"/>
                <w:bottom w:val="none" w:sz="0" w:space="0" w:color="auto"/>
                <w:right w:val="none" w:sz="0" w:space="0" w:color="auto"/>
              </w:divBdr>
            </w:div>
            <w:div w:id="153808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6B558F-4F58-4F7D-90DA-E8DDC9BD0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913</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6106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Fedchock</dc:creator>
  <cp:lastModifiedBy>Johanna Gardesten (AGPM)</cp:lastModifiedBy>
  <cp:revision>5</cp:revision>
  <cp:lastPrinted>2013-06-10T17:07:00Z</cp:lastPrinted>
  <dcterms:created xsi:type="dcterms:W3CDTF">2013-06-11T06:23:00Z</dcterms:created>
  <dcterms:modified xsi:type="dcterms:W3CDTF">2013-08-08T13:34:00Z</dcterms:modified>
</cp:coreProperties>
</file>