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A4D34" w:rsidTr="005A1356">
        <w:trPr>
          <w:trHeight w:val="2880"/>
          <w:jc w:val="center"/>
        </w:trPr>
        <w:tc>
          <w:tcPr>
            <w:tcW w:w="5000" w:type="pct"/>
          </w:tcPr>
          <w:p w:rsidR="009A4D34" w:rsidRDefault="009A4D34" w:rsidP="005A1356">
            <w:pPr>
              <w:pStyle w:val="NoSpacing"/>
              <w:jc w:val="center"/>
              <w:rPr>
                <w:rFonts w:ascii="Cambria" w:hAnsi="Cambria"/>
                <w:caps/>
              </w:rPr>
            </w:pPr>
            <w:r>
              <w:rPr>
                <w:rFonts w:ascii="Cambria" w:hAnsi="Cambria"/>
                <w:caps/>
              </w:rPr>
              <w:t>International plant protection convention</w:t>
            </w:r>
          </w:p>
        </w:tc>
      </w:tr>
      <w:tr w:rsidR="009A4D34" w:rsidTr="005A1356">
        <w:trPr>
          <w:trHeight w:val="1440"/>
          <w:jc w:val="center"/>
        </w:trPr>
        <w:tc>
          <w:tcPr>
            <w:tcW w:w="5000" w:type="pct"/>
            <w:tcBorders>
              <w:bottom w:val="single" w:sz="4" w:space="0" w:color="4F81BD"/>
            </w:tcBorders>
            <w:vAlign w:val="center"/>
          </w:tcPr>
          <w:p w:rsidR="009A4D34" w:rsidRDefault="009A4D34" w:rsidP="005A1356">
            <w:pPr>
              <w:pStyle w:val="NoSpacing"/>
              <w:jc w:val="center"/>
              <w:rPr>
                <w:rFonts w:ascii="Cambria" w:hAnsi="Cambria"/>
                <w:sz w:val="80"/>
                <w:szCs w:val="80"/>
              </w:rPr>
            </w:pPr>
            <w:r>
              <w:rPr>
                <w:rFonts w:ascii="Cambria" w:hAnsi="Cambria"/>
                <w:sz w:val="80"/>
                <w:szCs w:val="80"/>
              </w:rPr>
              <w:t>Manual on Equivalence between pest risk management measures</w:t>
            </w:r>
          </w:p>
        </w:tc>
        <w:bookmarkStart w:id="0" w:name="_GoBack"/>
        <w:bookmarkEnd w:id="0"/>
      </w:tr>
      <w:tr w:rsidR="009A4D34" w:rsidTr="005A1356">
        <w:trPr>
          <w:trHeight w:val="720"/>
          <w:jc w:val="center"/>
        </w:trPr>
        <w:tc>
          <w:tcPr>
            <w:tcW w:w="5000" w:type="pct"/>
            <w:tcBorders>
              <w:top w:val="single" w:sz="4" w:space="0" w:color="4F81BD"/>
            </w:tcBorders>
            <w:vAlign w:val="center"/>
          </w:tcPr>
          <w:p w:rsidR="009A4D34" w:rsidRDefault="00FD2526" w:rsidP="00341387">
            <w:pPr>
              <w:pStyle w:val="NoSpacing"/>
              <w:jc w:val="center"/>
              <w:rPr>
                <w:rFonts w:ascii="Cambria" w:hAnsi="Cambria"/>
                <w:sz w:val="44"/>
                <w:szCs w:val="44"/>
              </w:rPr>
            </w:pPr>
            <w:r>
              <w:rPr>
                <w:rFonts w:ascii="Cambria" w:hAnsi="Cambria"/>
                <w:sz w:val="44"/>
                <w:szCs w:val="44"/>
              </w:rPr>
              <w:t>Draft version 28</w:t>
            </w:r>
            <w:r w:rsidR="00341387">
              <w:rPr>
                <w:rFonts w:ascii="Cambria" w:hAnsi="Cambria"/>
                <w:sz w:val="44"/>
                <w:szCs w:val="44"/>
              </w:rPr>
              <w:t xml:space="preserve"> April</w:t>
            </w:r>
            <w:r w:rsidR="009A4D34">
              <w:rPr>
                <w:rFonts w:ascii="Cambria" w:hAnsi="Cambria"/>
                <w:sz w:val="44"/>
                <w:szCs w:val="44"/>
              </w:rPr>
              <w:t xml:space="preserve"> 2012</w:t>
            </w:r>
          </w:p>
        </w:tc>
      </w:tr>
      <w:tr w:rsidR="009A4D34" w:rsidTr="005A1356">
        <w:trPr>
          <w:trHeight w:val="360"/>
          <w:jc w:val="center"/>
        </w:trPr>
        <w:tc>
          <w:tcPr>
            <w:tcW w:w="5000" w:type="pct"/>
            <w:vAlign w:val="center"/>
          </w:tcPr>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Default="009A4D34" w:rsidP="005A1356">
            <w:pPr>
              <w:pStyle w:val="NoSpacing"/>
              <w:jc w:val="center"/>
            </w:pPr>
          </w:p>
          <w:p w:rsidR="009A4D34" w:rsidRPr="00D94AB8" w:rsidRDefault="009A4D34" w:rsidP="005A1356">
            <w:pPr>
              <w:pStyle w:val="NoSpacing"/>
              <w:jc w:val="center"/>
            </w:pPr>
          </w:p>
        </w:tc>
      </w:tr>
      <w:tr w:rsidR="009A4D34" w:rsidTr="005A1356">
        <w:trPr>
          <w:trHeight w:val="360"/>
          <w:jc w:val="center"/>
        </w:trPr>
        <w:tc>
          <w:tcPr>
            <w:tcW w:w="5000" w:type="pct"/>
            <w:vAlign w:val="center"/>
          </w:tcPr>
          <w:p w:rsidR="009A4D34" w:rsidRDefault="004E1244" w:rsidP="005A1356">
            <w:pPr>
              <w:pStyle w:val="NoSpacing"/>
              <w:jc w:val="center"/>
              <w:rPr>
                <w:b/>
                <w:bCs/>
              </w:rPr>
            </w:pPr>
            <w:r>
              <w:rPr>
                <w:b/>
                <w:bCs/>
              </w:rPr>
              <w:t>Draft v2012042</w:t>
            </w:r>
            <w:r w:rsidR="00387D09">
              <w:rPr>
                <w:b/>
                <w:bCs/>
              </w:rPr>
              <w:t>8</w:t>
            </w:r>
          </w:p>
          <w:p w:rsidR="009A4D34" w:rsidRDefault="00F17840" w:rsidP="005A1356">
            <w:pPr>
              <w:pStyle w:val="NoSpacing"/>
              <w:jc w:val="center"/>
              <w:rPr>
                <w:b/>
                <w:bCs/>
              </w:rPr>
            </w:pPr>
            <w:r>
              <w:rPr>
                <w:b/>
                <w:bCs/>
              </w:rPr>
              <w:t>M. Megan Quinlan</w:t>
            </w:r>
          </w:p>
          <w:p w:rsidR="009A4D34" w:rsidRDefault="00F17840" w:rsidP="005A1356">
            <w:pPr>
              <w:pStyle w:val="NoSpacing"/>
              <w:jc w:val="center"/>
              <w:rPr>
                <w:b/>
                <w:bCs/>
              </w:rPr>
            </w:pPr>
            <w:r>
              <w:rPr>
                <w:b/>
                <w:bCs/>
              </w:rPr>
              <w:t>Research Fellow</w:t>
            </w:r>
          </w:p>
          <w:p w:rsidR="009A4D34" w:rsidRDefault="00F17840" w:rsidP="005A1356">
            <w:pPr>
              <w:pStyle w:val="NoSpacing"/>
              <w:jc w:val="center"/>
              <w:rPr>
                <w:b/>
                <w:bCs/>
              </w:rPr>
            </w:pPr>
            <w:r>
              <w:rPr>
                <w:b/>
                <w:bCs/>
              </w:rPr>
              <w:t>Imperial College London</w:t>
            </w:r>
          </w:p>
          <w:p w:rsidR="009A4D34" w:rsidRDefault="009A4D34" w:rsidP="005A1356">
            <w:pPr>
              <w:pStyle w:val="NoSpacing"/>
              <w:jc w:val="center"/>
              <w:rPr>
                <w:b/>
                <w:bCs/>
              </w:rPr>
            </w:pPr>
          </w:p>
          <w:p w:rsidR="009A4D34" w:rsidRPr="00D94AB8" w:rsidRDefault="009A4D34" w:rsidP="005A1356">
            <w:pPr>
              <w:pStyle w:val="NoSpacing"/>
              <w:jc w:val="center"/>
              <w:rPr>
                <w:b/>
                <w:bCs/>
              </w:rPr>
            </w:pPr>
          </w:p>
        </w:tc>
      </w:tr>
      <w:tr w:rsidR="009A4D34" w:rsidTr="005A1356">
        <w:trPr>
          <w:trHeight w:val="360"/>
          <w:jc w:val="center"/>
        </w:trPr>
        <w:tc>
          <w:tcPr>
            <w:tcW w:w="5000" w:type="pct"/>
            <w:vAlign w:val="center"/>
          </w:tcPr>
          <w:p w:rsidR="009A4D34" w:rsidRPr="00D94AB8" w:rsidRDefault="009A4D34" w:rsidP="005A1356">
            <w:pPr>
              <w:pStyle w:val="NoSpacing"/>
              <w:jc w:val="center"/>
              <w:rPr>
                <w:b/>
                <w:bCs/>
              </w:rPr>
            </w:pPr>
          </w:p>
        </w:tc>
      </w:tr>
    </w:tbl>
    <w:p w:rsidR="009A4D34" w:rsidRDefault="009A4D34" w:rsidP="009A4D34"/>
    <w:p w:rsidR="009A4D34" w:rsidRDefault="009A4D34" w:rsidP="009A4D34"/>
    <w:tbl>
      <w:tblPr>
        <w:tblpPr w:leftFromText="187" w:rightFromText="187" w:horzAnchor="margin" w:tblpYSpec="bottom"/>
        <w:tblW w:w="5000" w:type="pct"/>
        <w:tblLook w:val="04A0" w:firstRow="1" w:lastRow="0" w:firstColumn="1" w:lastColumn="0" w:noHBand="0" w:noVBand="1"/>
      </w:tblPr>
      <w:tblGrid>
        <w:gridCol w:w="9242"/>
      </w:tblGrid>
      <w:tr w:rsidR="009A4D34" w:rsidTr="005A1356">
        <w:tc>
          <w:tcPr>
            <w:tcW w:w="5000" w:type="pct"/>
          </w:tcPr>
          <w:p w:rsidR="009A4D34" w:rsidRDefault="009A4D34" w:rsidP="005A1356">
            <w:pPr>
              <w:pStyle w:val="NoSpacing"/>
              <w:jc w:val="both"/>
            </w:pPr>
          </w:p>
          <w:p w:rsidR="009A4D34" w:rsidRDefault="009A4D34" w:rsidP="005A1356">
            <w:pPr>
              <w:pStyle w:val="NoSpacing"/>
              <w:jc w:val="both"/>
            </w:pPr>
          </w:p>
          <w:p w:rsidR="009A4D34" w:rsidRDefault="009A4D34" w:rsidP="005A1356">
            <w:pPr>
              <w:pStyle w:val="NoSpacing"/>
              <w:jc w:val="both"/>
            </w:pPr>
          </w:p>
          <w:p w:rsidR="009A4D34" w:rsidRDefault="009A4D34" w:rsidP="005A1356">
            <w:pPr>
              <w:pStyle w:val="NoSpacing"/>
              <w:jc w:val="both"/>
            </w:pPr>
          </w:p>
          <w:p w:rsidR="009A4D34" w:rsidRDefault="009A4D34" w:rsidP="005A1356">
            <w:pPr>
              <w:pStyle w:val="NoSpacing"/>
              <w:jc w:val="both"/>
            </w:pPr>
          </w:p>
          <w:p w:rsidR="009A4D34" w:rsidRPr="00D94AB8" w:rsidRDefault="009A4D34" w:rsidP="005A1356">
            <w:pPr>
              <w:pStyle w:val="NoSpacing"/>
              <w:jc w:val="both"/>
            </w:pPr>
          </w:p>
        </w:tc>
      </w:tr>
    </w:tbl>
    <w:sdt>
      <w:sdtPr>
        <w:rPr>
          <w:rFonts w:asciiTheme="minorHAnsi" w:eastAsiaTheme="minorHAnsi" w:hAnsiTheme="minorHAnsi" w:cstheme="minorBidi"/>
          <w:b w:val="0"/>
          <w:bCs w:val="0"/>
          <w:color w:val="auto"/>
          <w:sz w:val="22"/>
          <w:szCs w:val="22"/>
        </w:rPr>
        <w:id w:val="-1215422562"/>
        <w:docPartObj>
          <w:docPartGallery w:val="Table of Contents"/>
          <w:docPartUnique/>
        </w:docPartObj>
      </w:sdtPr>
      <w:sdtEndPr>
        <w:rPr>
          <w:rFonts w:ascii="Times New Roman" w:hAnsi="Times New Roman"/>
          <w:noProof/>
        </w:rPr>
      </w:sdtEndPr>
      <w:sdtContent>
        <w:p w:rsidR="001B11E8" w:rsidRDefault="001B11E8">
          <w:pPr>
            <w:pStyle w:val="TOCHeading"/>
          </w:pPr>
          <w:r>
            <w:t>Table of Contents</w:t>
          </w:r>
        </w:p>
        <w:p w:rsidR="00E63A73" w:rsidRDefault="00111FDD">
          <w:pPr>
            <w:pStyle w:val="TOC1"/>
            <w:tabs>
              <w:tab w:val="right" w:pos="9016"/>
            </w:tabs>
            <w:rPr>
              <w:rFonts w:asciiTheme="minorHAnsi" w:eastAsiaTheme="minorEastAsia" w:hAnsiTheme="minorHAnsi" w:cstheme="minorBidi"/>
              <w:b w:val="0"/>
              <w:bCs w:val="0"/>
              <w:noProof/>
              <w:sz w:val="22"/>
              <w:szCs w:val="22"/>
              <w:lang w:eastAsia="en-GB"/>
            </w:rPr>
          </w:pPr>
          <w:r>
            <w:fldChar w:fldCharType="begin"/>
          </w:r>
          <w:r w:rsidR="001B11E8">
            <w:instrText xml:space="preserve"> TOC \o "1-3" \h \z \u </w:instrText>
          </w:r>
          <w:r>
            <w:fldChar w:fldCharType="separate"/>
          </w:r>
          <w:hyperlink w:anchor="_Toc323132087" w:history="1">
            <w:r w:rsidR="00E63A73" w:rsidRPr="00D92799">
              <w:rPr>
                <w:rStyle w:val="Hyperlink"/>
                <w:noProof/>
              </w:rPr>
              <w:t>Acronyms</w:t>
            </w:r>
            <w:r w:rsidR="00E63A73">
              <w:rPr>
                <w:noProof/>
                <w:webHidden/>
              </w:rPr>
              <w:tab/>
            </w:r>
            <w:r>
              <w:rPr>
                <w:noProof/>
                <w:webHidden/>
              </w:rPr>
              <w:fldChar w:fldCharType="begin"/>
            </w:r>
            <w:r w:rsidR="00E63A73">
              <w:rPr>
                <w:noProof/>
                <w:webHidden/>
              </w:rPr>
              <w:instrText xml:space="preserve"> PAGEREF _Toc323132087 \h </w:instrText>
            </w:r>
            <w:r>
              <w:rPr>
                <w:noProof/>
                <w:webHidden/>
              </w:rPr>
            </w:r>
            <w:r>
              <w:rPr>
                <w:noProof/>
                <w:webHidden/>
              </w:rPr>
              <w:fldChar w:fldCharType="separate"/>
            </w:r>
            <w:r w:rsidR="00F11AC6">
              <w:rPr>
                <w:noProof/>
                <w:webHidden/>
              </w:rPr>
              <w:t>4</w:t>
            </w:r>
            <w:r>
              <w:rPr>
                <w:noProof/>
                <w:webHidden/>
              </w:rPr>
              <w:fldChar w:fldCharType="end"/>
            </w:r>
          </w:hyperlink>
        </w:p>
        <w:p w:rsidR="00E63A73" w:rsidRDefault="003D712E">
          <w:pPr>
            <w:pStyle w:val="TOC1"/>
            <w:tabs>
              <w:tab w:val="right" w:pos="9016"/>
            </w:tabs>
            <w:rPr>
              <w:rFonts w:asciiTheme="minorHAnsi" w:eastAsiaTheme="minorEastAsia" w:hAnsiTheme="minorHAnsi" w:cstheme="minorBidi"/>
              <w:b w:val="0"/>
              <w:bCs w:val="0"/>
              <w:noProof/>
              <w:sz w:val="22"/>
              <w:szCs w:val="22"/>
              <w:lang w:eastAsia="en-GB"/>
            </w:rPr>
          </w:pPr>
          <w:hyperlink w:anchor="_Toc323132088" w:history="1">
            <w:r w:rsidR="00E63A73" w:rsidRPr="00D92799">
              <w:rPr>
                <w:rStyle w:val="Hyperlink"/>
                <w:noProof/>
              </w:rPr>
              <w:t>Glossary of Terms</w:t>
            </w:r>
            <w:r w:rsidR="00E63A73">
              <w:rPr>
                <w:noProof/>
                <w:webHidden/>
              </w:rPr>
              <w:tab/>
            </w:r>
            <w:r w:rsidR="00111FDD">
              <w:rPr>
                <w:noProof/>
                <w:webHidden/>
              </w:rPr>
              <w:fldChar w:fldCharType="begin"/>
            </w:r>
            <w:r w:rsidR="00E63A73">
              <w:rPr>
                <w:noProof/>
                <w:webHidden/>
              </w:rPr>
              <w:instrText xml:space="preserve"> PAGEREF _Toc323132088 \h </w:instrText>
            </w:r>
            <w:r w:rsidR="00111FDD">
              <w:rPr>
                <w:noProof/>
                <w:webHidden/>
              </w:rPr>
            </w:r>
            <w:r w:rsidR="00111FDD">
              <w:rPr>
                <w:noProof/>
                <w:webHidden/>
              </w:rPr>
              <w:fldChar w:fldCharType="separate"/>
            </w:r>
            <w:r w:rsidR="00F11AC6">
              <w:rPr>
                <w:noProof/>
                <w:webHidden/>
              </w:rPr>
              <w:t>5</w:t>
            </w:r>
            <w:r w:rsidR="00111FDD">
              <w:rPr>
                <w:noProof/>
                <w:webHidden/>
              </w:rPr>
              <w:fldChar w:fldCharType="end"/>
            </w:r>
          </w:hyperlink>
        </w:p>
        <w:p w:rsidR="00E63A73" w:rsidRDefault="003D712E">
          <w:pPr>
            <w:pStyle w:val="TOC1"/>
            <w:tabs>
              <w:tab w:val="right" w:pos="9016"/>
            </w:tabs>
            <w:rPr>
              <w:rFonts w:asciiTheme="minorHAnsi" w:eastAsiaTheme="minorEastAsia" w:hAnsiTheme="minorHAnsi" w:cstheme="minorBidi"/>
              <w:b w:val="0"/>
              <w:bCs w:val="0"/>
              <w:noProof/>
              <w:sz w:val="22"/>
              <w:szCs w:val="22"/>
              <w:lang w:eastAsia="en-GB"/>
            </w:rPr>
          </w:pPr>
          <w:hyperlink w:anchor="_Toc323132089" w:history="1">
            <w:r w:rsidR="00E63A73" w:rsidRPr="00D92799">
              <w:rPr>
                <w:rStyle w:val="Hyperlink"/>
                <w:noProof/>
              </w:rPr>
              <w:t>Executive Summary</w:t>
            </w:r>
            <w:r w:rsidR="00E63A73">
              <w:rPr>
                <w:noProof/>
                <w:webHidden/>
              </w:rPr>
              <w:tab/>
            </w:r>
            <w:r w:rsidR="00111FDD">
              <w:rPr>
                <w:noProof/>
                <w:webHidden/>
              </w:rPr>
              <w:fldChar w:fldCharType="begin"/>
            </w:r>
            <w:r w:rsidR="00E63A73">
              <w:rPr>
                <w:noProof/>
                <w:webHidden/>
              </w:rPr>
              <w:instrText xml:space="preserve"> PAGEREF _Toc323132089 \h </w:instrText>
            </w:r>
            <w:r w:rsidR="00111FDD">
              <w:rPr>
                <w:noProof/>
                <w:webHidden/>
              </w:rPr>
            </w:r>
            <w:r w:rsidR="00111FDD">
              <w:rPr>
                <w:noProof/>
                <w:webHidden/>
              </w:rPr>
              <w:fldChar w:fldCharType="separate"/>
            </w:r>
            <w:r w:rsidR="00F11AC6">
              <w:rPr>
                <w:noProof/>
                <w:webHidden/>
              </w:rPr>
              <w:t>8</w:t>
            </w:r>
            <w:r w:rsidR="00111FDD">
              <w:rPr>
                <w:noProof/>
                <w:webHidden/>
              </w:rPr>
              <w:fldChar w:fldCharType="end"/>
            </w:r>
          </w:hyperlink>
        </w:p>
        <w:p w:rsidR="00E63A73" w:rsidRDefault="003D712E">
          <w:pPr>
            <w:pStyle w:val="TOC1"/>
            <w:tabs>
              <w:tab w:val="left" w:pos="440"/>
              <w:tab w:val="right" w:pos="9016"/>
            </w:tabs>
            <w:rPr>
              <w:rFonts w:asciiTheme="minorHAnsi" w:eastAsiaTheme="minorEastAsia" w:hAnsiTheme="minorHAnsi" w:cstheme="minorBidi"/>
              <w:b w:val="0"/>
              <w:bCs w:val="0"/>
              <w:noProof/>
              <w:sz w:val="22"/>
              <w:szCs w:val="22"/>
              <w:lang w:eastAsia="en-GB"/>
            </w:rPr>
          </w:pPr>
          <w:hyperlink w:anchor="_Toc323132090" w:history="1">
            <w:r w:rsidR="00E63A73" w:rsidRPr="00D92799">
              <w:rPr>
                <w:rStyle w:val="Hyperlink"/>
                <w:noProof/>
              </w:rPr>
              <w:t>I.</w:t>
            </w:r>
            <w:r w:rsidR="00E63A73">
              <w:rPr>
                <w:rFonts w:asciiTheme="minorHAnsi" w:eastAsiaTheme="minorEastAsia" w:hAnsiTheme="minorHAnsi" w:cstheme="minorBidi"/>
                <w:b w:val="0"/>
                <w:bCs w:val="0"/>
                <w:noProof/>
                <w:sz w:val="22"/>
                <w:szCs w:val="22"/>
                <w:lang w:eastAsia="en-GB"/>
              </w:rPr>
              <w:tab/>
            </w:r>
            <w:r w:rsidR="00E63A73" w:rsidRPr="00D92799">
              <w:rPr>
                <w:rStyle w:val="Hyperlink"/>
                <w:noProof/>
              </w:rPr>
              <w:t>Introduction and definition of equivalence</w:t>
            </w:r>
            <w:r w:rsidR="00E63A73">
              <w:rPr>
                <w:noProof/>
                <w:webHidden/>
              </w:rPr>
              <w:tab/>
            </w:r>
            <w:r w:rsidR="00111FDD">
              <w:rPr>
                <w:noProof/>
                <w:webHidden/>
              </w:rPr>
              <w:fldChar w:fldCharType="begin"/>
            </w:r>
            <w:r w:rsidR="00E63A73">
              <w:rPr>
                <w:noProof/>
                <w:webHidden/>
              </w:rPr>
              <w:instrText xml:space="preserve"> PAGEREF _Toc323132090 \h </w:instrText>
            </w:r>
            <w:r w:rsidR="00111FDD">
              <w:rPr>
                <w:noProof/>
                <w:webHidden/>
              </w:rPr>
            </w:r>
            <w:r w:rsidR="00111FDD">
              <w:rPr>
                <w:noProof/>
                <w:webHidden/>
              </w:rPr>
              <w:fldChar w:fldCharType="separate"/>
            </w:r>
            <w:r w:rsidR="00F11AC6">
              <w:rPr>
                <w:noProof/>
                <w:webHidden/>
              </w:rPr>
              <w:t>9</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091" w:history="1">
            <w:r w:rsidR="00E63A73" w:rsidRPr="00D92799">
              <w:rPr>
                <w:rStyle w:val="Hyperlink"/>
                <w:noProof/>
              </w:rPr>
              <w:t>A.</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The importance of equivalence in the world trade</w:t>
            </w:r>
            <w:r w:rsidR="00E63A73">
              <w:rPr>
                <w:noProof/>
                <w:webHidden/>
              </w:rPr>
              <w:tab/>
            </w:r>
            <w:r w:rsidR="00111FDD">
              <w:rPr>
                <w:noProof/>
                <w:webHidden/>
              </w:rPr>
              <w:fldChar w:fldCharType="begin"/>
            </w:r>
            <w:r w:rsidR="00E63A73">
              <w:rPr>
                <w:noProof/>
                <w:webHidden/>
              </w:rPr>
              <w:instrText xml:space="preserve"> PAGEREF _Toc323132091 \h </w:instrText>
            </w:r>
            <w:r w:rsidR="00111FDD">
              <w:rPr>
                <w:noProof/>
                <w:webHidden/>
              </w:rPr>
            </w:r>
            <w:r w:rsidR="00111FDD">
              <w:rPr>
                <w:noProof/>
                <w:webHidden/>
              </w:rPr>
              <w:fldChar w:fldCharType="separate"/>
            </w:r>
            <w:r w:rsidR="00F11AC6">
              <w:rPr>
                <w:noProof/>
                <w:webHidden/>
              </w:rPr>
              <w:t>9</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092" w:history="1">
            <w:r w:rsidR="00E63A73" w:rsidRPr="00D92799">
              <w:rPr>
                <w:rStyle w:val="Hyperlink"/>
                <w:noProof/>
              </w:rPr>
              <w:t>B.</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IPPC definition of equivalence</w:t>
            </w:r>
            <w:r w:rsidR="00E63A73">
              <w:rPr>
                <w:noProof/>
                <w:webHidden/>
              </w:rPr>
              <w:tab/>
            </w:r>
            <w:r w:rsidR="00111FDD">
              <w:rPr>
                <w:noProof/>
                <w:webHidden/>
              </w:rPr>
              <w:fldChar w:fldCharType="begin"/>
            </w:r>
            <w:r w:rsidR="00E63A73">
              <w:rPr>
                <w:noProof/>
                <w:webHidden/>
              </w:rPr>
              <w:instrText xml:space="preserve"> PAGEREF _Toc323132092 \h </w:instrText>
            </w:r>
            <w:r w:rsidR="00111FDD">
              <w:rPr>
                <w:noProof/>
                <w:webHidden/>
              </w:rPr>
            </w:r>
            <w:r w:rsidR="00111FDD">
              <w:rPr>
                <w:noProof/>
                <w:webHidden/>
              </w:rPr>
              <w:fldChar w:fldCharType="separate"/>
            </w:r>
            <w:r w:rsidR="00F11AC6">
              <w:rPr>
                <w:noProof/>
                <w:webHidden/>
              </w:rPr>
              <w:t>10</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093" w:history="1">
            <w:r w:rsidR="00E63A73" w:rsidRPr="00D92799">
              <w:rPr>
                <w:rStyle w:val="Hyperlink"/>
                <w:noProof/>
              </w:rPr>
              <w:t>C.</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What equivalence does not mean</w:t>
            </w:r>
            <w:r w:rsidR="00E63A73">
              <w:rPr>
                <w:noProof/>
                <w:webHidden/>
              </w:rPr>
              <w:tab/>
            </w:r>
            <w:r w:rsidR="00111FDD">
              <w:rPr>
                <w:noProof/>
                <w:webHidden/>
              </w:rPr>
              <w:fldChar w:fldCharType="begin"/>
            </w:r>
            <w:r w:rsidR="00E63A73">
              <w:rPr>
                <w:noProof/>
                <w:webHidden/>
              </w:rPr>
              <w:instrText xml:space="preserve"> PAGEREF _Toc323132093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094" w:history="1">
            <w:r w:rsidR="00E63A73" w:rsidRPr="00D92799">
              <w:rPr>
                <w:rStyle w:val="Hyperlink"/>
                <w:noProof/>
              </w:rPr>
              <w:t>D.</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Brief discussion of PRAs, ALOP and efficacy</w:t>
            </w:r>
            <w:r w:rsidR="00E63A73">
              <w:rPr>
                <w:noProof/>
                <w:webHidden/>
              </w:rPr>
              <w:tab/>
            </w:r>
            <w:r w:rsidR="00111FDD">
              <w:rPr>
                <w:noProof/>
                <w:webHidden/>
              </w:rPr>
              <w:fldChar w:fldCharType="begin"/>
            </w:r>
            <w:r w:rsidR="00E63A73">
              <w:rPr>
                <w:noProof/>
                <w:webHidden/>
              </w:rPr>
              <w:instrText xml:space="preserve"> PAGEREF _Toc323132094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095" w:history="1">
            <w:r w:rsidR="00E63A73" w:rsidRPr="00D92799">
              <w:rPr>
                <w:rStyle w:val="Hyperlink"/>
                <w:noProof/>
              </w:rPr>
              <w:t>E.</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The drivers for seeking equivalence</w:t>
            </w:r>
            <w:r w:rsidR="00E63A73">
              <w:rPr>
                <w:noProof/>
                <w:webHidden/>
              </w:rPr>
              <w:tab/>
            </w:r>
            <w:r w:rsidR="00111FDD">
              <w:rPr>
                <w:noProof/>
                <w:webHidden/>
              </w:rPr>
              <w:fldChar w:fldCharType="begin"/>
            </w:r>
            <w:r w:rsidR="00E63A73">
              <w:rPr>
                <w:noProof/>
                <w:webHidden/>
              </w:rPr>
              <w:instrText xml:space="preserve"> PAGEREF _Toc323132095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1"/>
            <w:tabs>
              <w:tab w:val="left" w:pos="660"/>
              <w:tab w:val="right" w:pos="9016"/>
            </w:tabs>
            <w:rPr>
              <w:rFonts w:asciiTheme="minorHAnsi" w:eastAsiaTheme="minorEastAsia" w:hAnsiTheme="minorHAnsi" w:cstheme="minorBidi"/>
              <w:b w:val="0"/>
              <w:bCs w:val="0"/>
              <w:noProof/>
              <w:sz w:val="22"/>
              <w:szCs w:val="22"/>
              <w:lang w:eastAsia="en-GB"/>
            </w:rPr>
          </w:pPr>
          <w:hyperlink w:anchor="_Toc323132096" w:history="1">
            <w:r w:rsidR="00E63A73" w:rsidRPr="00D92799">
              <w:rPr>
                <w:rStyle w:val="Hyperlink"/>
                <w:noProof/>
              </w:rPr>
              <w:t>II.</w:t>
            </w:r>
            <w:r w:rsidR="00E63A73">
              <w:rPr>
                <w:rFonts w:asciiTheme="minorHAnsi" w:eastAsiaTheme="minorEastAsia" w:hAnsiTheme="minorHAnsi" w:cstheme="minorBidi"/>
                <w:b w:val="0"/>
                <w:bCs w:val="0"/>
                <w:noProof/>
                <w:sz w:val="22"/>
                <w:szCs w:val="22"/>
                <w:lang w:eastAsia="en-GB"/>
              </w:rPr>
              <w:tab/>
            </w:r>
            <w:r w:rsidR="00E63A73" w:rsidRPr="00D92799">
              <w:rPr>
                <w:rStyle w:val="Hyperlink"/>
                <w:noProof/>
              </w:rPr>
              <w:t>Historic context for Equivalence (up through the SPS)</w:t>
            </w:r>
            <w:r w:rsidR="00E63A73">
              <w:rPr>
                <w:noProof/>
                <w:webHidden/>
              </w:rPr>
              <w:tab/>
            </w:r>
            <w:r w:rsidR="00111FDD">
              <w:rPr>
                <w:noProof/>
                <w:webHidden/>
              </w:rPr>
              <w:fldChar w:fldCharType="begin"/>
            </w:r>
            <w:r w:rsidR="00E63A73">
              <w:rPr>
                <w:noProof/>
                <w:webHidden/>
              </w:rPr>
              <w:instrText xml:space="preserve"> PAGEREF _Toc323132096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097" w:history="1">
            <w:r w:rsidR="00E63A73" w:rsidRPr="00D92799">
              <w:rPr>
                <w:rStyle w:val="Hyperlink"/>
                <w:noProof/>
              </w:rPr>
              <w:t>A.</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Agreement on alternative measures: commodity treatments and host status</w:t>
            </w:r>
            <w:r w:rsidR="00E63A73">
              <w:rPr>
                <w:noProof/>
                <w:webHidden/>
              </w:rPr>
              <w:tab/>
            </w:r>
            <w:r w:rsidR="00111FDD">
              <w:rPr>
                <w:noProof/>
                <w:webHidden/>
              </w:rPr>
              <w:fldChar w:fldCharType="begin"/>
            </w:r>
            <w:r w:rsidR="00E63A73">
              <w:rPr>
                <w:noProof/>
                <w:webHidden/>
              </w:rPr>
              <w:instrText xml:space="preserve"> PAGEREF _Toc323132097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098" w:history="1">
            <w:r w:rsidR="00E63A73" w:rsidRPr="00D92799">
              <w:rPr>
                <w:rStyle w:val="Hyperlink"/>
                <w:noProof/>
              </w:rPr>
              <w:t>B.</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System wide equivalence: recognition of inspection systems, export certification, etc.</w:t>
            </w:r>
            <w:r w:rsidR="00E63A73">
              <w:rPr>
                <w:noProof/>
                <w:webHidden/>
              </w:rPr>
              <w:tab/>
            </w:r>
            <w:r w:rsidR="00111FDD">
              <w:rPr>
                <w:noProof/>
                <w:webHidden/>
              </w:rPr>
              <w:fldChar w:fldCharType="begin"/>
            </w:r>
            <w:r w:rsidR="00E63A73">
              <w:rPr>
                <w:noProof/>
                <w:webHidden/>
              </w:rPr>
              <w:instrText xml:space="preserve"> PAGEREF _Toc323132098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099" w:history="1">
            <w:r w:rsidR="00E63A73" w:rsidRPr="00D92799">
              <w:rPr>
                <w:rStyle w:val="Hyperlink"/>
                <w:noProof/>
              </w:rPr>
              <w:t>C.</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European approach to requirements</w:t>
            </w:r>
            <w:r w:rsidR="00E63A73">
              <w:rPr>
                <w:noProof/>
                <w:webHidden/>
              </w:rPr>
              <w:tab/>
            </w:r>
            <w:r w:rsidR="00111FDD">
              <w:rPr>
                <w:noProof/>
                <w:webHidden/>
              </w:rPr>
              <w:fldChar w:fldCharType="begin"/>
            </w:r>
            <w:r w:rsidR="00E63A73">
              <w:rPr>
                <w:noProof/>
                <w:webHidden/>
              </w:rPr>
              <w:instrText xml:space="preserve"> PAGEREF _Toc323132099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00" w:history="1">
            <w:r w:rsidR="00E63A73" w:rsidRPr="00D92799">
              <w:rPr>
                <w:rStyle w:val="Hyperlink"/>
                <w:noProof/>
              </w:rPr>
              <w:t>D.</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The advent of SPS and relevant principles</w:t>
            </w:r>
            <w:r w:rsidR="00E63A73">
              <w:rPr>
                <w:noProof/>
                <w:webHidden/>
              </w:rPr>
              <w:tab/>
            </w:r>
            <w:r w:rsidR="00111FDD">
              <w:rPr>
                <w:noProof/>
                <w:webHidden/>
              </w:rPr>
              <w:fldChar w:fldCharType="begin"/>
            </w:r>
            <w:r w:rsidR="00E63A73">
              <w:rPr>
                <w:noProof/>
                <w:webHidden/>
              </w:rPr>
              <w:instrText xml:space="preserve"> PAGEREF _Toc323132100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1"/>
            <w:tabs>
              <w:tab w:val="left" w:pos="660"/>
              <w:tab w:val="right" w:pos="9016"/>
            </w:tabs>
            <w:rPr>
              <w:rFonts w:asciiTheme="minorHAnsi" w:eastAsiaTheme="minorEastAsia" w:hAnsiTheme="minorHAnsi" w:cstheme="minorBidi"/>
              <w:b w:val="0"/>
              <w:bCs w:val="0"/>
              <w:noProof/>
              <w:sz w:val="22"/>
              <w:szCs w:val="22"/>
              <w:lang w:eastAsia="en-GB"/>
            </w:rPr>
          </w:pPr>
          <w:hyperlink w:anchor="_Toc323132101" w:history="1">
            <w:r w:rsidR="00E63A73" w:rsidRPr="00D92799">
              <w:rPr>
                <w:rStyle w:val="Hyperlink"/>
                <w:noProof/>
              </w:rPr>
              <w:t>III.</w:t>
            </w:r>
            <w:r w:rsidR="00E63A73">
              <w:rPr>
                <w:rFonts w:asciiTheme="minorHAnsi" w:eastAsiaTheme="minorEastAsia" w:hAnsiTheme="minorHAnsi" w:cstheme="minorBidi"/>
                <w:b w:val="0"/>
                <w:bCs w:val="0"/>
                <w:noProof/>
                <w:sz w:val="22"/>
                <w:szCs w:val="22"/>
                <w:lang w:eastAsia="en-GB"/>
              </w:rPr>
              <w:tab/>
            </w:r>
            <w:r w:rsidR="00E63A73" w:rsidRPr="00D92799">
              <w:rPr>
                <w:rStyle w:val="Hyperlink"/>
                <w:noProof/>
              </w:rPr>
              <w:t>The ISPM on equivalence and other relevant ISPMs</w:t>
            </w:r>
            <w:r w:rsidR="00E63A73">
              <w:rPr>
                <w:noProof/>
                <w:webHidden/>
              </w:rPr>
              <w:tab/>
            </w:r>
            <w:r w:rsidR="00111FDD">
              <w:rPr>
                <w:noProof/>
                <w:webHidden/>
              </w:rPr>
              <w:fldChar w:fldCharType="begin"/>
            </w:r>
            <w:r w:rsidR="00E63A73">
              <w:rPr>
                <w:noProof/>
                <w:webHidden/>
              </w:rPr>
              <w:instrText xml:space="preserve"> PAGEREF _Toc323132101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02" w:history="1">
            <w:r w:rsidR="00E63A73" w:rsidRPr="00D92799">
              <w:rPr>
                <w:rStyle w:val="Hyperlink"/>
                <w:noProof/>
              </w:rPr>
              <w:t>A.</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Key principles</w:t>
            </w:r>
            <w:r w:rsidR="00E63A73">
              <w:rPr>
                <w:noProof/>
                <w:webHidden/>
              </w:rPr>
              <w:tab/>
            </w:r>
            <w:r w:rsidR="00111FDD">
              <w:rPr>
                <w:noProof/>
                <w:webHidden/>
              </w:rPr>
              <w:fldChar w:fldCharType="begin"/>
            </w:r>
            <w:r w:rsidR="00E63A73">
              <w:rPr>
                <w:noProof/>
                <w:webHidden/>
              </w:rPr>
              <w:instrText xml:space="preserve"> PAGEREF _Toc323132102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03" w:history="1">
            <w:r w:rsidR="00E63A73" w:rsidRPr="00D92799">
              <w:rPr>
                <w:rStyle w:val="Hyperlink"/>
                <w:noProof/>
              </w:rPr>
              <w:t>B.</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Attempts to define ALOP and efficacy</w:t>
            </w:r>
            <w:r w:rsidR="00E63A73">
              <w:rPr>
                <w:noProof/>
                <w:webHidden/>
              </w:rPr>
              <w:tab/>
            </w:r>
            <w:r w:rsidR="00111FDD">
              <w:rPr>
                <w:noProof/>
                <w:webHidden/>
              </w:rPr>
              <w:fldChar w:fldCharType="begin"/>
            </w:r>
            <w:r w:rsidR="00E63A73">
              <w:rPr>
                <w:noProof/>
                <w:webHidden/>
              </w:rPr>
              <w:instrText xml:space="preserve"> PAGEREF _Toc323132103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04" w:history="1">
            <w:r w:rsidR="00E63A73" w:rsidRPr="00D92799">
              <w:rPr>
                <w:rStyle w:val="Hyperlink"/>
                <w:noProof/>
              </w:rPr>
              <w:t>C.</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Other ISPMs including systems approach</w:t>
            </w:r>
            <w:r w:rsidR="00E63A73">
              <w:rPr>
                <w:noProof/>
                <w:webHidden/>
              </w:rPr>
              <w:tab/>
            </w:r>
            <w:r w:rsidR="00111FDD">
              <w:rPr>
                <w:noProof/>
                <w:webHidden/>
              </w:rPr>
              <w:fldChar w:fldCharType="begin"/>
            </w:r>
            <w:r w:rsidR="00E63A73">
              <w:rPr>
                <w:noProof/>
                <w:webHidden/>
              </w:rPr>
              <w:instrText xml:space="preserve"> PAGEREF _Toc323132104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05" w:history="1">
            <w:r w:rsidR="00E63A73" w:rsidRPr="00D92799">
              <w:rPr>
                <w:rStyle w:val="Hyperlink"/>
                <w:noProof/>
              </w:rPr>
              <w:t>D.</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ISPM 15–a global example of equivalence</w:t>
            </w:r>
            <w:r w:rsidR="00E63A73">
              <w:rPr>
                <w:noProof/>
                <w:webHidden/>
              </w:rPr>
              <w:tab/>
            </w:r>
            <w:r w:rsidR="00111FDD">
              <w:rPr>
                <w:noProof/>
                <w:webHidden/>
              </w:rPr>
              <w:fldChar w:fldCharType="begin"/>
            </w:r>
            <w:r w:rsidR="00E63A73">
              <w:rPr>
                <w:noProof/>
                <w:webHidden/>
              </w:rPr>
              <w:instrText xml:space="preserve"> PAGEREF _Toc323132105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06" w:history="1">
            <w:r w:rsidR="00E63A73" w:rsidRPr="00D92799">
              <w:rPr>
                <w:rStyle w:val="Hyperlink"/>
                <w:noProof/>
              </w:rPr>
              <w:t>E.</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The ISPM on equivalence</w:t>
            </w:r>
            <w:r w:rsidR="00E63A73">
              <w:rPr>
                <w:noProof/>
                <w:webHidden/>
              </w:rPr>
              <w:tab/>
            </w:r>
            <w:r w:rsidR="00111FDD">
              <w:rPr>
                <w:noProof/>
                <w:webHidden/>
              </w:rPr>
              <w:fldChar w:fldCharType="begin"/>
            </w:r>
            <w:r w:rsidR="00E63A73">
              <w:rPr>
                <w:noProof/>
                <w:webHidden/>
              </w:rPr>
              <w:instrText xml:space="preserve"> PAGEREF _Toc323132106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07" w:history="1">
            <w:r w:rsidR="00E63A73" w:rsidRPr="00D92799">
              <w:rPr>
                <w:rStyle w:val="Hyperlink"/>
                <w:noProof/>
              </w:rPr>
              <w:t>F.</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Remaining needs for clarification or support</w:t>
            </w:r>
            <w:r w:rsidR="00E63A73">
              <w:rPr>
                <w:noProof/>
                <w:webHidden/>
              </w:rPr>
              <w:tab/>
            </w:r>
            <w:r w:rsidR="00111FDD">
              <w:rPr>
                <w:noProof/>
                <w:webHidden/>
              </w:rPr>
              <w:fldChar w:fldCharType="begin"/>
            </w:r>
            <w:r w:rsidR="00E63A73">
              <w:rPr>
                <w:noProof/>
                <w:webHidden/>
              </w:rPr>
              <w:instrText xml:space="preserve"> PAGEREF _Toc323132107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1"/>
            <w:tabs>
              <w:tab w:val="left" w:pos="660"/>
              <w:tab w:val="right" w:pos="9016"/>
            </w:tabs>
            <w:rPr>
              <w:rFonts w:asciiTheme="minorHAnsi" w:eastAsiaTheme="minorEastAsia" w:hAnsiTheme="minorHAnsi" w:cstheme="minorBidi"/>
              <w:b w:val="0"/>
              <w:bCs w:val="0"/>
              <w:noProof/>
              <w:sz w:val="22"/>
              <w:szCs w:val="22"/>
              <w:lang w:eastAsia="en-GB"/>
            </w:rPr>
          </w:pPr>
          <w:hyperlink w:anchor="_Toc323132108" w:history="1">
            <w:r w:rsidR="00E63A73" w:rsidRPr="00D92799">
              <w:rPr>
                <w:rStyle w:val="Hyperlink"/>
                <w:noProof/>
              </w:rPr>
              <w:t>IV.</w:t>
            </w:r>
            <w:r w:rsidR="00E63A73">
              <w:rPr>
                <w:rFonts w:asciiTheme="minorHAnsi" w:eastAsiaTheme="minorEastAsia" w:hAnsiTheme="minorHAnsi" w:cstheme="minorBidi"/>
                <w:b w:val="0"/>
                <w:bCs w:val="0"/>
                <w:noProof/>
                <w:sz w:val="22"/>
                <w:szCs w:val="22"/>
                <w:lang w:eastAsia="en-GB"/>
              </w:rPr>
              <w:tab/>
            </w:r>
            <w:r w:rsidR="00E63A73" w:rsidRPr="00D92799">
              <w:rPr>
                <w:rStyle w:val="Hyperlink"/>
                <w:noProof/>
              </w:rPr>
              <w:t>Common practice in plant health</w:t>
            </w:r>
            <w:r w:rsidR="00E63A73">
              <w:rPr>
                <w:noProof/>
                <w:webHidden/>
              </w:rPr>
              <w:tab/>
            </w:r>
            <w:r w:rsidR="00111FDD">
              <w:rPr>
                <w:noProof/>
                <w:webHidden/>
              </w:rPr>
              <w:fldChar w:fldCharType="begin"/>
            </w:r>
            <w:r w:rsidR="00E63A73">
              <w:rPr>
                <w:noProof/>
                <w:webHidden/>
              </w:rPr>
              <w:instrText xml:space="preserve"> PAGEREF _Toc323132108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09" w:history="1">
            <w:r w:rsidR="00E63A73" w:rsidRPr="00D92799">
              <w:rPr>
                <w:rStyle w:val="Hyperlink"/>
                <w:noProof/>
              </w:rPr>
              <w:t>A.</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Case by case nature (end point rather than system equivalence)</w:t>
            </w:r>
            <w:r w:rsidR="00E63A73">
              <w:rPr>
                <w:noProof/>
                <w:webHidden/>
              </w:rPr>
              <w:tab/>
            </w:r>
            <w:r w:rsidR="00111FDD">
              <w:rPr>
                <w:noProof/>
                <w:webHidden/>
              </w:rPr>
              <w:fldChar w:fldCharType="begin"/>
            </w:r>
            <w:r w:rsidR="00E63A73">
              <w:rPr>
                <w:noProof/>
                <w:webHidden/>
              </w:rPr>
              <w:instrText xml:space="preserve"> PAGEREF _Toc323132109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10" w:history="1">
            <w:r w:rsidR="00E63A73" w:rsidRPr="00D92799">
              <w:rPr>
                <w:rStyle w:val="Hyperlink"/>
                <w:noProof/>
              </w:rPr>
              <w:t>B.</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Technical or operational agreements</w:t>
            </w:r>
            <w:r w:rsidR="00E63A73">
              <w:rPr>
                <w:noProof/>
                <w:webHidden/>
              </w:rPr>
              <w:tab/>
            </w:r>
            <w:r w:rsidR="00111FDD">
              <w:rPr>
                <w:noProof/>
                <w:webHidden/>
              </w:rPr>
              <w:fldChar w:fldCharType="begin"/>
            </w:r>
            <w:r w:rsidR="00E63A73">
              <w:rPr>
                <w:noProof/>
                <w:webHidden/>
              </w:rPr>
              <w:instrText xml:space="preserve"> PAGEREF _Toc323132110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11" w:history="1">
            <w:r w:rsidR="00E63A73" w:rsidRPr="00D92799">
              <w:rPr>
                <w:rStyle w:val="Hyperlink"/>
                <w:noProof/>
              </w:rPr>
              <w:t>C.</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Mutual recognition</w:t>
            </w:r>
            <w:r w:rsidR="00E63A73">
              <w:rPr>
                <w:noProof/>
                <w:webHidden/>
              </w:rPr>
              <w:tab/>
            </w:r>
            <w:r w:rsidR="00111FDD">
              <w:rPr>
                <w:noProof/>
                <w:webHidden/>
              </w:rPr>
              <w:fldChar w:fldCharType="begin"/>
            </w:r>
            <w:r w:rsidR="00E63A73">
              <w:rPr>
                <w:noProof/>
                <w:webHidden/>
              </w:rPr>
              <w:instrText xml:space="preserve"> PAGEREF _Toc323132111 \h </w:instrText>
            </w:r>
            <w:r w:rsidR="00111FDD">
              <w:rPr>
                <w:noProof/>
                <w:webHidden/>
              </w:rPr>
            </w:r>
            <w:r w:rsidR="00111FDD">
              <w:rPr>
                <w:noProof/>
                <w:webHidden/>
              </w:rPr>
              <w:fldChar w:fldCharType="separate"/>
            </w:r>
            <w:r w:rsidR="00F11AC6">
              <w:rPr>
                <w:noProof/>
                <w:webHidden/>
              </w:rPr>
              <w:t>11</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12" w:history="1">
            <w:r w:rsidR="00E63A73" w:rsidRPr="00D92799">
              <w:rPr>
                <w:rStyle w:val="Hyperlink"/>
                <w:noProof/>
              </w:rPr>
              <w:t>D.</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Formal equ</w:t>
            </w:r>
            <w:r w:rsidR="001C50CB">
              <w:rPr>
                <w:rStyle w:val="Hyperlink"/>
                <w:noProof/>
              </w:rPr>
              <w:t>ivalence and notified agreements</w:t>
            </w:r>
            <w:r w:rsidR="00E63A73">
              <w:rPr>
                <w:noProof/>
                <w:webHidden/>
              </w:rPr>
              <w:tab/>
            </w:r>
            <w:r w:rsidR="00111FDD">
              <w:rPr>
                <w:noProof/>
                <w:webHidden/>
              </w:rPr>
              <w:fldChar w:fldCharType="begin"/>
            </w:r>
            <w:r w:rsidR="00E63A73">
              <w:rPr>
                <w:noProof/>
                <w:webHidden/>
              </w:rPr>
              <w:instrText xml:space="preserve"> PAGEREF _Toc323132112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13" w:history="1">
            <w:r w:rsidR="00E63A73" w:rsidRPr="00D92799">
              <w:rPr>
                <w:rStyle w:val="Hyperlink"/>
                <w:noProof/>
              </w:rPr>
              <w:t>E.</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ISPMs, regional agreements and other agreements that are equivalency agreements</w:t>
            </w:r>
            <w:r w:rsidR="00E63A73">
              <w:rPr>
                <w:noProof/>
                <w:webHidden/>
              </w:rPr>
              <w:tab/>
            </w:r>
            <w:r w:rsidR="00111FDD">
              <w:rPr>
                <w:noProof/>
                <w:webHidden/>
              </w:rPr>
              <w:fldChar w:fldCharType="begin"/>
            </w:r>
            <w:r w:rsidR="00E63A73">
              <w:rPr>
                <w:noProof/>
                <w:webHidden/>
              </w:rPr>
              <w:instrText xml:space="preserve"> PAGEREF _Toc323132113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1"/>
            <w:tabs>
              <w:tab w:val="left" w:pos="660"/>
              <w:tab w:val="right" w:pos="9016"/>
            </w:tabs>
            <w:rPr>
              <w:rFonts w:asciiTheme="minorHAnsi" w:eastAsiaTheme="minorEastAsia" w:hAnsiTheme="minorHAnsi" w:cstheme="minorBidi"/>
              <w:b w:val="0"/>
              <w:bCs w:val="0"/>
              <w:noProof/>
              <w:sz w:val="22"/>
              <w:szCs w:val="22"/>
              <w:lang w:eastAsia="en-GB"/>
            </w:rPr>
          </w:pPr>
          <w:hyperlink w:anchor="_Toc323132114" w:history="1">
            <w:r w:rsidR="00E63A73" w:rsidRPr="00D92799">
              <w:rPr>
                <w:rStyle w:val="Hyperlink"/>
                <w:noProof/>
              </w:rPr>
              <w:t>V.</w:t>
            </w:r>
            <w:r w:rsidR="00E63A73">
              <w:rPr>
                <w:rFonts w:asciiTheme="minorHAnsi" w:eastAsiaTheme="minorEastAsia" w:hAnsiTheme="minorHAnsi" w:cstheme="minorBidi"/>
                <w:b w:val="0"/>
                <w:bCs w:val="0"/>
                <w:noProof/>
                <w:sz w:val="22"/>
                <w:szCs w:val="22"/>
                <w:lang w:eastAsia="en-GB"/>
              </w:rPr>
              <w:tab/>
            </w:r>
            <w:r w:rsidR="00E63A73" w:rsidRPr="00D92799">
              <w:rPr>
                <w:rStyle w:val="Hyperlink"/>
                <w:noProof/>
              </w:rPr>
              <w:t>Emerging issues and developments</w:t>
            </w:r>
            <w:r w:rsidR="00E63A73">
              <w:rPr>
                <w:noProof/>
                <w:webHidden/>
              </w:rPr>
              <w:tab/>
            </w:r>
            <w:r w:rsidR="00111FDD">
              <w:rPr>
                <w:noProof/>
                <w:webHidden/>
              </w:rPr>
              <w:fldChar w:fldCharType="begin"/>
            </w:r>
            <w:r w:rsidR="00E63A73">
              <w:rPr>
                <w:noProof/>
                <w:webHidden/>
              </w:rPr>
              <w:instrText xml:space="preserve"> PAGEREF _Toc323132114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15" w:history="1">
            <w:r w:rsidR="00E63A73" w:rsidRPr="00D92799">
              <w:rPr>
                <w:rStyle w:val="Hyperlink"/>
                <w:noProof/>
              </w:rPr>
              <w:t>A.</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Bilateral vs. regional or global negotiations</w:t>
            </w:r>
            <w:r w:rsidR="00E63A73">
              <w:rPr>
                <w:noProof/>
                <w:webHidden/>
              </w:rPr>
              <w:tab/>
            </w:r>
            <w:r w:rsidR="00111FDD">
              <w:rPr>
                <w:noProof/>
                <w:webHidden/>
              </w:rPr>
              <w:fldChar w:fldCharType="begin"/>
            </w:r>
            <w:r w:rsidR="00E63A73">
              <w:rPr>
                <w:noProof/>
                <w:webHidden/>
              </w:rPr>
              <w:instrText xml:space="preserve"> PAGEREF _Toc323132115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16" w:history="1">
            <w:r w:rsidR="00E63A73" w:rsidRPr="00D92799">
              <w:rPr>
                <w:rStyle w:val="Hyperlink"/>
                <w:noProof/>
              </w:rPr>
              <w:t>B.</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PRAs carried out for similar conditions or pests/pathway, rather than individually</w:t>
            </w:r>
            <w:r w:rsidR="00E63A73">
              <w:rPr>
                <w:noProof/>
                <w:webHidden/>
              </w:rPr>
              <w:tab/>
            </w:r>
            <w:r w:rsidR="00111FDD">
              <w:rPr>
                <w:noProof/>
                <w:webHidden/>
              </w:rPr>
              <w:fldChar w:fldCharType="begin"/>
            </w:r>
            <w:r w:rsidR="00E63A73">
              <w:rPr>
                <w:noProof/>
                <w:webHidden/>
              </w:rPr>
              <w:instrText xml:space="preserve"> PAGEREF _Toc323132116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17" w:history="1">
            <w:r w:rsidR="00E63A73" w:rsidRPr="00D92799">
              <w:rPr>
                <w:rStyle w:val="Hyperlink"/>
                <w:noProof/>
              </w:rPr>
              <w:t>C.</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(IPPC Technical Panels – if occurring there)</w:t>
            </w:r>
            <w:r w:rsidR="00E63A73">
              <w:rPr>
                <w:noProof/>
                <w:webHidden/>
              </w:rPr>
              <w:tab/>
            </w:r>
            <w:r w:rsidR="00111FDD">
              <w:rPr>
                <w:noProof/>
                <w:webHidden/>
              </w:rPr>
              <w:fldChar w:fldCharType="begin"/>
            </w:r>
            <w:r w:rsidR="00E63A73">
              <w:rPr>
                <w:noProof/>
                <w:webHidden/>
              </w:rPr>
              <w:instrText xml:space="preserve"> PAGEREF _Toc323132117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18" w:history="1">
            <w:r w:rsidR="00E63A73" w:rsidRPr="00D92799">
              <w:rPr>
                <w:rStyle w:val="Hyperlink"/>
                <w:noProof/>
              </w:rPr>
              <w:t>D.</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Increased quantification and modelling</w:t>
            </w:r>
            <w:r w:rsidR="00E63A73">
              <w:rPr>
                <w:noProof/>
                <w:webHidden/>
              </w:rPr>
              <w:tab/>
            </w:r>
            <w:r w:rsidR="00111FDD">
              <w:rPr>
                <w:noProof/>
                <w:webHidden/>
              </w:rPr>
              <w:fldChar w:fldCharType="begin"/>
            </w:r>
            <w:r w:rsidR="00E63A73">
              <w:rPr>
                <w:noProof/>
                <w:webHidden/>
              </w:rPr>
              <w:instrText xml:space="preserve"> PAGEREF _Toc323132118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19" w:history="1">
            <w:r w:rsidR="00E63A73" w:rsidRPr="00D92799">
              <w:rPr>
                <w:rStyle w:val="Hyperlink"/>
                <w:noProof/>
              </w:rPr>
              <w:t>E.</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(Upcoming changes in European legislation)</w:t>
            </w:r>
            <w:r w:rsidR="00E63A73">
              <w:rPr>
                <w:noProof/>
                <w:webHidden/>
              </w:rPr>
              <w:tab/>
            </w:r>
            <w:r w:rsidR="00111FDD">
              <w:rPr>
                <w:noProof/>
                <w:webHidden/>
              </w:rPr>
              <w:fldChar w:fldCharType="begin"/>
            </w:r>
            <w:r w:rsidR="00E63A73">
              <w:rPr>
                <w:noProof/>
                <w:webHidden/>
              </w:rPr>
              <w:instrText xml:space="preserve"> PAGEREF _Toc323132119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20" w:history="1">
            <w:r w:rsidR="00E63A73" w:rsidRPr="00D92799">
              <w:rPr>
                <w:rStyle w:val="Hyperlink"/>
                <w:noProof/>
              </w:rPr>
              <w:t>F.</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Main challenges for NPPOs</w:t>
            </w:r>
            <w:r w:rsidR="00E63A73">
              <w:rPr>
                <w:noProof/>
                <w:webHidden/>
              </w:rPr>
              <w:tab/>
            </w:r>
            <w:r w:rsidR="00111FDD">
              <w:rPr>
                <w:noProof/>
                <w:webHidden/>
              </w:rPr>
              <w:fldChar w:fldCharType="begin"/>
            </w:r>
            <w:r w:rsidR="00E63A73">
              <w:rPr>
                <w:noProof/>
                <w:webHidden/>
              </w:rPr>
              <w:instrText xml:space="preserve"> PAGEREF _Toc323132120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21" w:history="1">
            <w:r w:rsidR="00E63A73" w:rsidRPr="00D92799">
              <w:rPr>
                <w:rStyle w:val="Hyperlink"/>
                <w:noProof/>
              </w:rPr>
              <w:t>G.</w:t>
            </w:r>
            <w:r w:rsidR="00E63A73">
              <w:rPr>
                <w:rFonts w:asciiTheme="minorHAnsi" w:eastAsiaTheme="minorEastAsia" w:hAnsiTheme="minorHAnsi" w:cstheme="minorBidi"/>
                <w:i w:val="0"/>
                <w:iCs w:val="0"/>
                <w:noProof/>
                <w:sz w:val="22"/>
                <w:szCs w:val="22"/>
                <w:lang w:eastAsia="en-GB"/>
              </w:rPr>
              <w:tab/>
            </w:r>
            <w:r w:rsidR="00E63A73" w:rsidRPr="00D92799">
              <w:rPr>
                <w:rStyle w:val="Hyperlink"/>
                <w:noProof/>
              </w:rPr>
              <w:t>Perceived benefits of equivalence agreements</w:t>
            </w:r>
            <w:r w:rsidR="00E63A73">
              <w:rPr>
                <w:noProof/>
                <w:webHidden/>
              </w:rPr>
              <w:tab/>
            </w:r>
            <w:r w:rsidR="00111FDD">
              <w:rPr>
                <w:noProof/>
                <w:webHidden/>
              </w:rPr>
              <w:fldChar w:fldCharType="begin"/>
            </w:r>
            <w:r w:rsidR="00E63A73">
              <w:rPr>
                <w:noProof/>
                <w:webHidden/>
              </w:rPr>
              <w:instrText xml:space="preserve"> PAGEREF _Toc323132121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1"/>
            <w:tabs>
              <w:tab w:val="left" w:pos="660"/>
              <w:tab w:val="right" w:pos="9016"/>
            </w:tabs>
            <w:rPr>
              <w:rFonts w:asciiTheme="minorHAnsi" w:eastAsiaTheme="minorEastAsia" w:hAnsiTheme="minorHAnsi" w:cstheme="minorBidi"/>
              <w:b w:val="0"/>
              <w:bCs w:val="0"/>
              <w:noProof/>
              <w:sz w:val="22"/>
              <w:szCs w:val="22"/>
              <w:lang w:eastAsia="en-GB"/>
            </w:rPr>
          </w:pPr>
          <w:hyperlink w:anchor="_Toc323132122" w:history="1">
            <w:r w:rsidR="00E63A73" w:rsidRPr="00D92799">
              <w:rPr>
                <w:rStyle w:val="Hyperlink"/>
                <w:noProof/>
              </w:rPr>
              <w:t>VI.</w:t>
            </w:r>
            <w:r w:rsidR="00E63A73">
              <w:rPr>
                <w:rFonts w:asciiTheme="minorHAnsi" w:eastAsiaTheme="minorEastAsia" w:hAnsiTheme="minorHAnsi" w:cstheme="minorBidi"/>
                <w:b w:val="0"/>
                <w:bCs w:val="0"/>
                <w:noProof/>
                <w:sz w:val="22"/>
                <w:szCs w:val="22"/>
                <w:lang w:eastAsia="en-GB"/>
              </w:rPr>
              <w:tab/>
            </w:r>
            <w:r w:rsidR="00E63A73" w:rsidRPr="00D92799">
              <w:rPr>
                <w:rStyle w:val="Hyperlink"/>
                <w:noProof/>
              </w:rPr>
              <w:t>Conclusions and recommendations</w:t>
            </w:r>
            <w:r w:rsidR="00E63A73">
              <w:rPr>
                <w:noProof/>
                <w:webHidden/>
              </w:rPr>
              <w:tab/>
            </w:r>
            <w:r w:rsidR="00111FDD">
              <w:rPr>
                <w:noProof/>
                <w:webHidden/>
              </w:rPr>
              <w:fldChar w:fldCharType="begin"/>
            </w:r>
            <w:r w:rsidR="00E63A73">
              <w:rPr>
                <w:noProof/>
                <w:webHidden/>
              </w:rPr>
              <w:instrText xml:space="preserve"> PAGEREF _Toc323132122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23" w:history="1">
            <w:r w:rsidR="00E63A73" w:rsidRPr="00D92799">
              <w:rPr>
                <w:rStyle w:val="Hyperlink"/>
                <w:noProof/>
              </w:rPr>
              <w:t>Bibliography and other resources</w:t>
            </w:r>
            <w:r w:rsidR="00E63A73">
              <w:rPr>
                <w:noProof/>
                <w:webHidden/>
              </w:rPr>
              <w:tab/>
            </w:r>
            <w:r w:rsidR="00111FDD">
              <w:rPr>
                <w:noProof/>
                <w:webHidden/>
              </w:rPr>
              <w:fldChar w:fldCharType="begin"/>
            </w:r>
            <w:r w:rsidR="00E63A73">
              <w:rPr>
                <w:noProof/>
                <w:webHidden/>
              </w:rPr>
              <w:instrText xml:space="preserve"> PAGEREF _Toc323132123 \h </w:instrText>
            </w:r>
            <w:r w:rsidR="00111FDD">
              <w:rPr>
                <w:noProof/>
                <w:webHidden/>
              </w:rPr>
            </w:r>
            <w:r w:rsidR="00111FDD">
              <w:rPr>
                <w:noProof/>
                <w:webHidden/>
              </w:rPr>
              <w:fldChar w:fldCharType="separate"/>
            </w:r>
            <w:r w:rsidR="00F11AC6">
              <w:rPr>
                <w:noProof/>
                <w:webHidden/>
              </w:rPr>
              <w:t>12</w:t>
            </w:r>
            <w:r w:rsidR="00111FDD">
              <w:rPr>
                <w:noProof/>
                <w:webHidden/>
              </w:rPr>
              <w:fldChar w:fldCharType="end"/>
            </w:r>
          </w:hyperlink>
        </w:p>
        <w:p w:rsidR="00E63A73" w:rsidRDefault="003D712E">
          <w:pPr>
            <w:pStyle w:val="TOC2"/>
            <w:tabs>
              <w:tab w:val="left" w:pos="660"/>
              <w:tab w:val="right" w:pos="9016"/>
            </w:tabs>
            <w:rPr>
              <w:rFonts w:asciiTheme="minorHAnsi" w:eastAsiaTheme="minorEastAsia" w:hAnsiTheme="minorHAnsi" w:cstheme="minorBidi"/>
              <w:i w:val="0"/>
              <w:iCs w:val="0"/>
              <w:noProof/>
              <w:sz w:val="22"/>
              <w:szCs w:val="22"/>
              <w:lang w:eastAsia="en-GB"/>
            </w:rPr>
          </w:pPr>
          <w:hyperlink w:anchor="_Toc323132124" w:history="1">
            <w:r w:rsidR="00E63A73" w:rsidRPr="00D92799">
              <w:rPr>
                <w:rStyle w:val="Hyperlink"/>
                <w:noProof/>
              </w:rPr>
              <w:t>(Annex on its use in other fields [especially OIE and Codex], although distinct)</w:t>
            </w:r>
            <w:r w:rsidR="00E63A73">
              <w:rPr>
                <w:noProof/>
                <w:webHidden/>
              </w:rPr>
              <w:tab/>
            </w:r>
            <w:r w:rsidR="00111FDD">
              <w:rPr>
                <w:noProof/>
                <w:webHidden/>
              </w:rPr>
              <w:fldChar w:fldCharType="begin"/>
            </w:r>
            <w:r w:rsidR="00E63A73">
              <w:rPr>
                <w:noProof/>
                <w:webHidden/>
              </w:rPr>
              <w:instrText xml:space="preserve"> PAGEREF _Toc323132124 \h </w:instrText>
            </w:r>
            <w:r w:rsidR="00111FDD">
              <w:rPr>
                <w:noProof/>
                <w:webHidden/>
              </w:rPr>
            </w:r>
            <w:r w:rsidR="00111FDD">
              <w:rPr>
                <w:noProof/>
                <w:webHidden/>
              </w:rPr>
              <w:fldChar w:fldCharType="separate"/>
            </w:r>
            <w:r w:rsidR="00F11AC6">
              <w:rPr>
                <w:noProof/>
                <w:webHidden/>
              </w:rPr>
              <w:t>17</w:t>
            </w:r>
            <w:r w:rsidR="00111FDD">
              <w:rPr>
                <w:noProof/>
                <w:webHidden/>
              </w:rPr>
              <w:fldChar w:fldCharType="end"/>
            </w:r>
          </w:hyperlink>
        </w:p>
        <w:p w:rsidR="00E63A73" w:rsidRDefault="003D712E">
          <w:pPr>
            <w:pStyle w:val="TOC2"/>
            <w:tabs>
              <w:tab w:val="left" w:pos="880"/>
              <w:tab w:val="right" w:pos="9016"/>
            </w:tabs>
            <w:rPr>
              <w:rFonts w:asciiTheme="minorHAnsi" w:eastAsiaTheme="minorEastAsia" w:hAnsiTheme="minorHAnsi" w:cstheme="minorBidi"/>
              <w:i w:val="0"/>
              <w:iCs w:val="0"/>
              <w:noProof/>
              <w:sz w:val="22"/>
              <w:szCs w:val="22"/>
              <w:lang w:eastAsia="en-GB"/>
            </w:rPr>
          </w:pPr>
          <w:hyperlink w:anchor="_Toc323132125" w:history="1">
            <w:r w:rsidR="00E63A73" w:rsidRPr="00D92799">
              <w:rPr>
                <w:rStyle w:val="Hyperlink"/>
                <w:noProof/>
              </w:rPr>
              <w:t>Text of most relevant agreements</w:t>
            </w:r>
            <w:r w:rsidR="00E63A73">
              <w:rPr>
                <w:noProof/>
                <w:webHidden/>
              </w:rPr>
              <w:tab/>
            </w:r>
            <w:r w:rsidR="00111FDD">
              <w:rPr>
                <w:noProof/>
                <w:webHidden/>
              </w:rPr>
              <w:fldChar w:fldCharType="begin"/>
            </w:r>
            <w:r w:rsidR="00E63A73">
              <w:rPr>
                <w:noProof/>
                <w:webHidden/>
              </w:rPr>
              <w:instrText xml:space="preserve"> PAGEREF _Toc323132125 \h </w:instrText>
            </w:r>
            <w:r w:rsidR="00111FDD">
              <w:rPr>
                <w:noProof/>
                <w:webHidden/>
              </w:rPr>
            </w:r>
            <w:r w:rsidR="00111FDD">
              <w:rPr>
                <w:noProof/>
                <w:webHidden/>
              </w:rPr>
              <w:fldChar w:fldCharType="separate"/>
            </w:r>
            <w:r w:rsidR="00F11AC6">
              <w:rPr>
                <w:noProof/>
                <w:webHidden/>
              </w:rPr>
              <w:t>17</w:t>
            </w:r>
            <w:r w:rsidR="00111FDD">
              <w:rPr>
                <w:noProof/>
                <w:webHidden/>
              </w:rPr>
              <w:fldChar w:fldCharType="end"/>
            </w:r>
          </w:hyperlink>
        </w:p>
        <w:p w:rsidR="001B11E8" w:rsidRDefault="00111FDD">
          <w:r>
            <w:rPr>
              <w:b/>
              <w:bCs/>
              <w:noProof/>
            </w:rPr>
            <w:fldChar w:fldCharType="end"/>
          </w:r>
        </w:p>
      </w:sdtContent>
    </w:sdt>
    <w:p w:rsidR="001338B3" w:rsidRDefault="001338B3" w:rsidP="001338B3">
      <w:pPr>
        <w:pStyle w:val="Style7"/>
      </w:pPr>
    </w:p>
    <w:p w:rsidR="00577561" w:rsidRDefault="00577561">
      <w:pPr>
        <w:rPr>
          <w:rFonts w:eastAsiaTheme="majorEastAsia" w:cstheme="majorBidi"/>
          <w:b/>
          <w:bCs/>
          <w:sz w:val="28"/>
          <w:szCs w:val="28"/>
        </w:rPr>
      </w:pPr>
      <w:r>
        <w:br w:type="page"/>
      </w:r>
    </w:p>
    <w:p w:rsidR="00577561" w:rsidRDefault="002A4F9F" w:rsidP="00862B00">
      <w:pPr>
        <w:pStyle w:val="Style4"/>
        <w:numPr>
          <w:ilvl w:val="0"/>
          <w:numId w:val="0"/>
        </w:numPr>
        <w:ind w:left="720" w:hanging="360"/>
      </w:pPr>
      <w:bookmarkStart w:id="1" w:name="_Toc323132087"/>
      <w:r>
        <w:lastRenderedPageBreak/>
        <w:t>Acronyms</w:t>
      </w:r>
      <w:bookmarkEnd w:id="1"/>
    </w:p>
    <w:tbl>
      <w:tblPr>
        <w:tblW w:w="9207" w:type="dxa"/>
        <w:tblInd w:w="-27" w:type="dxa"/>
        <w:tblLook w:val="04A0" w:firstRow="1" w:lastRow="0" w:firstColumn="1" w:lastColumn="0" w:noHBand="0" w:noVBand="1"/>
      </w:tblPr>
      <w:tblGrid>
        <w:gridCol w:w="1720"/>
        <w:gridCol w:w="7487"/>
      </w:tblGrid>
      <w:tr w:rsidR="00F17840" w:rsidRPr="009461F0" w:rsidTr="00B32EFA">
        <w:trPr>
          <w:trHeight w:val="480"/>
        </w:trPr>
        <w:tc>
          <w:tcPr>
            <w:tcW w:w="1720" w:type="dxa"/>
            <w:shd w:val="clear" w:color="auto" w:fill="auto"/>
            <w:noWrap/>
            <w:vAlign w:val="center"/>
            <w:hideMark/>
          </w:tcPr>
          <w:p w:rsidR="00F17840" w:rsidRPr="009461F0" w:rsidRDefault="00F17840" w:rsidP="009461F0">
            <w:pPr>
              <w:spacing w:after="0" w:line="240" w:lineRule="auto"/>
              <w:rPr>
                <w:b/>
                <w:bCs/>
                <w:sz w:val="24"/>
                <w:szCs w:val="24"/>
              </w:rPr>
            </w:pPr>
            <w:r w:rsidRPr="009461F0">
              <w:rPr>
                <w:b/>
                <w:bCs/>
                <w:sz w:val="24"/>
                <w:szCs w:val="24"/>
              </w:rPr>
              <w:t>ALOP</w:t>
            </w:r>
          </w:p>
        </w:tc>
        <w:tc>
          <w:tcPr>
            <w:tcW w:w="7487" w:type="dxa"/>
            <w:shd w:val="clear" w:color="auto" w:fill="auto"/>
            <w:noWrap/>
            <w:vAlign w:val="center"/>
            <w:hideMark/>
          </w:tcPr>
          <w:p w:rsidR="00F17840" w:rsidRPr="009461F0" w:rsidRDefault="00F17840" w:rsidP="009461F0">
            <w:pPr>
              <w:spacing w:after="0" w:line="240" w:lineRule="auto"/>
              <w:rPr>
                <w:bCs/>
                <w:sz w:val="24"/>
                <w:szCs w:val="24"/>
              </w:rPr>
            </w:pPr>
            <w:r w:rsidRPr="009461F0">
              <w:rPr>
                <w:bCs/>
                <w:sz w:val="24"/>
                <w:szCs w:val="24"/>
              </w:rPr>
              <w:t>Appropriate level of protection</w:t>
            </w:r>
          </w:p>
        </w:tc>
      </w:tr>
      <w:tr w:rsidR="00F17840" w:rsidRPr="009461F0" w:rsidTr="00B32EFA">
        <w:trPr>
          <w:trHeight w:val="480"/>
        </w:trPr>
        <w:tc>
          <w:tcPr>
            <w:tcW w:w="1720" w:type="dxa"/>
            <w:shd w:val="clear" w:color="auto" w:fill="auto"/>
            <w:noWrap/>
            <w:vAlign w:val="center"/>
            <w:hideMark/>
          </w:tcPr>
          <w:p w:rsidR="00F17840" w:rsidRPr="009461F0" w:rsidRDefault="00F17840" w:rsidP="009461F0">
            <w:pPr>
              <w:spacing w:after="0" w:line="240" w:lineRule="auto"/>
              <w:rPr>
                <w:b/>
                <w:bCs/>
                <w:sz w:val="24"/>
                <w:szCs w:val="24"/>
              </w:rPr>
            </w:pPr>
            <w:r w:rsidRPr="009461F0">
              <w:rPr>
                <w:b/>
                <w:bCs/>
                <w:sz w:val="24"/>
                <w:szCs w:val="24"/>
              </w:rPr>
              <w:t>IPPC</w:t>
            </w:r>
          </w:p>
        </w:tc>
        <w:tc>
          <w:tcPr>
            <w:tcW w:w="7487" w:type="dxa"/>
            <w:shd w:val="clear" w:color="auto" w:fill="auto"/>
            <w:noWrap/>
            <w:vAlign w:val="center"/>
            <w:hideMark/>
          </w:tcPr>
          <w:p w:rsidR="00F17840" w:rsidRPr="009461F0" w:rsidRDefault="00F17840" w:rsidP="009461F0">
            <w:pPr>
              <w:spacing w:after="0" w:line="240" w:lineRule="auto"/>
              <w:rPr>
                <w:bCs/>
                <w:sz w:val="24"/>
                <w:szCs w:val="24"/>
              </w:rPr>
            </w:pPr>
            <w:r w:rsidRPr="009461F0">
              <w:rPr>
                <w:bCs/>
                <w:sz w:val="24"/>
                <w:szCs w:val="24"/>
              </w:rPr>
              <w:t xml:space="preserve">International Plant Protection Convention </w:t>
            </w:r>
          </w:p>
        </w:tc>
      </w:tr>
      <w:tr w:rsidR="00F17840" w:rsidRPr="009461F0" w:rsidTr="00B32EFA">
        <w:trPr>
          <w:trHeight w:val="480"/>
        </w:trPr>
        <w:tc>
          <w:tcPr>
            <w:tcW w:w="1720" w:type="dxa"/>
            <w:shd w:val="clear" w:color="auto" w:fill="auto"/>
            <w:noWrap/>
            <w:vAlign w:val="center"/>
            <w:hideMark/>
          </w:tcPr>
          <w:p w:rsidR="00F17840" w:rsidRPr="009461F0" w:rsidRDefault="00F17840" w:rsidP="009461F0">
            <w:pPr>
              <w:spacing w:after="0" w:line="240" w:lineRule="auto"/>
              <w:rPr>
                <w:b/>
                <w:bCs/>
                <w:sz w:val="24"/>
                <w:szCs w:val="24"/>
              </w:rPr>
            </w:pPr>
            <w:r w:rsidRPr="009461F0">
              <w:rPr>
                <w:b/>
                <w:bCs/>
                <w:sz w:val="24"/>
                <w:szCs w:val="24"/>
              </w:rPr>
              <w:t>NPPO</w:t>
            </w:r>
          </w:p>
        </w:tc>
        <w:tc>
          <w:tcPr>
            <w:tcW w:w="7487" w:type="dxa"/>
            <w:shd w:val="clear" w:color="auto" w:fill="auto"/>
            <w:noWrap/>
            <w:vAlign w:val="center"/>
            <w:hideMark/>
          </w:tcPr>
          <w:p w:rsidR="00F17840" w:rsidRPr="009461F0" w:rsidRDefault="00F17840" w:rsidP="009461F0">
            <w:pPr>
              <w:spacing w:after="0" w:line="240" w:lineRule="auto"/>
              <w:rPr>
                <w:bCs/>
                <w:sz w:val="24"/>
                <w:szCs w:val="24"/>
              </w:rPr>
            </w:pPr>
            <w:r w:rsidRPr="009461F0">
              <w:rPr>
                <w:bCs/>
                <w:sz w:val="24"/>
                <w:szCs w:val="24"/>
              </w:rPr>
              <w:t>National Plant Protection Organisation</w:t>
            </w:r>
          </w:p>
        </w:tc>
      </w:tr>
      <w:tr w:rsidR="00F17840" w:rsidRPr="009461F0" w:rsidTr="00B32EFA">
        <w:trPr>
          <w:trHeight w:val="480"/>
        </w:trPr>
        <w:tc>
          <w:tcPr>
            <w:tcW w:w="1720" w:type="dxa"/>
            <w:shd w:val="clear" w:color="auto" w:fill="auto"/>
            <w:noWrap/>
            <w:vAlign w:val="center"/>
            <w:hideMark/>
          </w:tcPr>
          <w:p w:rsidR="00F17840" w:rsidRPr="009461F0" w:rsidRDefault="00F17840" w:rsidP="009461F0">
            <w:pPr>
              <w:spacing w:after="0" w:line="240" w:lineRule="auto"/>
              <w:rPr>
                <w:b/>
                <w:bCs/>
                <w:sz w:val="24"/>
                <w:szCs w:val="24"/>
              </w:rPr>
            </w:pPr>
            <w:r w:rsidRPr="009461F0">
              <w:rPr>
                <w:b/>
                <w:bCs/>
                <w:sz w:val="24"/>
                <w:szCs w:val="24"/>
              </w:rPr>
              <w:t>OIE</w:t>
            </w:r>
          </w:p>
        </w:tc>
        <w:tc>
          <w:tcPr>
            <w:tcW w:w="7487" w:type="dxa"/>
            <w:shd w:val="clear" w:color="auto" w:fill="auto"/>
            <w:noWrap/>
            <w:vAlign w:val="center"/>
            <w:hideMark/>
          </w:tcPr>
          <w:p w:rsidR="00F17840" w:rsidRPr="009461F0" w:rsidRDefault="00F17840" w:rsidP="009461F0">
            <w:pPr>
              <w:spacing w:after="0" w:line="240" w:lineRule="auto"/>
              <w:rPr>
                <w:bCs/>
                <w:sz w:val="24"/>
                <w:szCs w:val="24"/>
              </w:rPr>
            </w:pPr>
            <w:r w:rsidRPr="009461F0">
              <w:rPr>
                <w:bCs/>
                <w:sz w:val="24"/>
                <w:szCs w:val="24"/>
              </w:rPr>
              <w:t>World Organisation for Animal Health</w:t>
            </w:r>
          </w:p>
        </w:tc>
      </w:tr>
      <w:tr w:rsidR="00F17840" w:rsidRPr="009461F0" w:rsidTr="00B32EFA">
        <w:trPr>
          <w:trHeight w:val="480"/>
        </w:trPr>
        <w:tc>
          <w:tcPr>
            <w:tcW w:w="1720" w:type="dxa"/>
            <w:shd w:val="clear" w:color="auto" w:fill="auto"/>
            <w:noWrap/>
            <w:vAlign w:val="center"/>
            <w:hideMark/>
          </w:tcPr>
          <w:p w:rsidR="00F17840" w:rsidRPr="009461F0" w:rsidRDefault="00F17840" w:rsidP="009461F0">
            <w:pPr>
              <w:spacing w:after="0" w:line="240" w:lineRule="auto"/>
              <w:rPr>
                <w:b/>
                <w:bCs/>
                <w:sz w:val="24"/>
                <w:szCs w:val="24"/>
              </w:rPr>
            </w:pPr>
            <w:r w:rsidRPr="009461F0">
              <w:rPr>
                <w:b/>
                <w:bCs/>
                <w:sz w:val="24"/>
                <w:szCs w:val="24"/>
              </w:rPr>
              <w:t xml:space="preserve">PRA </w:t>
            </w:r>
          </w:p>
        </w:tc>
        <w:tc>
          <w:tcPr>
            <w:tcW w:w="7487" w:type="dxa"/>
            <w:shd w:val="clear" w:color="auto" w:fill="auto"/>
            <w:noWrap/>
            <w:vAlign w:val="center"/>
            <w:hideMark/>
          </w:tcPr>
          <w:p w:rsidR="00F17840" w:rsidRPr="009461F0" w:rsidRDefault="00F17840" w:rsidP="009461F0">
            <w:pPr>
              <w:spacing w:after="0" w:line="240" w:lineRule="auto"/>
              <w:rPr>
                <w:bCs/>
                <w:sz w:val="24"/>
                <w:szCs w:val="24"/>
              </w:rPr>
            </w:pPr>
            <w:r w:rsidRPr="009461F0">
              <w:rPr>
                <w:bCs/>
                <w:sz w:val="24"/>
                <w:szCs w:val="24"/>
              </w:rPr>
              <w:t>Pest Risk Analysis</w:t>
            </w:r>
          </w:p>
        </w:tc>
      </w:tr>
      <w:tr w:rsidR="00F17840" w:rsidRPr="009461F0" w:rsidTr="00B32EFA">
        <w:trPr>
          <w:trHeight w:val="480"/>
        </w:trPr>
        <w:tc>
          <w:tcPr>
            <w:tcW w:w="1720" w:type="dxa"/>
            <w:shd w:val="clear" w:color="auto" w:fill="auto"/>
            <w:noWrap/>
            <w:vAlign w:val="center"/>
            <w:hideMark/>
          </w:tcPr>
          <w:p w:rsidR="00F17840" w:rsidRPr="009461F0" w:rsidRDefault="00F17840" w:rsidP="009461F0">
            <w:pPr>
              <w:spacing w:after="0" w:line="240" w:lineRule="auto"/>
              <w:rPr>
                <w:b/>
                <w:bCs/>
                <w:sz w:val="24"/>
                <w:szCs w:val="24"/>
              </w:rPr>
            </w:pPr>
            <w:r w:rsidRPr="009461F0">
              <w:rPr>
                <w:b/>
                <w:bCs/>
                <w:sz w:val="24"/>
                <w:szCs w:val="24"/>
              </w:rPr>
              <w:t>SPS</w:t>
            </w:r>
          </w:p>
        </w:tc>
        <w:tc>
          <w:tcPr>
            <w:tcW w:w="7487" w:type="dxa"/>
            <w:shd w:val="clear" w:color="auto" w:fill="auto"/>
            <w:noWrap/>
            <w:vAlign w:val="center"/>
            <w:hideMark/>
          </w:tcPr>
          <w:p w:rsidR="00F17840" w:rsidRPr="000B41CB" w:rsidRDefault="00F17840" w:rsidP="009461F0">
            <w:pPr>
              <w:spacing w:after="0" w:line="240" w:lineRule="auto"/>
              <w:rPr>
                <w:bCs/>
                <w:sz w:val="24"/>
                <w:szCs w:val="24"/>
              </w:rPr>
            </w:pPr>
            <w:r w:rsidRPr="009461F0">
              <w:rPr>
                <w:bCs/>
                <w:sz w:val="24"/>
                <w:szCs w:val="24"/>
              </w:rPr>
              <w:t>Sanitary and Phytosanitary measures</w:t>
            </w:r>
          </w:p>
        </w:tc>
      </w:tr>
      <w:tr w:rsidR="000B41CB" w:rsidRPr="009461F0" w:rsidTr="00B32EFA">
        <w:trPr>
          <w:trHeight w:val="480"/>
        </w:trPr>
        <w:tc>
          <w:tcPr>
            <w:tcW w:w="1720" w:type="dxa"/>
            <w:shd w:val="clear" w:color="auto" w:fill="auto"/>
            <w:noWrap/>
            <w:vAlign w:val="center"/>
          </w:tcPr>
          <w:p w:rsidR="000B41CB" w:rsidRPr="009461F0" w:rsidRDefault="000B41CB" w:rsidP="009461F0">
            <w:pPr>
              <w:spacing w:after="0" w:line="240" w:lineRule="auto"/>
              <w:rPr>
                <w:b/>
                <w:bCs/>
                <w:sz w:val="24"/>
                <w:szCs w:val="24"/>
              </w:rPr>
            </w:pPr>
            <w:r>
              <w:rPr>
                <w:b/>
                <w:bCs/>
                <w:sz w:val="24"/>
                <w:szCs w:val="24"/>
              </w:rPr>
              <w:t>WTO</w:t>
            </w:r>
          </w:p>
        </w:tc>
        <w:tc>
          <w:tcPr>
            <w:tcW w:w="7487" w:type="dxa"/>
            <w:shd w:val="clear" w:color="auto" w:fill="auto"/>
            <w:noWrap/>
            <w:vAlign w:val="center"/>
          </w:tcPr>
          <w:p w:rsidR="000B41CB" w:rsidRPr="009461F0" w:rsidRDefault="000B41CB" w:rsidP="009461F0">
            <w:pPr>
              <w:spacing w:after="0" w:line="240" w:lineRule="auto"/>
              <w:rPr>
                <w:bCs/>
                <w:sz w:val="24"/>
                <w:szCs w:val="24"/>
              </w:rPr>
            </w:pPr>
            <w:r>
              <w:rPr>
                <w:bCs/>
                <w:sz w:val="24"/>
                <w:szCs w:val="24"/>
              </w:rPr>
              <w:t>World Trade Organisation</w:t>
            </w:r>
          </w:p>
        </w:tc>
      </w:tr>
    </w:tbl>
    <w:p w:rsidR="00937844" w:rsidRDefault="009A4D34">
      <w:pPr>
        <w:rPr>
          <w:rFonts w:eastAsiaTheme="majorEastAsia" w:cstheme="majorBidi"/>
          <w:b/>
          <w:bCs/>
          <w:sz w:val="28"/>
          <w:szCs w:val="28"/>
        </w:rPr>
      </w:pPr>
      <w:r>
        <w:br w:type="page"/>
      </w:r>
    </w:p>
    <w:p w:rsidR="00B32EFA" w:rsidRDefault="00B32EFA" w:rsidP="00862B00">
      <w:pPr>
        <w:pStyle w:val="Style4"/>
        <w:numPr>
          <w:ilvl w:val="0"/>
          <w:numId w:val="0"/>
        </w:numPr>
        <w:ind w:left="720"/>
      </w:pPr>
      <w:bookmarkStart w:id="2" w:name="_Toc323132088"/>
      <w:r>
        <w:lastRenderedPageBreak/>
        <w:t>Glossary of Terms</w:t>
      </w:r>
      <w:bookmarkEnd w:id="2"/>
    </w:p>
    <w:p w:rsidR="00832C1E" w:rsidRPr="00832C1E" w:rsidRDefault="00832C1E" w:rsidP="00832C1E">
      <w:pPr>
        <w:rPr>
          <w:color w:val="FF0000"/>
        </w:rPr>
      </w:pPr>
      <w:r>
        <w:rPr>
          <w:color w:val="FF0000"/>
        </w:rPr>
        <w:t>Not complete. I am considering that the first time each term is noted, to put * in the text, or to put the word as bold, to show that it is in the glossary.</w:t>
      </w:r>
      <w:r w:rsidR="000B41CB">
        <w:rPr>
          <w:color w:val="FF0000"/>
        </w:rPr>
        <w:t xml:space="preserve"> (It may be better to put this as an annex.)</w:t>
      </w:r>
    </w:p>
    <w:tbl>
      <w:tblPr>
        <w:tblW w:w="0" w:type="auto"/>
        <w:tblBorders>
          <w:top w:val="single" w:sz="8" w:space="0" w:color="4F81BD"/>
          <w:bottom w:val="single" w:sz="8" w:space="0" w:color="4F81BD"/>
        </w:tblBorders>
        <w:tblLook w:val="01E0" w:firstRow="1" w:lastRow="1" w:firstColumn="1" w:lastColumn="1" w:noHBand="0" w:noVBand="0"/>
      </w:tblPr>
      <w:tblGrid>
        <w:gridCol w:w="1908"/>
        <w:gridCol w:w="6948"/>
      </w:tblGrid>
      <w:tr w:rsidR="00F177BD" w:rsidRPr="006312E1" w:rsidTr="00B32EFA">
        <w:tc>
          <w:tcPr>
            <w:tcW w:w="1908" w:type="dxa"/>
            <w:tcBorders>
              <w:top w:val="nil"/>
              <w:bottom w:val="nil"/>
            </w:tcBorders>
          </w:tcPr>
          <w:p w:rsidR="00F177BD" w:rsidRPr="00DD59EF" w:rsidRDefault="00F177BD" w:rsidP="00862B00">
            <w:pPr>
              <w:spacing w:after="0" w:line="240" w:lineRule="auto"/>
              <w:rPr>
                <w:b/>
                <w:bCs/>
                <w:i/>
                <w:sz w:val="24"/>
                <w:szCs w:val="24"/>
              </w:rPr>
            </w:pPr>
            <w:r w:rsidRPr="00DD59EF">
              <w:rPr>
                <w:b/>
                <w:bCs/>
                <w:i/>
                <w:sz w:val="24"/>
                <w:szCs w:val="24"/>
              </w:rPr>
              <w:t>appropriate level of protection</w:t>
            </w:r>
          </w:p>
        </w:tc>
        <w:tc>
          <w:tcPr>
            <w:tcW w:w="6948" w:type="dxa"/>
            <w:tcBorders>
              <w:top w:val="nil"/>
              <w:bottom w:val="nil"/>
            </w:tcBorders>
          </w:tcPr>
          <w:p w:rsidR="00F177BD" w:rsidRPr="00DD59EF" w:rsidRDefault="00F177BD" w:rsidP="00F177BD">
            <w:pPr>
              <w:spacing w:line="240" w:lineRule="auto"/>
              <w:rPr>
                <w:bCs/>
                <w:i/>
                <w:sz w:val="24"/>
                <w:szCs w:val="24"/>
              </w:rPr>
            </w:pPr>
            <w:r w:rsidRPr="00DD59EF">
              <w:rPr>
                <w:bCs/>
                <w:i/>
                <w:sz w:val="24"/>
                <w:szCs w:val="24"/>
              </w:rPr>
              <w:t>Appropriate level of sanitary or phytosanitary protection - The level of protection deemed appropriate by the Member establishing a sanitary or phytosanitary measure to protect human, animal or plant life or health within its territory. (WTO SPS Agreement)</w:t>
            </w:r>
          </w:p>
          <w:p w:rsidR="00F177BD" w:rsidRPr="006312E1" w:rsidRDefault="00F177BD" w:rsidP="00F177BD">
            <w:pPr>
              <w:spacing w:line="240" w:lineRule="auto"/>
              <w:rPr>
                <w:bCs/>
                <w:sz w:val="24"/>
                <w:szCs w:val="24"/>
              </w:rPr>
            </w:pPr>
            <w:r w:rsidRPr="00DD59EF">
              <w:rPr>
                <w:bCs/>
                <w:i/>
                <w:sz w:val="24"/>
                <w:szCs w:val="24"/>
              </w:rPr>
              <w:t>NOTE: Many Members otherwise refer to this concept as the "acceptable level of risk".</w:t>
            </w:r>
          </w:p>
        </w:tc>
      </w:tr>
      <w:tr w:rsidR="00B32EFA" w:rsidRPr="006312E1" w:rsidTr="00B32EFA">
        <w:tc>
          <w:tcPr>
            <w:tcW w:w="1908" w:type="dxa"/>
            <w:tcBorders>
              <w:top w:val="nil"/>
              <w:bottom w:val="nil"/>
            </w:tcBorders>
          </w:tcPr>
          <w:p w:rsidR="00B32EFA" w:rsidRPr="006312E1" w:rsidRDefault="00B32EFA" w:rsidP="00862B00">
            <w:pPr>
              <w:spacing w:after="0" w:line="240" w:lineRule="auto"/>
              <w:rPr>
                <w:b/>
                <w:bCs/>
                <w:sz w:val="24"/>
                <w:szCs w:val="24"/>
              </w:rPr>
            </w:pPr>
            <w:r w:rsidRPr="006312E1">
              <w:rPr>
                <w:b/>
                <w:bCs/>
                <w:sz w:val="24"/>
                <w:szCs w:val="24"/>
              </w:rPr>
              <w:t>audit</w:t>
            </w:r>
          </w:p>
        </w:tc>
        <w:tc>
          <w:tcPr>
            <w:tcW w:w="6948" w:type="dxa"/>
            <w:tcBorders>
              <w:top w:val="nil"/>
              <w:bottom w:val="nil"/>
            </w:tcBorders>
          </w:tcPr>
          <w:p w:rsidR="00B32EFA" w:rsidRPr="006312E1" w:rsidRDefault="00B32EFA" w:rsidP="00862B00">
            <w:pPr>
              <w:spacing w:line="240" w:lineRule="auto"/>
              <w:rPr>
                <w:b/>
                <w:bCs/>
                <w:sz w:val="24"/>
                <w:szCs w:val="24"/>
              </w:rPr>
            </w:pPr>
            <w:r w:rsidRPr="006312E1">
              <w:rPr>
                <w:bCs/>
                <w:sz w:val="24"/>
                <w:szCs w:val="24"/>
              </w:rPr>
              <w:t>Periodic official review to verify that a treatment or Systems Approach is being carried out according to the information stated in the DSS. This review is based on the treatment audit trail.</w:t>
            </w:r>
          </w:p>
        </w:tc>
      </w:tr>
      <w:tr w:rsidR="00B32EFA" w:rsidRPr="006312E1" w:rsidTr="00B32EFA">
        <w:tc>
          <w:tcPr>
            <w:tcW w:w="1908" w:type="dxa"/>
            <w:tcBorders>
              <w:top w:val="nil"/>
            </w:tcBorders>
          </w:tcPr>
          <w:p w:rsidR="00B32EFA" w:rsidRPr="006312E1" w:rsidRDefault="00B32EFA" w:rsidP="00862B00">
            <w:pPr>
              <w:spacing w:after="0" w:line="240" w:lineRule="auto"/>
              <w:rPr>
                <w:b/>
                <w:bCs/>
                <w:sz w:val="24"/>
                <w:szCs w:val="24"/>
              </w:rPr>
            </w:pPr>
            <w:r w:rsidRPr="006312E1">
              <w:rPr>
                <w:b/>
                <w:bCs/>
                <w:sz w:val="24"/>
                <w:szCs w:val="24"/>
              </w:rPr>
              <w:t>audit trail</w:t>
            </w:r>
          </w:p>
        </w:tc>
        <w:tc>
          <w:tcPr>
            <w:tcW w:w="6948" w:type="dxa"/>
            <w:tcBorders>
              <w:top w:val="nil"/>
            </w:tcBorders>
          </w:tcPr>
          <w:p w:rsidR="00B32EFA" w:rsidRPr="006312E1" w:rsidRDefault="00B32EFA" w:rsidP="00862B00">
            <w:pPr>
              <w:spacing w:line="240" w:lineRule="auto"/>
              <w:rPr>
                <w:bCs/>
                <w:sz w:val="24"/>
                <w:szCs w:val="24"/>
              </w:rPr>
            </w:pPr>
            <w:r w:rsidRPr="006312E1">
              <w:rPr>
                <w:bCs/>
                <w:sz w:val="24"/>
                <w:szCs w:val="24"/>
              </w:rPr>
              <w:t>The necessary and sufficient documentary evidence that a measure is being carried out in accordance with the information stated in the DSS.</w:t>
            </w:r>
          </w:p>
        </w:tc>
      </w:tr>
      <w:tr w:rsidR="00B32EFA" w:rsidRPr="006312E1" w:rsidTr="00862B00">
        <w:tc>
          <w:tcPr>
            <w:tcW w:w="1908" w:type="dxa"/>
          </w:tcPr>
          <w:p w:rsidR="00B32EFA" w:rsidRPr="006312E1" w:rsidRDefault="00B32EFA" w:rsidP="00862B00">
            <w:pPr>
              <w:spacing w:after="0" w:line="240" w:lineRule="auto"/>
              <w:rPr>
                <w:b/>
                <w:bCs/>
                <w:sz w:val="24"/>
                <w:szCs w:val="24"/>
              </w:rPr>
            </w:pPr>
            <w:r w:rsidRPr="006312E1">
              <w:rPr>
                <w:b/>
                <w:bCs/>
                <w:sz w:val="24"/>
                <w:szCs w:val="24"/>
              </w:rPr>
              <w:t>control point</w:t>
            </w:r>
          </w:p>
        </w:tc>
        <w:tc>
          <w:tcPr>
            <w:tcW w:w="6948" w:type="dxa"/>
          </w:tcPr>
          <w:p w:rsidR="00B32EFA" w:rsidRPr="006312E1" w:rsidRDefault="00B32EFA" w:rsidP="00862B00">
            <w:pPr>
              <w:spacing w:line="240" w:lineRule="auto"/>
              <w:rPr>
                <w:b/>
                <w:bCs/>
                <w:sz w:val="24"/>
                <w:szCs w:val="24"/>
              </w:rPr>
            </w:pPr>
            <w:r w:rsidRPr="006312E1">
              <w:rPr>
                <w:bCs/>
                <w:sz w:val="24"/>
                <w:szCs w:val="24"/>
              </w:rPr>
              <w:t>A step in a system where specific procedures can be applied to achieve a defined effect and can be measured, monitored, controlled and corrected [ISPM No. 14, 2002]</w:t>
            </w:r>
          </w:p>
        </w:tc>
      </w:tr>
      <w:tr w:rsidR="00B32EFA" w:rsidRPr="006312E1" w:rsidTr="00862B00">
        <w:tc>
          <w:tcPr>
            <w:tcW w:w="1908" w:type="dxa"/>
          </w:tcPr>
          <w:p w:rsidR="00B32EFA" w:rsidRPr="006312E1" w:rsidRDefault="00B32EFA" w:rsidP="00862B00">
            <w:pPr>
              <w:spacing w:after="0" w:line="240" w:lineRule="auto"/>
              <w:rPr>
                <w:b/>
                <w:bCs/>
                <w:color w:val="000000"/>
                <w:sz w:val="24"/>
                <w:szCs w:val="24"/>
              </w:rPr>
            </w:pPr>
            <w:r w:rsidRPr="006312E1">
              <w:rPr>
                <w:b/>
                <w:bCs/>
                <w:color w:val="000000"/>
                <w:sz w:val="24"/>
                <w:szCs w:val="24"/>
              </w:rPr>
              <w:t xml:space="preserve">efficacy </w:t>
            </w:r>
            <w:r w:rsidRPr="006312E1">
              <w:rPr>
                <w:bCs/>
                <w:color w:val="000000"/>
                <w:sz w:val="24"/>
                <w:szCs w:val="24"/>
              </w:rPr>
              <w:t>(</w:t>
            </w:r>
            <w:r w:rsidRPr="006312E1">
              <w:rPr>
                <w:bCs/>
                <w:i/>
                <w:color w:val="000000"/>
                <w:sz w:val="24"/>
                <w:szCs w:val="24"/>
              </w:rPr>
              <w:t>treatment</w:t>
            </w:r>
            <w:r w:rsidRPr="006312E1">
              <w:rPr>
                <w:bCs/>
                <w:color w:val="000000"/>
                <w:sz w:val="24"/>
                <w:szCs w:val="24"/>
              </w:rPr>
              <w:t>)</w:t>
            </w:r>
          </w:p>
        </w:tc>
        <w:tc>
          <w:tcPr>
            <w:tcW w:w="6948" w:type="dxa"/>
          </w:tcPr>
          <w:p w:rsidR="00B32EFA" w:rsidRPr="006312E1" w:rsidRDefault="00B32EFA" w:rsidP="00862B00">
            <w:pPr>
              <w:spacing w:line="240" w:lineRule="auto"/>
              <w:rPr>
                <w:b/>
                <w:bCs/>
                <w:color w:val="000000"/>
                <w:sz w:val="24"/>
                <w:szCs w:val="24"/>
              </w:rPr>
            </w:pPr>
            <w:r w:rsidRPr="006312E1">
              <w:rPr>
                <w:bCs/>
                <w:color w:val="000000"/>
                <w:sz w:val="24"/>
                <w:szCs w:val="24"/>
              </w:rPr>
              <w:t>A defined, measurable, and reproducible effect by a prescribed treatment [ISPM No. 18, 2003]</w:t>
            </w:r>
          </w:p>
        </w:tc>
      </w:tr>
      <w:tr w:rsidR="00B32EFA" w:rsidRPr="006312E1" w:rsidTr="00862B00">
        <w:tc>
          <w:tcPr>
            <w:tcW w:w="1908" w:type="dxa"/>
          </w:tcPr>
          <w:p w:rsidR="00B32EFA" w:rsidRPr="006312E1" w:rsidRDefault="00B32EFA" w:rsidP="00862B00">
            <w:pPr>
              <w:spacing w:after="0" w:line="240" w:lineRule="auto"/>
              <w:rPr>
                <w:b/>
                <w:bCs/>
                <w:sz w:val="24"/>
                <w:szCs w:val="24"/>
              </w:rPr>
            </w:pPr>
            <w:r w:rsidRPr="006312E1">
              <w:rPr>
                <w:b/>
                <w:bCs/>
                <w:sz w:val="24"/>
                <w:szCs w:val="24"/>
              </w:rPr>
              <w:t xml:space="preserve">entry </w:t>
            </w:r>
            <w:r w:rsidRPr="006312E1">
              <w:rPr>
                <w:bCs/>
                <w:sz w:val="24"/>
                <w:szCs w:val="24"/>
              </w:rPr>
              <w:t>(</w:t>
            </w:r>
            <w:r w:rsidRPr="006312E1">
              <w:rPr>
                <w:bCs/>
                <w:i/>
                <w:sz w:val="24"/>
                <w:szCs w:val="24"/>
              </w:rPr>
              <w:t>of a pest</w:t>
            </w:r>
            <w:r w:rsidRPr="006312E1">
              <w:rPr>
                <w:bCs/>
                <w:sz w:val="24"/>
                <w:szCs w:val="24"/>
              </w:rPr>
              <w:t>)</w:t>
            </w:r>
          </w:p>
        </w:tc>
        <w:tc>
          <w:tcPr>
            <w:tcW w:w="6948" w:type="dxa"/>
          </w:tcPr>
          <w:p w:rsidR="00B32EFA" w:rsidRPr="006312E1" w:rsidRDefault="00B32EFA" w:rsidP="00862B00">
            <w:pPr>
              <w:spacing w:line="240" w:lineRule="auto"/>
              <w:rPr>
                <w:b/>
                <w:bCs/>
                <w:sz w:val="24"/>
                <w:szCs w:val="24"/>
              </w:rPr>
            </w:pPr>
            <w:r w:rsidRPr="006312E1">
              <w:rPr>
                <w:bCs/>
                <w:sz w:val="24"/>
                <w:szCs w:val="24"/>
              </w:rPr>
              <w:t>Movement of a pest into an area where it is not yet present, or present but not widely distributed and being officially controlled [FAO, 1995]</w:t>
            </w:r>
          </w:p>
        </w:tc>
      </w:tr>
      <w:tr w:rsidR="00B32EFA" w:rsidRPr="006312E1" w:rsidTr="00862B00">
        <w:tc>
          <w:tcPr>
            <w:tcW w:w="1908" w:type="dxa"/>
          </w:tcPr>
          <w:p w:rsidR="00B32EFA" w:rsidRPr="006312E1" w:rsidRDefault="00B32EFA" w:rsidP="00862B00">
            <w:pPr>
              <w:spacing w:after="0" w:line="240" w:lineRule="auto"/>
              <w:rPr>
                <w:b/>
                <w:bCs/>
                <w:i/>
                <w:sz w:val="24"/>
                <w:szCs w:val="24"/>
              </w:rPr>
            </w:pPr>
            <w:r w:rsidRPr="006312E1">
              <w:rPr>
                <w:b/>
                <w:bCs/>
                <w:sz w:val="24"/>
                <w:szCs w:val="24"/>
              </w:rPr>
              <w:t>free from</w:t>
            </w:r>
            <w:r w:rsidRPr="006312E1">
              <w:rPr>
                <w:bCs/>
                <w:sz w:val="24"/>
                <w:szCs w:val="24"/>
              </w:rPr>
              <w:t xml:space="preserve"> (</w:t>
            </w:r>
            <w:r w:rsidRPr="006312E1">
              <w:rPr>
                <w:bCs/>
                <w:i/>
                <w:sz w:val="24"/>
                <w:szCs w:val="24"/>
              </w:rPr>
              <w:t>of a consignment,</w:t>
            </w:r>
          </w:p>
          <w:p w:rsidR="00B32EFA" w:rsidRPr="006312E1" w:rsidRDefault="00B32EFA" w:rsidP="00862B00">
            <w:pPr>
              <w:spacing w:after="0" w:line="240" w:lineRule="auto"/>
              <w:rPr>
                <w:b/>
                <w:bCs/>
                <w:sz w:val="24"/>
                <w:szCs w:val="24"/>
              </w:rPr>
            </w:pPr>
            <w:r w:rsidRPr="006312E1">
              <w:rPr>
                <w:bCs/>
                <w:i/>
                <w:sz w:val="24"/>
                <w:szCs w:val="24"/>
              </w:rPr>
              <w:t>field or place of production</w:t>
            </w:r>
            <w:r w:rsidRPr="006312E1">
              <w:rPr>
                <w:bCs/>
                <w:sz w:val="24"/>
                <w:szCs w:val="24"/>
              </w:rPr>
              <w:t>)</w:t>
            </w:r>
          </w:p>
        </w:tc>
        <w:tc>
          <w:tcPr>
            <w:tcW w:w="6948" w:type="dxa"/>
          </w:tcPr>
          <w:p w:rsidR="00B32EFA" w:rsidRPr="006312E1" w:rsidRDefault="00B32EFA" w:rsidP="00862B00">
            <w:pPr>
              <w:spacing w:line="240" w:lineRule="auto"/>
              <w:rPr>
                <w:b/>
                <w:bCs/>
                <w:sz w:val="24"/>
                <w:szCs w:val="24"/>
              </w:rPr>
            </w:pPr>
            <w:r w:rsidRPr="006312E1">
              <w:rPr>
                <w:bCs/>
                <w:sz w:val="24"/>
                <w:szCs w:val="24"/>
              </w:rPr>
              <w:t>Without pests (or a specific pest) in numbers or quantities that can be detected by the application of phytosanitary procedures [FAO, 1990; revised FAO, 1995; CEPM, 1999]</w:t>
            </w:r>
          </w:p>
        </w:tc>
      </w:tr>
      <w:tr w:rsidR="00B32EFA" w:rsidRPr="006312E1" w:rsidTr="00862B00">
        <w:tc>
          <w:tcPr>
            <w:tcW w:w="1908" w:type="dxa"/>
          </w:tcPr>
          <w:p w:rsidR="00B32EFA" w:rsidRPr="006312E1" w:rsidRDefault="00B32EFA" w:rsidP="00862B00">
            <w:pPr>
              <w:spacing w:after="0" w:line="240" w:lineRule="auto"/>
              <w:rPr>
                <w:b/>
                <w:bCs/>
                <w:sz w:val="24"/>
                <w:szCs w:val="24"/>
              </w:rPr>
            </w:pPr>
            <w:r w:rsidRPr="006312E1">
              <w:rPr>
                <w:b/>
                <w:bCs/>
                <w:sz w:val="24"/>
                <w:szCs w:val="24"/>
              </w:rPr>
              <w:t>interception</w:t>
            </w:r>
            <w:r w:rsidRPr="006312E1">
              <w:rPr>
                <w:bCs/>
                <w:sz w:val="24"/>
                <w:szCs w:val="24"/>
              </w:rPr>
              <w:t xml:space="preserve"> (</w:t>
            </w:r>
            <w:r w:rsidRPr="006312E1">
              <w:rPr>
                <w:bCs/>
                <w:i/>
                <w:sz w:val="24"/>
                <w:szCs w:val="24"/>
              </w:rPr>
              <w:t>of a pest</w:t>
            </w:r>
            <w:r w:rsidRPr="006312E1">
              <w:rPr>
                <w:bCs/>
                <w:sz w:val="24"/>
                <w:szCs w:val="24"/>
              </w:rPr>
              <w:t>)</w:t>
            </w:r>
          </w:p>
        </w:tc>
        <w:tc>
          <w:tcPr>
            <w:tcW w:w="6948" w:type="dxa"/>
          </w:tcPr>
          <w:p w:rsidR="00B32EFA" w:rsidRPr="006312E1" w:rsidRDefault="00B32EFA" w:rsidP="00862B00">
            <w:pPr>
              <w:spacing w:line="240" w:lineRule="auto"/>
              <w:rPr>
                <w:b/>
                <w:bCs/>
                <w:sz w:val="24"/>
                <w:szCs w:val="24"/>
              </w:rPr>
            </w:pPr>
            <w:r w:rsidRPr="006312E1">
              <w:rPr>
                <w:bCs/>
                <w:sz w:val="24"/>
                <w:szCs w:val="24"/>
              </w:rPr>
              <w:t>The detection of a pest during inspection or testing of an imported consignment [FAO, 1990; revised CEPM, 1996]</w:t>
            </w:r>
          </w:p>
        </w:tc>
      </w:tr>
      <w:tr w:rsidR="00B32EFA" w:rsidRPr="006312E1" w:rsidTr="00862B00">
        <w:tc>
          <w:tcPr>
            <w:tcW w:w="1908" w:type="dxa"/>
          </w:tcPr>
          <w:p w:rsidR="00B32EFA" w:rsidRPr="006312E1" w:rsidRDefault="00B32EFA" w:rsidP="00862B00">
            <w:pPr>
              <w:spacing w:after="0" w:line="240" w:lineRule="auto"/>
              <w:rPr>
                <w:b/>
                <w:bCs/>
                <w:sz w:val="24"/>
                <w:szCs w:val="24"/>
              </w:rPr>
            </w:pPr>
            <w:r w:rsidRPr="006312E1">
              <w:rPr>
                <w:b/>
                <w:bCs/>
                <w:sz w:val="24"/>
                <w:szCs w:val="24"/>
              </w:rPr>
              <w:t>monitoring of control point(s)</w:t>
            </w:r>
          </w:p>
        </w:tc>
        <w:tc>
          <w:tcPr>
            <w:tcW w:w="6948" w:type="dxa"/>
          </w:tcPr>
          <w:p w:rsidR="00B32EFA" w:rsidRPr="006312E1" w:rsidRDefault="00B32EFA" w:rsidP="00862B00">
            <w:pPr>
              <w:spacing w:line="240" w:lineRule="auto"/>
              <w:rPr>
                <w:bCs/>
                <w:sz w:val="24"/>
                <w:szCs w:val="24"/>
              </w:rPr>
            </w:pPr>
            <w:r w:rsidRPr="006312E1">
              <w:rPr>
                <w:bCs/>
                <w:sz w:val="24"/>
                <w:szCs w:val="24"/>
              </w:rPr>
              <w:t>A planned sequence of observations or measurements {official or not} at predetermined Control Points (CPs) to determine whether the Systems Approach plan has been followed. Therefore each CP monitoring consists of the verifications of the measures relevant to that CP.</w:t>
            </w:r>
          </w:p>
        </w:tc>
      </w:tr>
      <w:tr w:rsidR="00B32EFA" w:rsidRPr="006312E1" w:rsidTr="00862B00">
        <w:tc>
          <w:tcPr>
            <w:tcW w:w="1908" w:type="dxa"/>
          </w:tcPr>
          <w:p w:rsidR="00B32EFA" w:rsidRPr="006312E1" w:rsidRDefault="00B32EFA" w:rsidP="00862B00">
            <w:pPr>
              <w:spacing w:after="0" w:line="240" w:lineRule="auto"/>
              <w:rPr>
                <w:b/>
                <w:bCs/>
                <w:sz w:val="24"/>
                <w:szCs w:val="24"/>
              </w:rPr>
            </w:pPr>
            <w:r w:rsidRPr="006312E1">
              <w:rPr>
                <w:b/>
                <w:bCs/>
                <w:sz w:val="24"/>
                <w:szCs w:val="24"/>
              </w:rPr>
              <w:t>pathway</w:t>
            </w:r>
          </w:p>
        </w:tc>
        <w:tc>
          <w:tcPr>
            <w:tcW w:w="6948" w:type="dxa"/>
          </w:tcPr>
          <w:p w:rsidR="00B32EFA" w:rsidRPr="006312E1" w:rsidRDefault="00B32EFA" w:rsidP="00862B00">
            <w:pPr>
              <w:spacing w:line="240" w:lineRule="auto"/>
              <w:rPr>
                <w:b/>
                <w:bCs/>
                <w:sz w:val="24"/>
                <w:szCs w:val="24"/>
              </w:rPr>
            </w:pPr>
            <w:r w:rsidRPr="006312E1">
              <w:rPr>
                <w:bCs/>
                <w:sz w:val="24"/>
                <w:szCs w:val="24"/>
              </w:rPr>
              <w:t xml:space="preserve">Any means that allows the entry or spread of a pest [FAO, 1990; </w:t>
            </w:r>
            <w:r w:rsidRPr="006312E1">
              <w:rPr>
                <w:bCs/>
                <w:sz w:val="24"/>
                <w:szCs w:val="24"/>
              </w:rPr>
              <w:lastRenderedPageBreak/>
              <w:t>revised FAO, 1995]</w:t>
            </w:r>
          </w:p>
        </w:tc>
      </w:tr>
      <w:tr w:rsidR="00B32EFA" w:rsidRPr="006312E1" w:rsidTr="009461F0">
        <w:tc>
          <w:tcPr>
            <w:tcW w:w="1908" w:type="dxa"/>
            <w:tcBorders>
              <w:bottom w:val="nil"/>
            </w:tcBorders>
          </w:tcPr>
          <w:p w:rsidR="00B32EFA" w:rsidRPr="006312E1" w:rsidRDefault="00B32EFA" w:rsidP="00862B00">
            <w:pPr>
              <w:spacing w:after="0" w:line="240" w:lineRule="auto"/>
              <w:rPr>
                <w:b/>
                <w:bCs/>
                <w:color w:val="000000"/>
                <w:sz w:val="24"/>
              </w:rPr>
            </w:pPr>
            <w:r w:rsidRPr="006312E1">
              <w:rPr>
                <w:rFonts w:cs="Times-Bold"/>
                <w:b/>
                <w:color w:val="000000"/>
                <w:sz w:val="24"/>
              </w:rPr>
              <w:lastRenderedPageBreak/>
              <w:t>pest</w:t>
            </w:r>
          </w:p>
        </w:tc>
        <w:tc>
          <w:tcPr>
            <w:tcW w:w="6948" w:type="dxa"/>
            <w:tcBorders>
              <w:bottom w:val="nil"/>
            </w:tcBorders>
          </w:tcPr>
          <w:p w:rsidR="00B32EFA" w:rsidRPr="006312E1" w:rsidRDefault="00B32EFA" w:rsidP="00862B00">
            <w:pPr>
              <w:spacing w:line="240" w:lineRule="auto"/>
              <w:rPr>
                <w:b/>
                <w:bCs/>
                <w:sz w:val="24"/>
              </w:rPr>
            </w:pPr>
            <w:r w:rsidRPr="006312E1">
              <w:rPr>
                <w:bCs/>
                <w:sz w:val="24"/>
              </w:rPr>
              <w:t>Any species, strain or biotype of plant, animal or pathogenic agent injurious to plants or plant products [FAO, 1990; revised FAO, 1995; IPPC, 1997]</w:t>
            </w:r>
          </w:p>
        </w:tc>
      </w:tr>
      <w:tr w:rsidR="00B32EFA" w:rsidRPr="006312E1" w:rsidTr="009461F0">
        <w:tc>
          <w:tcPr>
            <w:tcW w:w="1908" w:type="dxa"/>
            <w:tcBorders>
              <w:top w:val="nil"/>
              <w:bottom w:val="nil"/>
            </w:tcBorders>
          </w:tcPr>
          <w:p w:rsidR="00B32EFA" w:rsidRPr="006312E1" w:rsidRDefault="00B32EFA" w:rsidP="00862B00">
            <w:pPr>
              <w:spacing w:after="0" w:line="240" w:lineRule="auto"/>
              <w:rPr>
                <w:b/>
                <w:bCs/>
                <w:sz w:val="24"/>
              </w:rPr>
            </w:pPr>
            <w:r w:rsidRPr="006312E1">
              <w:rPr>
                <w:b/>
                <w:bCs/>
                <w:sz w:val="24"/>
              </w:rPr>
              <w:t>Pest Free Area</w:t>
            </w:r>
          </w:p>
        </w:tc>
        <w:tc>
          <w:tcPr>
            <w:tcW w:w="6948" w:type="dxa"/>
            <w:tcBorders>
              <w:top w:val="nil"/>
              <w:bottom w:val="nil"/>
            </w:tcBorders>
          </w:tcPr>
          <w:p w:rsidR="00B32EFA" w:rsidRPr="006312E1" w:rsidRDefault="00B32EFA" w:rsidP="00862B00">
            <w:pPr>
              <w:spacing w:line="240" w:lineRule="auto"/>
              <w:rPr>
                <w:b/>
                <w:bCs/>
                <w:sz w:val="24"/>
              </w:rPr>
            </w:pPr>
            <w:r w:rsidRPr="006312E1">
              <w:rPr>
                <w:bCs/>
                <w:sz w:val="24"/>
              </w:rPr>
              <w:t>An area in which a specific pest does not occur as demonstrated by scientific evidence and in which, where appropriate, this condition is being officially maintained [FAO, 1995]</w:t>
            </w:r>
          </w:p>
        </w:tc>
      </w:tr>
      <w:tr w:rsidR="00B32EFA" w:rsidRPr="006312E1" w:rsidTr="009461F0">
        <w:tc>
          <w:tcPr>
            <w:tcW w:w="1908" w:type="dxa"/>
            <w:tcBorders>
              <w:top w:val="nil"/>
              <w:bottom w:val="nil"/>
            </w:tcBorders>
          </w:tcPr>
          <w:p w:rsidR="00B32EFA" w:rsidRPr="006312E1" w:rsidRDefault="00B32EFA" w:rsidP="00862B00">
            <w:pPr>
              <w:spacing w:after="0" w:line="240" w:lineRule="auto"/>
              <w:rPr>
                <w:b/>
                <w:bCs/>
                <w:sz w:val="24"/>
              </w:rPr>
            </w:pPr>
            <w:r w:rsidRPr="006312E1">
              <w:rPr>
                <w:b/>
                <w:bCs/>
                <w:sz w:val="24"/>
              </w:rPr>
              <w:t>pest free place of production</w:t>
            </w:r>
          </w:p>
        </w:tc>
        <w:tc>
          <w:tcPr>
            <w:tcW w:w="6948" w:type="dxa"/>
            <w:tcBorders>
              <w:top w:val="nil"/>
              <w:bottom w:val="nil"/>
            </w:tcBorders>
          </w:tcPr>
          <w:p w:rsidR="00B32EFA" w:rsidRPr="006312E1" w:rsidRDefault="00B32EFA" w:rsidP="00862B00">
            <w:pPr>
              <w:spacing w:line="240" w:lineRule="auto"/>
              <w:rPr>
                <w:b/>
                <w:bCs/>
                <w:sz w:val="24"/>
              </w:rPr>
            </w:pPr>
            <w:r w:rsidRPr="006312E1">
              <w:rPr>
                <w:bCs/>
                <w:sz w:val="24"/>
              </w:rPr>
              <w:t>Place of production in which a specific pest does not occur as demonstrated by scientific evidence and in which, where appropriate, this condition is being officially maintained for a defined period [ISPM No. 10, 1999]</w:t>
            </w:r>
          </w:p>
        </w:tc>
      </w:tr>
      <w:tr w:rsidR="00B32EFA" w:rsidRPr="006312E1" w:rsidTr="009461F0">
        <w:tc>
          <w:tcPr>
            <w:tcW w:w="1908" w:type="dxa"/>
            <w:tcBorders>
              <w:top w:val="nil"/>
              <w:bottom w:val="nil"/>
            </w:tcBorders>
          </w:tcPr>
          <w:p w:rsidR="00B32EFA" w:rsidRPr="006312E1" w:rsidRDefault="00B32EFA" w:rsidP="00862B00">
            <w:pPr>
              <w:spacing w:after="0" w:line="240" w:lineRule="auto"/>
              <w:rPr>
                <w:b/>
                <w:bCs/>
                <w:sz w:val="24"/>
              </w:rPr>
            </w:pPr>
            <w:r w:rsidRPr="006312E1">
              <w:rPr>
                <w:b/>
                <w:bCs/>
                <w:sz w:val="24"/>
              </w:rPr>
              <w:t>pest free production site</w:t>
            </w:r>
          </w:p>
        </w:tc>
        <w:tc>
          <w:tcPr>
            <w:tcW w:w="6948" w:type="dxa"/>
            <w:tcBorders>
              <w:top w:val="nil"/>
              <w:bottom w:val="nil"/>
            </w:tcBorders>
          </w:tcPr>
          <w:p w:rsidR="00B32EFA" w:rsidRPr="006312E1" w:rsidRDefault="00B32EFA" w:rsidP="00862B00">
            <w:pPr>
              <w:spacing w:line="240" w:lineRule="auto"/>
              <w:rPr>
                <w:b/>
                <w:bCs/>
                <w:sz w:val="24"/>
              </w:rPr>
            </w:pPr>
            <w:r w:rsidRPr="006312E1">
              <w:rPr>
                <w:bCs/>
                <w:sz w:val="24"/>
              </w:rPr>
              <w:t>A defined portion of a place of production in which a specific pest does not occur as demonstrated by scientific evidence and in which, where appropriate, this condition is being officially maintained for a defined period and that is managed as a separate unit in the same way as a pest free place of production [ISPM No. 10, 1999]</w:t>
            </w:r>
          </w:p>
        </w:tc>
      </w:tr>
      <w:tr w:rsidR="00B32EFA" w:rsidRPr="006312E1" w:rsidTr="009461F0">
        <w:tc>
          <w:tcPr>
            <w:tcW w:w="1908" w:type="dxa"/>
            <w:tcBorders>
              <w:top w:val="nil"/>
            </w:tcBorders>
          </w:tcPr>
          <w:p w:rsidR="00B32EFA" w:rsidRPr="006312E1" w:rsidRDefault="00B32EFA" w:rsidP="00862B00">
            <w:pPr>
              <w:spacing w:after="0" w:line="240" w:lineRule="auto"/>
              <w:rPr>
                <w:b/>
                <w:bCs/>
                <w:sz w:val="24"/>
              </w:rPr>
            </w:pPr>
            <w:r w:rsidRPr="006312E1">
              <w:rPr>
                <w:b/>
                <w:bCs/>
                <w:sz w:val="24"/>
              </w:rPr>
              <w:t>pest risk</w:t>
            </w:r>
            <w:r w:rsidRPr="006312E1">
              <w:rPr>
                <w:bCs/>
                <w:sz w:val="24"/>
              </w:rPr>
              <w:t xml:space="preserve"> (</w:t>
            </w:r>
            <w:r w:rsidRPr="006312E1">
              <w:rPr>
                <w:bCs/>
                <w:i/>
                <w:sz w:val="24"/>
              </w:rPr>
              <w:t xml:space="preserve">for </w:t>
            </w:r>
            <w:r w:rsidRPr="006312E1">
              <w:rPr>
                <w:b/>
                <w:bCs/>
                <w:i/>
                <w:sz w:val="24"/>
              </w:rPr>
              <w:t>quarantine</w:t>
            </w:r>
            <w:r w:rsidRPr="006312E1">
              <w:rPr>
                <w:bCs/>
                <w:i/>
                <w:sz w:val="24"/>
              </w:rPr>
              <w:t xml:space="preserve"> pests</w:t>
            </w:r>
            <w:r w:rsidRPr="006312E1">
              <w:rPr>
                <w:bCs/>
                <w:sz w:val="24"/>
              </w:rPr>
              <w:t>)</w:t>
            </w:r>
          </w:p>
        </w:tc>
        <w:tc>
          <w:tcPr>
            <w:tcW w:w="6948" w:type="dxa"/>
            <w:tcBorders>
              <w:top w:val="nil"/>
            </w:tcBorders>
          </w:tcPr>
          <w:p w:rsidR="00B32EFA" w:rsidRPr="006312E1" w:rsidRDefault="00B32EFA" w:rsidP="00862B00">
            <w:pPr>
              <w:spacing w:line="240" w:lineRule="auto"/>
              <w:rPr>
                <w:b/>
                <w:bCs/>
                <w:sz w:val="24"/>
              </w:rPr>
            </w:pPr>
            <w:r w:rsidRPr="006312E1">
              <w:rPr>
                <w:bCs/>
                <w:sz w:val="24"/>
              </w:rPr>
              <w:t>The probability of introduction and spread of a pest and the magnitude of the associated potential economic consequences (see Glossary Supplement No. 2) [ISPM No. 2, 2007]</w:t>
            </w:r>
          </w:p>
        </w:tc>
      </w:tr>
      <w:tr w:rsidR="00B32EFA" w:rsidRPr="006312E1" w:rsidTr="00862B00">
        <w:tc>
          <w:tcPr>
            <w:tcW w:w="1908" w:type="dxa"/>
            <w:tcBorders>
              <w:bottom w:val="nil"/>
            </w:tcBorders>
          </w:tcPr>
          <w:p w:rsidR="00B32EFA" w:rsidRPr="006312E1" w:rsidRDefault="00B32EFA" w:rsidP="00862B00">
            <w:pPr>
              <w:spacing w:after="0" w:line="240" w:lineRule="auto"/>
              <w:rPr>
                <w:b/>
                <w:bCs/>
                <w:sz w:val="24"/>
              </w:rPr>
            </w:pPr>
            <w:r w:rsidRPr="006312E1">
              <w:rPr>
                <w:b/>
                <w:bCs/>
                <w:sz w:val="24"/>
              </w:rPr>
              <w:t>pest risk</w:t>
            </w:r>
            <w:r w:rsidRPr="006312E1">
              <w:rPr>
                <w:bCs/>
                <w:sz w:val="24"/>
              </w:rPr>
              <w:t xml:space="preserve"> (</w:t>
            </w:r>
            <w:r w:rsidRPr="006312E1">
              <w:rPr>
                <w:bCs/>
                <w:i/>
                <w:sz w:val="24"/>
              </w:rPr>
              <w:t xml:space="preserve">for </w:t>
            </w:r>
            <w:r w:rsidRPr="006312E1">
              <w:rPr>
                <w:b/>
                <w:bCs/>
                <w:i/>
                <w:sz w:val="24"/>
              </w:rPr>
              <w:t>regulated non-quarantine</w:t>
            </w:r>
            <w:r w:rsidRPr="006312E1">
              <w:rPr>
                <w:bCs/>
                <w:i/>
                <w:sz w:val="24"/>
              </w:rPr>
              <w:t xml:space="preserve"> pests</w:t>
            </w:r>
            <w:r w:rsidRPr="006312E1">
              <w:rPr>
                <w:bCs/>
                <w:sz w:val="24"/>
              </w:rPr>
              <w:t>)</w:t>
            </w:r>
          </w:p>
        </w:tc>
        <w:tc>
          <w:tcPr>
            <w:tcW w:w="6948" w:type="dxa"/>
            <w:tcBorders>
              <w:bottom w:val="nil"/>
            </w:tcBorders>
          </w:tcPr>
          <w:p w:rsidR="00B32EFA" w:rsidRPr="006312E1" w:rsidRDefault="00B32EFA" w:rsidP="00862B00">
            <w:pPr>
              <w:spacing w:after="0" w:line="240" w:lineRule="auto"/>
              <w:rPr>
                <w:b/>
                <w:bCs/>
                <w:sz w:val="24"/>
              </w:rPr>
            </w:pPr>
            <w:r w:rsidRPr="006312E1">
              <w:rPr>
                <w:bCs/>
                <w:sz w:val="24"/>
              </w:rPr>
              <w:t>The probability that a pest in plants for planting affects the intended use of those plants with an economically unacceptable impact (see Glossary Supplement No. 2) [ISPM No. 2, 2007]</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sz w:val="24"/>
              </w:rPr>
            </w:pPr>
            <w:r w:rsidRPr="006312E1">
              <w:rPr>
                <w:b/>
                <w:bCs/>
                <w:sz w:val="24"/>
              </w:rPr>
              <w:t>Pest Risk Analysis (</w:t>
            </w:r>
            <w:r w:rsidRPr="006312E1">
              <w:rPr>
                <w:b/>
                <w:bCs/>
                <w:i/>
                <w:sz w:val="24"/>
              </w:rPr>
              <w:t>PRA</w:t>
            </w:r>
            <w:r w:rsidRPr="006312E1">
              <w:rPr>
                <w:b/>
                <w:bCs/>
                <w:sz w:val="24"/>
              </w:rPr>
              <w:t>)</w:t>
            </w:r>
          </w:p>
        </w:tc>
        <w:tc>
          <w:tcPr>
            <w:tcW w:w="6948" w:type="dxa"/>
            <w:tcBorders>
              <w:top w:val="nil"/>
              <w:bottom w:val="nil"/>
            </w:tcBorders>
          </w:tcPr>
          <w:p w:rsidR="00B32EFA" w:rsidRPr="006312E1" w:rsidRDefault="00B32EFA" w:rsidP="00862B00">
            <w:pPr>
              <w:spacing w:line="240" w:lineRule="auto"/>
              <w:rPr>
                <w:b/>
                <w:bCs/>
                <w:sz w:val="24"/>
              </w:rPr>
            </w:pPr>
            <w:r w:rsidRPr="006312E1">
              <w:rPr>
                <w:bCs/>
                <w:sz w:val="24"/>
              </w:rPr>
              <w:t>The process of evaluating biological or other scientific and economic evidence to determine whether an organism is a pest, whether it should be regulated, and the strength of any phytosanitary measures to be taken against it [FAO, 1995; revised IPPC, 1997; ISPM No. 2, 2007]</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sz w:val="24"/>
                <w:szCs w:val="24"/>
              </w:rPr>
            </w:pPr>
            <w:r w:rsidRPr="006312E1">
              <w:rPr>
                <w:b/>
                <w:bCs/>
                <w:sz w:val="24"/>
                <w:szCs w:val="24"/>
              </w:rPr>
              <w:t>pest risk assessment</w:t>
            </w:r>
            <w:r w:rsidRPr="006312E1">
              <w:rPr>
                <w:bCs/>
                <w:sz w:val="24"/>
                <w:szCs w:val="24"/>
              </w:rPr>
              <w:t xml:space="preserve"> (</w:t>
            </w:r>
            <w:r w:rsidRPr="006312E1">
              <w:rPr>
                <w:bCs/>
                <w:i/>
                <w:sz w:val="24"/>
                <w:szCs w:val="24"/>
              </w:rPr>
              <w:t xml:space="preserve">for </w:t>
            </w:r>
            <w:r w:rsidRPr="006312E1">
              <w:rPr>
                <w:b/>
                <w:bCs/>
                <w:i/>
                <w:sz w:val="24"/>
                <w:szCs w:val="24"/>
              </w:rPr>
              <w:t>quarantine</w:t>
            </w:r>
            <w:r w:rsidRPr="006312E1">
              <w:rPr>
                <w:bCs/>
                <w:i/>
                <w:sz w:val="24"/>
                <w:szCs w:val="24"/>
              </w:rPr>
              <w:t xml:space="preserve"> pests</w:t>
            </w:r>
            <w:r w:rsidRPr="006312E1">
              <w:rPr>
                <w:bCs/>
                <w:sz w:val="24"/>
                <w:szCs w:val="24"/>
              </w:rPr>
              <w:t>)</w:t>
            </w:r>
          </w:p>
        </w:tc>
        <w:tc>
          <w:tcPr>
            <w:tcW w:w="6948" w:type="dxa"/>
            <w:tcBorders>
              <w:top w:val="nil"/>
              <w:bottom w:val="nil"/>
            </w:tcBorders>
          </w:tcPr>
          <w:p w:rsidR="00B32EFA" w:rsidRPr="006312E1" w:rsidRDefault="00B32EFA" w:rsidP="00862B00">
            <w:pPr>
              <w:spacing w:line="240" w:lineRule="auto"/>
              <w:rPr>
                <w:b/>
                <w:bCs/>
                <w:sz w:val="24"/>
                <w:szCs w:val="24"/>
              </w:rPr>
            </w:pPr>
            <w:r w:rsidRPr="006312E1">
              <w:rPr>
                <w:bCs/>
                <w:sz w:val="24"/>
                <w:szCs w:val="24"/>
              </w:rPr>
              <w:t>Evaluation of the probability of the introduction and spread of a pest and the magnitude of the associated potential economic consequences (see Glossary Supplement No. 2) [FAO, 1995; revised ISPM No. 11, 2001; ISPM No. 2, 2007]</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pest risk assessment</w:t>
            </w:r>
            <w:r w:rsidRPr="006312E1">
              <w:rPr>
                <w:bCs/>
                <w:color w:val="000000"/>
                <w:sz w:val="24"/>
                <w:szCs w:val="24"/>
              </w:rPr>
              <w:t xml:space="preserve"> (</w:t>
            </w:r>
            <w:r w:rsidRPr="006312E1">
              <w:rPr>
                <w:bCs/>
                <w:i/>
                <w:color w:val="000000"/>
                <w:sz w:val="24"/>
                <w:szCs w:val="24"/>
              </w:rPr>
              <w:t xml:space="preserve">for </w:t>
            </w:r>
            <w:r w:rsidRPr="006312E1">
              <w:rPr>
                <w:b/>
                <w:bCs/>
                <w:i/>
                <w:color w:val="000000"/>
                <w:sz w:val="24"/>
                <w:szCs w:val="24"/>
              </w:rPr>
              <w:t>regulated non-quarantine</w:t>
            </w:r>
            <w:r w:rsidRPr="006312E1">
              <w:rPr>
                <w:bCs/>
                <w:i/>
                <w:color w:val="000000"/>
                <w:sz w:val="24"/>
                <w:szCs w:val="24"/>
              </w:rPr>
              <w:t xml:space="preserve"> pests</w:t>
            </w:r>
            <w:r w:rsidRPr="006312E1">
              <w:rPr>
                <w:bCs/>
                <w:color w:val="000000"/>
                <w:sz w:val="24"/>
                <w:szCs w:val="24"/>
              </w:rPr>
              <w:t>)</w:t>
            </w:r>
          </w:p>
        </w:tc>
        <w:tc>
          <w:tcPr>
            <w:tcW w:w="6948" w:type="dxa"/>
            <w:tcBorders>
              <w:top w:val="nil"/>
              <w:bottom w:val="nil"/>
            </w:tcBorders>
          </w:tcPr>
          <w:p w:rsidR="00B32EFA" w:rsidRPr="006312E1" w:rsidRDefault="00B32EFA" w:rsidP="00862B00">
            <w:pPr>
              <w:spacing w:after="0" w:line="240" w:lineRule="auto"/>
              <w:rPr>
                <w:b/>
                <w:bCs/>
                <w:color w:val="000000"/>
                <w:sz w:val="24"/>
                <w:szCs w:val="24"/>
              </w:rPr>
            </w:pPr>
            <w:r w:rsidRPr="006312E1">
              <w:rPr>
                <w:bCs/>
                <w:color w:val="000000"/>
                <w:sz w:val="24"/>
                <w:szCs w:val="24"/>
              </w:rPr>
              <w:t>Evaluation of the probability that a pest in plants for planting affects the intended use of those plants with an economically unacceptable impact (see Glossary Supplement No. 2) [ICPM, 2005]</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 xml:space="preserve">pest risk </w:t>
            </w:r>
            <w:r w:rsidRPr="006312E1">
              <w:rPr>
                <w:b/>
                <w:bCs/>
                <w:color w:val="000000"/>
                <w:sz w:val="24"/>
                <w:szCs w:val="24"/>
              </w:rPr>
              <w:lastRenderedPageBreak/>
              <w:t>management</w:t>
            </w:r>
            <w:r w:rsidRPr="006312E1">
              <w:rPr>
                <w:bCs/>
                <w:color w:val="000000"/>
                <w:sz w:val="24"/>
                <w:szCs w:val="24"/>
              </w:rPr>
              <w:t xml:space="preserve"> (</w:t>
            </w:r>
            <w:r w:rsidRPr="006312E1">
              <w:rPr>
                <w:bCs/>
                <w:i/>
                <w:color w:val="000000"/>
                <w:sz w:val="24"/>
                <w:szCs w:val="24"/>
              </w:rPr>
              <w:t xml:space="preserve">for </w:t>
            </w:r>
            <w:r w:rsidRPr="006312E1">
              <w:rPr>
                <w:b/>
                <w:bCs/>
                <w:i/>
                <w:color w:val="000000"/>
                <w:sz w:val="24"/>
                <w:szCs w:val="24"/>
              </w:rPr>
              <w:t xml:space="preserve">quarantine </w:t>
            </w:r>
            <w:r w:rsidRPr="006312E1">
              <w:rPr>
                <w:bCs/>
                <w:i/>
                <w:color w:val="000000"/>
                <w:sz w:val="24"/>
                <w:szCs w:val="24"/>
              </w:rPr>
              <w:t>pests</w:t>
            </w:r>
            <w:r w:rsidRPr="006312E1">
              <w:rPr>
                <w:bCs/>
                <w:color w:val="000000"/>
                <w:sz w:val="24"/>
                <w:szCs w:val="24"/>
              </w:rPr>
              <w:t>)</w:t>
            </w:r>
          </w:p>
        </w:tc>
        <w:tc>
          <w:tcPr>
            <w:tcW w:w="6948" w:type="dxa"/>
            <w:tcBorders>
              <w:top w:val="nil"/>
              <w:bottom w:val="nil"/>
            </w:tcBorders>
          </w:tcPr>
          <w:p w:rsidR="00B32EFA" w:rsidRPr="006312E1" w:rsidRDefault="00B32EFA" w:rsidP="00862B00">
            <w:pPr>
              <w:spacing w:after="0" w:line="240" w:lineRule="auto"/>
              <w:rPr>
                <w:b/>
                <w:bCs/>
                <w:color w:val="000000"/>
                <w:sz w:val="24"/>
                <w:szCs w:val="24"/>
              </w:rPr>
            </w:pPr>
            <w:r w:rsidRPr="006312E1">
              <w:rPr>
                <w:bCs/>
                <w:color w:val="000000"/>
                <w:sz w:val="24"/>
                <w:szCs w:val="24"/>
              </w:rPr>
              <w:lastRenderedPageBreak/>
              <w:t xml:space="preserve">Evaluation and selection of options to reduce the risk of introduction </w:t>
            </w:r>
            <w:r w:rsidRPr="006312E1">
              <w:rPr>
                <w:bCs/>
                <w:color w:val="000000"/>
                <w:sz w:val="24"/>
                <w:szCs w:val="24"/>
              </w:rPr>
              <w:lastRenderedPageBreak/>
              <w:t>and spread of a pest [FAO, 1995; revised ISPM No. 11, 2001]</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lastRenderedPageBreak/>
              <w:t>pest risk management</w:t>
            </w:r>
            <w:r w:rsidRPr="006312E1">
              <w:rPr>
                <w:bCs/>
                <w:color w:val="000000"/>
                <w:sz w:val="24"/>
                <w:szCs w:val="24"/>
              </w:rPr>
              <w:t xml:space="preserve"> (</w:t>
            </w:r>
            <w:r w:rsidRPr="006312E1">
              <w:rPr>
                <w:bCs/>
                <w:i/>
                <w:color w:val="000000"/>
                <w:sz w:val="24"/>
                <w:szCs w:val="24"/>
              </w:rPr>
              <w:t xml:space="preserve">for </w:t>
            </w:r>
            <w:r w:rsidRPr="006312E1">
              <w:rPr>
                <w:b/>
                <w:bCs/>
                <w:i/>
                <w:color w:val="000000"/>
                <w:sz w:val="24"/>
                <w:szCs w:val="24"/>
              </w:rPr>
              <w:t>regulated non-quarantine</w:t>
            </w:r>
            <w:r w:rsidRPr="006312E1">
              <w:rPr>
                <w:bCs/>
                <w:i/>
                <w:color w:val="000000"/>
                <w:sz w:val="24"/>
                <w:szCs w:val="24"/>
              </w:rPr>
              <w:t xml:space="preserve"> pests</w:t>
            </w:r>
            <w:r w:rsidRPr="006312E1">
              <w:rPr>
                <w:bCs/>
                <w:color w:val="000000"/>
                <w:sz w:val="24"/>
                <w:szCs w:val="24"/>
              </w:rPr>
              <w:t>)</w:t>
            </w:r>
          </w:p>
        </w:tc>
        <w:tc>
          <w:tcPr>
            <w:tcW w:w="6948" w:type="dxa"/>
            <w:tcBorders>
              <w:top w:val="nil"/>
              <w:bottom w:val="nil"/>
            </w:tcBorders>
          </w:tcPr>
          <w:p w:rsidR="00B32EFA" w:rsidRPr="006312E1" w:rsidRDefault="00B32EFA" w:rsidP="00862B00">
            <w:pPr>
              <w:spacing w:after="0" w:line="240" w:lineRule="auto"/>
              <w:rPr>
                <w:b/>
                <w:bCs/>
                <w:color w:val="000000"/>
                <w:sz w:val="24"/>
                <w:szCs w:val="24"/>
              </w:rPr>
            </w:pPr>
            <w:r w:rsidRPr="006312E1">
              <w:rPr>
                <w:bCs/>
                <w:color w:val="000000"/>
                <w:sz w:val="24"/>
                <w:szCs w:val="24"/>
              </w:rPr>
              <w:t>Evaluation and selection of options to reduce the risk that a pest in plants for planting causes an economically unacceptable impact on the intended use of those plants (see Glossary Supplement No. 2) [I</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pest status</w:t>
            </w:r>
            <w:r w:rsidRPr="006312E1">
              <w:rPr>
                <w:bCs/>
                <w:color w:val="000000"/>
                <w:sz w:val="24"/>
                <w:szCs w:val="24"/>
              </w:rPr>
              <w:t xml:space="preserve"> (in an area)</w:t>
            </w:r>
          </w:p>
        </w:tc>
        <w:tc>
          <w:tcPr>
            <w:tcW w:w="6948" w:type="dxa"/>
            <w:tcBorders>
              <w:top w:val="nil"/>
              <w:bottom w:val="nil"/>
            </w:tcBorders>
          </w:tcPr>
          <w:p w:rsidR="00B32EFA" w:rsidRPr="006312E1" w:rsidRDefault="00B32EFA" w:rsidP="00862B00">
            <w:pPr>
              <w:spacing w:line="240" w:lineRule="auto"/>
              <w:rPr>
                <w:b/>
                <w:bCs/>
                <w:color w:val="000000"/>
                <w:sz w:val="24"/>
                <w:szCs w:val="24"/>
              </w:rPr>
            </w:pPr>
            <w:r w:rsidRPr="006312E1">
              <w:rPr>
                <w:bCs/>
                <w:color w:val="000000"/>
                <w:sz w:val="24"/>
                <w:szCs w:val="24"/>
              </w:rPr>
              <w:t>Presence or absence, at the present time, of a pest in an area, including where appropriate its distribution, as officially determined using expert judgement on the basis of current and historical pest records and other information [CEPM, 1997; revised ICPM, 1998]</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place of production</w:t>
            </w:r>
          </w:p>
        </w:tc>
        <w:tc>
          <w:tcPr>
            <w:tcW w:w="6948" w:type="dxa"/>
            <w:tcBorders>
              <w:top w:val="nil"/>
              <w:bottom w:val="nil"/>
            </w:tcBorders>
          </w:tcPr>
          <w:p w:rsidR="00B32EFA" w:rsidRPr="006312E1" w:rsidRDefault="00B32EFA" w:rsidP="00862B00">
            <w:pPr>
              <w:spacing w:line="240" w:lineRule="auto"/>
              <w:rPr>
                <w:b/>
                <w:bCs/>
                <w:color w:val="000000"/>
                <w:sz w:val="24"/>
                <w:szCs w:val="24"/>
              </w:rPr>
            </w:pPr>
            <w:r w:rsidRPr="006312E1">
              <w:rPr>
                <w:bCs/>
                <w:color w:val="000000"/>
                <w:sz w:val="24"/>
                <w:szCs w:val="24"/>
              </w:rPr>
              <w:t>Any premises or collection of fields operated as a single production or farming unit. This may include production sites which are separately managed for phytosanitary purposes [FAO, 1990; revised CEPM, 1999]</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point of entry</w:t>
            </w:r>
          </w:p>
        </w:tc>
        <w:tc>
          <w:tcPr>
            <w:tcW w:w="6948" w:type="dxa"/>
            <w:tcBorders>
              <w:top w:val="nil"/>
              <w:bottom w:val="nil"/>
            </w:tcBorders>
          </w:tcPr>
          <w:p w:rsidR="00B32EFA" w:rsidRPr="006312E1" w:rsidRDefault="00B32EFA" w:rsidP="00862B00">
            <w:pPr>
              <w:spacing w:line="240" w:lineRule="auto"/>
              <w:rPr>
                <w:b/>
                <w:bCs/>
                <w:color w:val="000000"/>
                <w:sz w:val="24"/>
                <w:szCs w:val="24"/>
              </w:rPr>
            </w:pPr>
            <w:r w:rsidRPr="006312E1">
              <w:rPr>
                <w:bCs/>
                <w:color w:val="000000"/>
                <w:sz w:val="24"/>
                <w:szCs w:val="24"/>
              </w:rPr>
              <w:t>Airport, seaport or land border point officially designated for the importation of consignments, and/or entrance of passengers [FAO, 1995]</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quarantine pest</w:t>
            </w:r>
          </w:p>
        </w:tc>
        <w:tc>
          <w:tcPr>
            <w:tcW w:w="6948" w:type="dxa"/>
            <w:tcBorders>
              <w:top w:val="nil"/>
              <w:bottom w:val="nil"/>
            </w:tcBorders>
          </w:tcPr>
          <w:p w:rsidR="00B32EFA" w:rsidRPr="006312E1" w:rsidRDefault="00B32EFA" w:rsidP="00862B00">
            <w:pPr>
              <w:spacing w:line="240" w:lineRule="auto"/>
              <w:rPr>
                <w:b/>
                <w:bCs/>
                <w:color w:val="000000"/>
                <w:sz w:val="24"/>
                <w:szCs w:val="24"/>
              </w:rPr>
            </w:pPr>
            <w:r w:rsidRPr="006312E1">
              <w:rPr>
                <w:bCs/>
                <w:color w:val="000000"/>
                <w:sz w:val="24"/>
                <w:szCs w:val="24"/>
              </w:rPr>
              <w:t>A pest of potential economic importance to the area endangered thereby and not yet present there, or present but not widely distributed and being officially controlled [FAO, 1990; revised FAO, 1995; IPPC 1997]</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required response</w:t>
            </w:r>
          </w:p>
        </w:tc>
        <w:tc>
          <w:tcPr>
            <w:tcW w:w="6948" w:type="dxa"/>
            <w:tcBorders>
              <w:top w:val="nil"/>
              <w:bottom w:val="nil"/>
            </w:tcBorders>
          </w:tcPr>
          <w:p w:rsidR="00B32EFA" w:rsidRPr="006312E1" w:rsidRDefault="00B32EFA" w:rsidP="00862B00">
            <w:pPr>
              <w:spacing w:after="0" w:line="240" w:lineRule="auto"/>
              <w:rPr>
                <w:b/>
                <w:bCs/>
                <w:color w:val="000000"/>
                <w:sz w:val="24"/>
                <w:szCs w:val="24"/>
              </w:rPr>
            </w:pPr>
            <w:r w:rsidRPr="006312E1">
              <w:rPr>
                <w:bCs/>
                <w:color w:val="000000"/>
                <w:sz w:val="24"/>
                <w:szCs w:val="24"/>
              </w:rPr>
              <w:t>A specified level of effect for a treatment [ISPM No. 18, 2003]</w:t>
            </w:r>
          </w:p>
        </w:tc>
      </w:tr>
      <w:tr w:rsidR="00B32EFA" w:rsidRPr="006312E1" w:rsidTr="00862B00">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systems approach</w:t>
            </w:r>
            <w:r w:rsidRPr="006312E1">
              <w:rPr>
                <w:bCs/>
                <w:color w:val="000000"/>
                <w:sz w:val="24"/>
                <w:szCs w:val="24"/>
              </w:rPr>
              <w:t>(</w:t>
            </w:r>
            <w:proofErr w:type="spellStart"/>
            <w:r w:rsidRPr="006312E1">
              <w:rPr>
                <w:bCs/>
                <w:color w:val="000000"/>
                <w:sz w:val="24"/>
                <w:szCs w:val="24"/>
              </w:rPr>
              <w:t>es</w:t>
            </w:r>
            <w:proofErr w:type="spellEnd"/>
            <w:r w:rsidRPr="006312E1">
              <w:rPr>
                <w:bCs/>
                <w:color w:val="000000"/>
                <w:sz w:val="24"/>
                <w:szCs w:val="24"/>
              </w:rPr>
              <w:t>)</w:t>
            </w:r>
          </w:p>
        </w:tc>
        <w:tc>
          <w:tcPr>
            <w:tcW w:w="6948" w:type="dxa"/>
            <w:tcBorders>
              <w:top w:val="nil"/>
              <w:bottom w:val="nil"/>
            </w:tcBorders>
          </w:tcPr>
          <w:p w:rsidR="00B32EFA" w:rsidRPr="006312E1" w:rsidRDefault="00B32EFA" w:rsidP="00862B00">
            <w:pPr>
              <w:spacing w:line="240" w:lineRule="auto"/>
              <w:rPr>
                <w:b/>
                <w:bCs/>
                <w:color w:val="000000"/>
                <w:sz w:val="24"/>
                <w:szCs w:val="24"/>
              </w:rPr>
            </w:pPr>
            <w:r w:rsidRPr="006312E1">
              <w:rPr>
                <w:bCs/>
                <w:color w:val="000000"/>
                <w:sz w:val="24"/>
                <w:szCs w:val="24"/>
              </w:rPr>
              <w:t>The integration of different risk management measures, at least two of which act independently, and which cumulatively achieve the appropriate level of protection against regulated pests [ISPM No. 14, 2002; revised ICPM, 2005]</w:t>
            </w:r>
          </w:p>
        </w:tc>
      </w:tr>
      <w:tr w:rsidR="00B32EFA" w:rsidRPr="006312E1" w:rsidTr="00B32EFA">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treatment</w:t>
            </w:r>
          </w:p>
        </w:tc>
        <w:tc>
          <w:tcPr>
            <w:tcW w:w="6948" w:type="dxa"/>
            <w:tcBorders>
              <w:top w:val="nil"/>
              <w:bottom w:val="nil"/>
            </w:tcBorders>
          </w:tcPr>
          <w:p w:rsidR="00B32EFA" w:rsidRPr="006312E1" w:rsidRDefault="00B32EFA" w:rsidP="00862B00">
            <w:pPr>
              <w:spacing w:line="240" w:lineRule="auto"/>
              <w:rPr>
                <w:b/>
                <w:bCs/>
                <w:color w:val="000000"/>
                <w:sz w:val="24"/>
                <w:szCs w:val="24"/>
              </w:rPr>
            </w:pPr>
            <w:r w:rsidRPr="006312E1">
              <w:rPr>
                <w:bCs/>
                <w:color w:val="000000"/>
                <w:sz w:val="24"/>
                <w:szCs w:val="24"/>
              </w:rPr>
              <w:t xml:space="preserve">Official procedure for the killing, inactivation or removal of pests, or for rendering pests infertile or for </w:t>
            </w:r>
            <w:proofErr w:type="spellStart"/>
            <w:r w:rsidRPr="006312E1">
              <w:rPr>
                <w:bCs/>
                <w:color w:val="000000"/>
                <w:sz w:val="24"/>
                <w:szCs w:val="24"/>
              </w:rPr>
              <w:t>devitalization</w:t>
            </w:r>
            <w:proofErr w:type="spellEnd"/>
            <w:r w:rsidRPr="006312E1">
              <w:rPr>
                <w:bCs/>
                <w:color w:val="000000"/>
                <w:sz w:val="24"/>
                <w:szCs w:val="24"/>
              </w:rPr>
              <w:t xml:space="preserve"> [FAO, 1990, revised FAO, 1995; ISPM No. 15, 2002; ISPM No. 18, 2003; ICPM, 2005]</w:t>
            </w:r>
          </w:p>
        </w:tc>
      </w:tr>
      <w:tr w:rsidR="00B32EFA" w:rsidRPr="006312E1" w:rsidTr="00B32EFA">
        <w:tc>
          <w:tcPr>
            <w:tcW w:w="1908" w:type="dxa"/>
            <w:tcBorders>
              <w:top w:val="nil"/>
              <w:bottom w:val="nil"/>
            </w:tcBorders>
          </w:tcPr>
          <w:p w:rsidR="00B32EFA" w:rsidRPr="006312E1" w:rsidRDefault="00B32EFA" w:rsidP="00862B00">
            <w:pPr>
              <w:spacing w:after="0" w:line="240" w:lineRule="auto"/>
              <w:rPr>
                <w:b/>
                <w:bCs/>
                <w:color w:val="000000"/>
                <w:sz w:val="24"/>
                <w:szCs w:val="24"/>
              </w:rPr>
            </w:pPr>
            <w:r w:rsidRPr="006312E1">
              <w:rPr>
                <w:b/>
                <w:bCs/>
                <w:color w:val="000000"/>
                <w:sz w:val="24"/>
                <w:szCs w:val="24"/>
              </w:rPr>
              <w:t>verification</w:t>
            </w:r>
          </w:p>
        </w:tc>
        <w:tc>
          <w:tcPr>
            <w:tcW w:w="6948" w:type="dxa"/>
            <w:tcBorders>
              <w:top w:val="nil"/>
              <w:bottom w:val="nil"/>
            </w:tcBorders>
          </w:tcPr>
          <w:p w:rsidR="00B32EFA" w:rsidRPr="006312E1" w:rsidRDefault="00B32EFA" w:rsidP="00862B00">
            <w:pPr>
              <w:spacing w:line="240" w:lineRule="auto"/>
              <w:rPr>
                <w:bCs/>
                <w:color w:val="000000"/>
                <w:sz w:val="24"/>
                <w:szCs w:val="24"/>
              </w:rPr>
            </w:pPr>
            <w:r w:rsidRPr="006312E1">
              <w:rPr>
                <w:bCs/>
                <w:color w:val="000000"/>
                <w:sz w:val="24"/>
                <w:szCs w:val="24"/>
              </w:rPr>
              <w:t>A procedure or measure to quantify the actual, or mathematically related proxy, effectiveness of a risk management measure. The purpose of verification is to assess how close the outcome is to the stated expected efficacy.</w:t>
            </w:r>
          </w:p>
        </w:tc>
      </w:tr>
    </w:tbl>
    <w:p w:rsidR="00BE74EE" w:rsidRDefault="00937844" w:rsidP="00862B00">
      <w:pPr>
        <w:pStyle w:val="Style4"/>
        <w:numPr>
          <w:ilvl w:val="0"/>
          <w:numId w:val="0"/>
        </w:numPr>
        <w:ind w:left="720"/>
      </w:pPr>
      <w:r>
        <w:br w:type="page"/>
      </w:r>
      <w:bookmarkStart w:id="3" w:name="_Toc323132089"/>
      <w:r>
        <w:lastRenderedPageBreak/>
        <w:t>Executive Summary</w:t>
      </w:r>
      <w:bookmarkEnd w:id="3"/>
    </w:p>
    <w:p w:rsidR="00BE74EE" w:rsidRDefault="00BE74EE">
      <w:pPr>
        <w:spacing w:before="0" w:after="200"/>
        <w:rPr>
          <w:rFonts w:eastAsiaTheme="majorEastAsia" w:cstheme="majorBidi"/>
          <w:b/>
          <w:bCs/>
          <w:sz w:val="28"/>
          <w:szCs w:val="28"/>
        </w:rPr>
      </w:pPr>
      <w:r>
        <w:br w:type="page"/>
      </w:r>
    </w:p>
    <w:p w:rsidR="002929E2" w:rsidRDefault="002929E2" w:rsidP="001338B3">
      <w:pPr>
        <w:pStyle w:val="Style4"/>
      </w:pPr>
      <w:bookmarkStart w:id="4" w:name="_Toc323132090"/>
      <w:r>
        <w:lastRenderedPageBreak/>
        <w:t>Introduction and definition of equivalence</w:t>
      </w:r>
      <w:bookmarkEnd w:id="4"/>
    </w:p>
    <w:p w:rsidR="002929E2" w:rsidRDefault="002929E2" w:rsidP="002A4F9F">
      <w:pPr>
        <w:pStyle w:val="Style5"/>
      </w:pPr>
      <w:bookmarkStart w:id="5" w:name="_Toc323132091"/>
      <w:r>
        <w:t>The importance of equivalence in the world trade</w:t>
      </w:r>
      <w:bookmarkEnd w:id="5"/>
    </w:p>
    <w:p w:rsidR="00180538" w:rsidRDefault="00A5276B" w:rsidP="001E6D8A">
      <w:pPr>
        <w:rPr>
          <w:b/>
        </w:rPr>
      </w:pPr>
      <w:r>
        <w:t>T</w:t>
      </w:r>
      <w:r w:rsidR="002A4F9F">
        <w:t xml:space="preserve">he </w:t>
      </w:r>
      <w:r w:rsidR="00176306">
        <w:t xml:space="preserve">potential </w:t>
      </w:r>
      <w:r w:rsidR="002A4F9F">
        <w:t xml:space="preserve">threat of </w:t>
      </w:r>
      <w:r w:rsidR="00AF66A3">
        <w:t xml:space="preserve">plant and animal </w:t>
      </w:r>
      <w:r w:rsidR="00176306">
        <w:t>dise</w:t>
      </w:r>
      <w:r w:rsidR="00AF66A3">
        <w:t>ases and pests and food-bo</w:t>
      </w:r>
      <w:r w:rsidR="005424C4">
        <w:t>rne human illnesses being moved around</w:t>
      </w:r>
      <w:r w:rsidR="00AF66A3">
        <w:t xml:space="preserve"> through</w:t>
      </w:r>
      <w:r w:rsidR="00176306">
        <w:t xml:space="preserve"> trade is well established. </w:t>
      </w:r>
      <w:r w:rsidR="005A1356">
        <w:t>Plant pests</w:t>
      </w:r>
      <w:r w:rsidR="00AF66A3">
        <w:t>*</w:t>
      </w:r>
      <w:r w:rsidR="005424C4">
        <w:t xml:space="preserve"> may be introduced </w:t>
      </w:r>
      <w:r w:rsidR="005A1356">
        <w:t>not only through agricultural trade</w:t>
      </w:r>
      <w:r w:rsidR="005424C4">
        <w:t>,</w:t>
      </w:r>
      <w:r w:rsidR="005A1356">
        <w:t xml:space="preserve"> but also through non-agricultural trade carrying susceptible materials (e.g. </w:t>
      </w:r>
      <w:proofErr w:type="spellStart"/>
      <w:r w:rsidR="005A1356">
        <w:t>dunnage</w:t>
      </w:r>
      <w:proofErr w:type="spellEnd"/>
      <w:r w:rsidR="00E57488">
        <w:t>*</w:t>
      </w:r>
      <w:r w:rsidR="005A1356">
        <w:t xml:space="preserve">, handicrafts, household effects, </w:t>
      </w:r>
      <w:proofErr w:type="spellStart"/>
      <w:r w:rsidR="005A1356">
        <w:t>etc</w:t>
      </w:r>
      <w:proofErr w:type="spellEnd"/>
      <w:r w:rsidR="005A1356">
        <w:t xml:space="preserve">) or simply “hitch hiking” pests (e.g. on military equipment, used cars and other goods, </w:t>
      </w:r>
      <w:proofErr w:type="spellStart"/>
      <w:r w:rsidR="005A1356">
        <w:t>etc</w:t>
      </w:r>
      <w:proofErr w:type="spellEnd"/>
      <w:r w:rsidR="005A1356">
        <w:t xml:space="preserve">), through postal deliveries or the travelling public, or by natural means (e.g. wind and weather events, the pest’s own mobility, </w:t>
      </w:r>
      <w:proofErr w:type="spellStart"/>
      <w:r w:rsidR="005A1356">
        <w:t>etc</w:t>
      </w:r>
      <w:proofErr w:type="spellEnd"/>
      <w:r w:rsidR="005A1356">
        <w:t xml:space="preserve">). </w:t>
      </w:r>
      <w:r w:rsidR="00180538">
        <w:t>Agricultural</w:t>
      </w:r>
      <w:r w:rsidR="00AF66A3">
        <w:t xml:space="preserve"> trade is the primary pathway</w:t>
      </w:r>
      <w:r w:rsidR="00A061A6">
        <w:t>*</w:t>
      </w:r>
      <w:r w:rsidR="00AF66A3">
        <w:t xml:space="preserve"> for </w:t>
      </w:r>
      <w:r w:rsidR="005424C4">
        <w:t xml:space="preserve">introduction* of </w:t>
      </w:r>
      <w:r w:rsidR="00AF66A3">
        <w:t xml:space="preserve">most </w:t>
      </w:r>
      <w:r w:rsidR="005424C4">
        <w:t xml:space="preserve">exotic </w:t>
      </w:r>
      <w:r w:rsidR="00AF66A3">
        <w:t xml:space="preserve">pests, however, so that regulating trade has a significant impact on the </w:t>
      </w:r>
      <w:r w:rsidR="00F57887">
        <w:t xml:space="preserve">risk to a particular area from </w:t>
      </w:r>
      <w:r w:rsidR="005424C4">
        <w:t>pests</w:t>
      </w:r>
      <w:r w:rsidR="00F57887">
        <w:t xml:space="preserve"> not yet established</w:t>
      </w:r>
      <w:r w:rsidR="005424C4">
        <w:t>.</w:t>
      </w:r>
    </w:p>
    <w:p w:rsidR="00E3209D" w:rsidRDefault="00E3209D" w:rsidP="00E3209D">
      <w:r>
        <w:rPr>
          <w:noProof/>
          <w:lang w:eastAsia="en-GB"/>
        </w:rPr>
        <mc:AlternateContent>
          <mc:Choice Requires="wps">
            <w:drawing>
              <wp:anchor distT="91440" distB="91440" distL="114300" distR="114300" simplePos="0" relativeHeight="251663360" behindDoc="0" locked="0" layoutInCell="0" allowOverlap="1" wp14:anchorId="682F6F7B" wp14:editId="7ED4B5F8">
                <wp:simplePos x="0" y="0"/>
                <wp:positionH relativeFrom="page">
                  <wp:posOffset>539750</wp:posOffset>
                </wp:positionH>
                <wp:positionV relativeFrom="margin">
                  <wp:posOffset>2305685</wp:posOffset>
                </wp:positionV>
                <wp:extent cx="2616200" cy="4344670"/>
                <wp:effectExtent l="38100" t="38100" r="97155" b="9398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6200" cy="4344670"/>
                        </a:xfrm>
                        <a:prstGeom prst="rect">
                          <a:avLst/>
                        </a:prstGeom>
                        <a:solidFill>
                          <a:srgbClr val="4F81BD"/>
                        </a:solidFill>
                        <a:ln>
                          <a:noFill/>
                        </a:ln>
                        <a:effectLst>
                          <a:outerShdw blurRad="50800" dist="38100"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7B75FC" w:rsidRPr="003E7A46" w:rsidRDefault="007B75FC" w:rsidP="00E3209D">
                            <w:pPr>
                              <w:rPr>
                                <w:color w:val="FFFFFF" w:themeColor="background1"/>
                                <w:sz w:val="24"/>
                                <w:szCs w:val="18"/>
                              </w:rPr>
                            </w:pPr>
                            <w:r w:rsidRPr="003E7A46">
                              <w:rPr>
                                <w:color w:val="FFFFFF" w:themeColor="background1"/>
                                <w:sz w:val="24"/>
                                <w:szCs w:val="18"/>
                              </w:rPr>
                              <w:t>Box 1. Article 4 of the SPS Agreement: Equivalence</w:t>
                            </w:r>
                          </w:p>
                          <w:p w:rsidR="007B75FC" w:rsidRPr="003B5050" w:rsidRDefault="007B75FC" w:rsidP="00E3209D">
                            <w:pPr>
                              <w:rPr>
                                <w:color w:val="FFFFFF" w:themeColor="background1"/>
                                <w:sz w:val="18"/>
                                <w:szCs w:val="18"/>
                              </w:rPr>
                            </w:pPr>
                            <w:r w:rsidRPr="003B5050">
                              <w:rPr>
                                <w:color w:val="FFFFFF" w:themeColor="background1"/>
                                <w:sz w:val="18"/>
                                <w:szCs w:val="18"/>
                              </w:rPr>
                              <w:t>1. Members shall accept the sanitary or phytosanitary measures of other Members as equivalent,</w:t>
                            </w:r>
                            <w:r>
                              <w:rPr>
                                <w:color w:val="FFFFFF" w:themeColor="background1"/>
                                <w:sz w:val="18"/>
                                <w:szCs w:val="18"/>
                              </w:rPr>
                              <w:t xml:space="preserve"> </w:t>
                            </w:r>
                            <w:r w:rsidRPr="003B5050">
                              <w:rPr>
                                <w:color w:val="FFFFFF" w:themeColor="background1"/>
                                <w:sz w:val="18"/>
                                <w:szCs w:val="18"/>
                              </w:rPr>
                              <w:t>even if these measures differ from their own or from those used by other Members trading in the same</w:t>
                            </w:r>
                            <w:r>
                              <w:rPr>
                                <w:color w:val="FFFFFF" w:themeColor="background1"/>
                                <w:sz w:val="18"/>
                                <w:szCs w:val="18"/>
                              </w:rPr>
                              <w:t xml:space="preserve"> </w:t>
                            </w:r>
                            <w:r w:rsidRPr="003B5050">
                              <w:rPr>
                                <w:color w:val="FFFFFF" w:themeColor="background1"/>
                                <w:sz w:val="18"/>
                                <w:szCs w:val="18"/>
                              </w:rPr>
                              <w:t>product, if the exporting Member objectively demonstrates to the importing Member that its measures</w:t>
                            </w:r>
                            <w:r>
                              <w:rPr>
                                <w:color w:val="FFFFFF" w:themeColor="background1"/>
                                <w:sz w:val="18"/>
                                <w:szCs w:val="18"/>
                              </w:rPr>
                              <w:t xml:space="preserve"> </w:t>
                            </w:r>
                            <w:r w:rsidRPr="003B5050">
                              <w:rPr>
                                <w:color w:val="FFFFFF" w:themeColor="background1"/>
                                <w:sz w:val="18"/>
                                <w:szCs w:val="18"/>
                              </w:rPr>
                              <w:t>achieve the importing Member's appropriate level of sanitary or phytosanitary protection. For this</w:t>
                            </w:r>
                            <w:r>
                              <w:rPr>
                                <w:color w:val="FFFFFF" w:themeColor="background1"/>
                                <w:sz w:val="18"/>
                                <w:szCs w:val="18"/>
                              </w:rPr>
                              <w:t xml:space="preserve"> </w:t>
                            </w:r>
                            <w:r w:rsidRPr="003B5050">
                              <w:rPr>
                                <w:color w:val="FFFFFF" w:themeColor="background1"/>
                                <w:sz w:val="18"/>
                                <w:szCs w:val="18"/>
                              </w:rPr>
                              <w:t>purpose, reasonable access shall be given, upon request, to the importing Member for inspection, testing</w:t>
                            </w:r>
                            <w:r>
                              <w:rPr>
                                <w:color w:val="FFFFFF" w:themeColor="background1"/>
                                <w:sz w:val="18"/>
                                <w:szCs w:val="18"/>
                              </w:rPr>
                              <w:t xml:space="preserve"> </w:t>
                            </w:r>
                            <w:r w:rsidRPr="003B5050">
                              <w:rPr>
                                <w:color w:val="FFFFFF" w:themeColor="background1"/>
                                <w:sz w:val="18"/>
                                <w:szCs w:val="18"/>
                              </w:rPr>
                              <w:t>and other relevant procedures.</w:t>
                            </w:r>
                          </w:p>
                          <w:p w:rsidR="007B75FC" w:rsidRDefault="007B75FC" w:rsidP="00E3209D">
                            <w:pPr>
                              <w:rPr>
                                <w:color w:val="FFFFFF" w:themeColor="background1"/>
                                <w:sz w:val="18"/>
                                <w:szCs w:val="18"/>
                              </w:rPr>
                            </w:pPr>
                            <w:r w:rsidRPr="003B5050">
                              <w:rPr>
                                <w:color w:val="FFFFFF" w:themeColor="background1"/>
                                <w:sz w:val="18"/>
                                <w:szCs w:val="18"/>
                              </w:rPr>
                              <w:t>2. Members shall, upon request, enter into consultations with the aim of achieving bilateral and</w:t>
                            </w:r>
                            <w:r>
                              <w:rPr>
                                <w:color w:val="FFFFFF" w:themeColor="background1"/>
                                <w:sz w:val="18"/>
                                <w:szCs w:val="18"/>
                              </w:rPr>
                              <w:t xml:space="preserve"> </w:t>
                            </w:r>
                            <w:r w:rsidRPr="003B5050">
                              <w:rPr>
                                <w:color w:val="FFFFFF" w:themeColor="background1"/>
                                <w:sz w:val="18"/>
                                <w:szCs w:val="18"/>
                              </w:rPr>
                              <w:t>multilateral agreements on recognition of the equivalence of specified sanitary or phytosanitary measures.</w:t>
                            </w:r>
                          </w:p>
                          <w:p w:rsidR="007B75FC" w:rsidRDefault="007B75FC" w:rsidP="00E3209D">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42.5pt;margin-top:181.55pt;width:206pt;height:342.1pt;flip:x;z-index:251663360;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" o:allowincell="f" fillcolor="#4f81bd" stroked="f" strokeweight="1.5pt">
                <v:shadow on="t" color="black" opacity="26213f" origin="-.5,-.5" offset=".74836mm,.74836mm"/>
                <v:textbox inset="21.6pt,21.6pt,21.6pt,21.6pt">
                  <w:txbxContent>
                    <w:p w:rsidR="007B75FC" w:rsidRPr="003E7A46" w:rsidRDefault="007B75FC" w:rsidP="00E3209D">
                      <w:pPr>
                        <w:rPr>
                          <w:color w:val="FFFFFF" w:themeColor="background1"/>
                          <w:sz w:val="24"/>
                          <w:szCs w:val="18"/>
                        </w:rPr>
                      </w:pPr>
                      <w:r w:rsidRPr="003E7A46">
                        <w:rPr>
                          <w:color w:val="FFFFFF" w:themeColor="background1"/>
                          <w:sz w:val="24"/>
                          <w:szCs w:val="18"/>
                        </w:rPr>
                        <w:t>Box 1. Article 4 of the SPS Agreement: Equivalence</w:t>
                      </w:r>
                    </w:p>
                    <w:p w:rsidR="007B75FC" w:rsidRPr="003B5050" w:rsidRDefault="007B75FC" w:rsidP="00E3209D">
                      <w:pPr>
                        <w:rPr>
                          <w:color w:val="FFFFFF" w:themeColor="background1"/>
                          <w:sz w:val="18"/>
                          <w:szCs w:val="18"/>
                        </w:rPr>
                      </w:pPr>
                      <w:r w:rsidRPr="003B5050">
                        <w:rPr>
                          <w:color w:val="FFFFFF" w:themeColor="background1"/>
                          <w:sz w:val="18"/>
                          <w:szCs w:val="18"/>
                        </w:rPr>
                        <w:t>1. Members shall accept the sanitary or phytosanitary measures of other Members as equivalent,</w:t>
                      </w:r>
                      <w:r>
                        <w:rPr>
                          <w:color w:val="FFFFFF" w:themeColor="background1"/>
                          <w:sz w:val="18"/>
                          <w:szCs w:val="18"/>
                        </w:rPr>
                        <w:t xml:space="preserve"> </w:t>
                      </w:r>
                      <w:r w:rsidRPr="003B5050">
                        <w:rPr>
                          <w:color w:val="FFFFFF" w:themeColor="background1"/>
                          <w:sz w:val="18"/>
                          <w:szCs w:val="18"/>
                        </w:rPr>
                        <w:t>even if these measures differ from their own or from those used by other Members trading in the same</w:t>
                      </w:r>
                      <w:r>
                        <w:rPr>
                          <w:color w:val="FFFFFF" w:themeColor="background1"/>
                          <w:sz w:val="18"/>
                          <w:szCs w:val="18"/>
                        </w:rPr>
                        <w:t xml:space="preserve"> </w:t>
                      </w:r>
                      <w:r w:rsidRPr="003B5050">
                        <w:rPr>
                          <w:color w:val="FFFFFF" w:themeColor="background1"/>
                          <w:sz w:val="18"/>
                          <w:szCs w:val="18"/>
                        </w:rPr>
                        <w:t>product, if the exporting Member objectively demonstrates to the importing Member that its measures</w:t>
                      </w:r>
                      <w:r>
                        <w:rPr>
                          <w:color w:val="FFFFFF" w:themeColor="background1"/>
                          <w:sz w:val="18"/>
                          <w:szCs w:val="18"/>
                        </w:rPr>
                        <w:t xml:space="preserve"> </w:t>
                      </w:r>
                      <w:r w:rsidRPr="003B5050">
                        <w:rPr>
                          <w:color w:val="FFFFFF" w:themeColor="background1"/>
                          <w:sz w:val="18"/>
                          <w:szCs w:val="18"/>
                        </w:rPr>
                        <w:t>achieve the importing Member's appropriate level of sanitary or phytosanitary protection. For this</w:t>
                      </w:r>
                      <w:r>
                        <w:rPr>
                          <w:color w:val="FFFFFF" w:themeColor="background1"/>
                          <w:sz w:val="18"/>
                          <w:szCs w:val="18"/>
                        </w:rPr>
                        <w:t xml:space="preserve"> </w:t>
                      </w:r>
                      <w:r w:rsidRPr="003B5050">
                        <w:rPr>
                          <w:color w:val="FFFFFF" w:themeColor="background1"/>
                          <w:sz w:val="18"/>
                          <w:szCs w:val="18"/>
                        </w:rPr>
                        <w:t>purpose, reasonable access shall be given, upon request, to the importing Member for inspection, testing</w:t>
                      </w:r>
                      <w:r>
                        <w:rPr>
                          <w:color w:val="FFFFFF" w:themeColor="background1"/>
                          <w:sz w:val="18"/>
                          <w:szCs w:val="18"/>
                        </w:rPr>
                        <w:t xml:space="preserve"> </w:t>
                      </w:r>
                      <w:r w:rsidRPr="003B5050">
                        <w:rPr>
                          <w:color w:val="FFFFFF" w:themeColor="background1"/>
                          <w:sz w:val="18"/>
                          <w:szCs w:val="18"/>
                        </w:rPr>
                        <w:t>and other relevant procedures.</w:t>
                      </w:r>
                    </w:p>
                    <w:p w:rsidR="007B75FC" w:rsidRDefault="007B75FC" w:rsidP="00E3209D">
                      <w:pPr>
                        <w:rPr>
                          <w:color w:val="FFFFFF" w:themeColor="background1"/>
                          <w:sz w:val="18"/>
                          <w:szCs w:val="18"/>
                        </w:rPr>
                      </w:pPr>
                      <w:r w:rsidRPr="003B5050">
                        <w:rPr>
                          <w:color w:val="FFFFFF" w:themeColor="background1"/>
                          <w:sz w:val="18"/>
                          <w:szCs w:val="18"/>
                        </w:rPr>
                        <w:t>2. Members shall, upon request, enter into consultations with the aim of achieving bilateral and</w:t>
                      </w:r>
                      <w:r>
                        <w:rPr>
                          <w:color w:val="FFFFFF" w:themeColor="background1"/>
                          <w:sz w:val="18"/>
                          <w:szCs w:val="18"/>
                        </w:rPr>
                        <w:t xml:space="preserve"> </w:t>
                      </w:r>
                      <w:r w:rsidRPr="003B5050">
                        <w:rPr>
                          <w:color w:val="FFFFFF" w:themeColor="background1"/>
                          <w:sz w:val="18"/>
                          <w:szCs w:val="18"/>
                        </w:rPr>
                        <w:t>multilateral agreements on recognition of the equivalence of specified sanitary or phytosanitary measures.</w:t>
                      </w:r>
                    </w:p>
                    <w:p w:rsidR="007B75FC" w:rsidRDefault="007B75FC" w:rsidP="00E3209D">
                      <w:pPr>
                        <w:rPr>
                          <w:color w:val="FFFFFF" w:themeColor="background1"/>
                          <w:sz w:val="18"/>
                          <w:szCs w:val="18"/>
                        </w:rPr>
                      </w:pPr>
                    </w:p>
                  </w:txbxContent>
                </v:textbox>
                <w10:wrap type="square" anchorx="page" anchory="margin"/>
              </v:rect>
            </w:pict>
          </mc:Fallback>
        </mc:AlternateContent>
      </w:r>
      <w:r>
        <w:t>A competing objective globally is the demand for goods to flow among countries with less restriction from tariffs on imports or subsidies on exports. This demand has been demonstrated through decades of negotiation under the process of the General Agreement for Tariffs and Trade (GATT) and the current membership to the World Trade Organisation. The pursuit of “free trade” recognised that non-tariff restrictions could be valid but should be justified, or countries would simply impose non-tariff barriers to replace the tariffs. From the beginning, GATT noted the need for trade restrictions aimed at protecting human, animal and plant health.</w:t>
      </w:r>
      <w:r w:rsidR="0036529E">
        <w:t xml:space="preserve"> These restrictions are based on the estimated risk associated with specific trade.</w:t>
      </w:r>
    </w:p>
    <w:p w:rsidR="00487002" w:rsidRDefault="00487002" w:rsidP="00487002">
      <w:r>
        <w:t>In the international movement of agricultural trade, there are alternative ways to achieve a level of risk accepted by a national governmental authority – the National Plant Protection Organisation (NPPO)</w:t>
      </w:r>
      <w:r w:rsidR="0036529E">
        <w:t xml:space="preserve"> (WTO SPS, 2000)</w:t>
      </w:r>
      <w:r>
        <w:t>. “Equivalence” is an important principle underlying both free trade and national sovereignty in protection of domestic plant resources. While countries retain the sovereign right to protect domestic plant resources</w:t>
      </w:r>
      <w:r w:rsidR="00596FFA">
        <w:t xml:space="preserve"> under the International Plant Protection Convention (IPPC), which is the intergovernmental treaty on plant health,</w:t>
      </w:r>
      <w:r>
        <w:t xml:space="preserve"> there are many options for reducing the phytosanitary risk posed by trade</w:t>
      </w:r>
      <w:r w:rsidR="00596FFA">
        <w:t>. If risk can be managed</w:t>
      </w:r>
      <w:r>
        <w:t>, the objective of protection of resources</w:t>
      </w:r>
      <w:r w:rsidR="00596FFA">
        <w:t xml:space="preserve"> can be met</w:t>
      </w:r>
      <w:r>
        <w:t xml:space="preserve">, </w:t>
      </w:r>
      <w:r w:rsidR="00596FFA">
        <w:t>at the same time there is fa</w:t>
      </w:r>
      <w:r>
        <w:t>cilitat</w:t>
      </w:r>
      <w:r w:rsidR="00596FFA">
        <w:t>ion of</w:t>
      </w:r>
      <w:r>
        <w:t xml:space="preserve"> more open markets. In general terms, e</w:t>
      </w:r>
      <w:r w:rsidRPr="002F02E0">
        <w:t xml:space="preserve">xporting countries </w:t>
      </w:r>
      <w:r>
        <w:t>can</w:t>
      </w:r>
      <w:r w:rsidRPr="002F02E0">
        <w:t xml:space="preserve"> employ risk management measures which are alternative to those required by importing countries, as long as equivalency</w:t>
      </w:r>
      <w:r>
        <w:t xml:space="preserve"> in the outcome can be demonstrated</w:t>
      </w:r>
      <w:r w:rsidRPr="002F02E0">
        <w:t>.</w:t>
      </w:r>
      <w:r w:rsidR="00DB5209">
        <w:t xml:space="preserve"> Equivalence is one of the basic principles for plant health (IPPC, 2006 – ISPM 1).</w:t>
      </w:r>
    </w:p>
    <w:p w:rsidR="00E3209D" w:rsidRDefault="00E3209D" w:rsidP="00E3209D">
      <w:r>
        <w:lastRenderedPageBreak/>
        <w:t xml:space="preserve">The demand for “safe” free trade culminated in the World Trade Organisation’s (WTO) Agreement on the Application of Sanitary and Phytosanitary Measures (referred to as the SPS Agreement). However, the thrust of the agreement is to prevent the misuse of rights. It </w:t>
      </w:r>
      <w:r w:rsidR="0036529E">
        <w:t>s</w:t>
      </w:r>
      <w:r>
        <w:t>tates that: “</w:t>
      </w:r>
      <w:r w:rsidRPr="00BE74EE">
        <w:t>Members shall ensure that any sanitary or phytosanitary measure is applied only to the extent</w:t>
      </w:r>
      <w:r>
        <w:t xml:space="preserve"> </w:t>
      </w:r>
      <w:r w:rsidRPr="00BE74EE">
        <w:t>necessary</w:t>
      </w:r>
      <w:r>
        <w:t>” (Article 2, paragraph 2). Prohibition of trade is employed – and indeed tolerated – much less than in the past, because of international commitment to free trade.</w:t>
      </w:r>
    </w:p>
    <w:p w:rsidR="00173345" w:rsidRPr="002A4F9F" w:rsidRDefault="009D2655" w:rsidP="001E6D8A">
      <w:pPr>
        <w:rPr>
          <w:b/>
        </w:rPr>
      </w:pPr>
      <w:r>
        <w:t>I</w:t>
      </w:r>
      <w:r w:rsidR="0036529E">
        <w:t>t is impossible to calculate</w:t>
      </w:r>
      <w:r w:rsidR="00173345">
        <w:t xml:space="preserve"> the volume or value of horticultural or other regulated agricultural trade currently </w:t>
      </w:r>
      <w:r w:rsidR="00173345" w:rsidRPr="009461F0">
        <w:t xml:space="preserve">undergone using </w:t>
      </w:r>
      <w:r>
        <w:t xml:space="preserve">pest risk management measures which are </w:t>
      </w:r>
      <w:r w:rsidR="00173345" w:rsidRPr="009461F0">
        <w:t>equivalen</w:t>
      </w:r>
      <w:r>
        <w:t>t to previously applied</w:t>
      </w:r>
      <w:r w:rsidR="00F66205">
        <w:t>, possibly more restrictive</w:t>
      </w:r>
      <w:r>
        <w:t xml:space="preserve"> measures</w:t>
      </w:r>
      <w:r w:rsidR="00173345">
        <w:t xml:space="preserve">. The historic review below gives a </w:t>
      </w:r>
      <w:r w:rsidR="00EB56E1">
        <w:t>sense of the widespread application of the general concept,</w:t>
      </w:r>
      <w:r w:rsidR="00F66205">
        <w:t xml:space="preserve"> however,</w:t>
      </w:r>
      <w:r w:rsidR="00EB56E1">
        <w:t xml:space="preserve"> prior even to international agreement and guidance. A discussion of drivers gives a sense of the </w:t>
      </w:r>
      <w:r w:rsidR="00F66205">
        <w:t xml:space="preserve">growing </w:t>
      </w:r>
      <w:r w:rsidR="00EB56E1">
        <w:t xml:space="preserve">importance </w:t>
      </w:r>
      <w:r w:rsidR="00F66205">
        <w:t>e</w:t>
      </w:r>
      <w:r w:rsidR="00EB56E1">
        <w:t xml:space="preserve">quivalence </w:t>
      </w:r>
      <w:r w:rsidR="00F66205">
        <w:t xml:space="preserve">will have </w:t>
      </w:r>
      <w:r w:rsidR="00EB56E1">
        <w:t>for future trade.</w:t>
      </w:r>
    </w:p>
    <w:p w:rsidR="002929E2" w:rsidRDefault="002929E2" w:rsidP="002A4F9F">
      <w:pPr>
        <w:pStyle w:val="Style5"/>
      </w:pPr>
      <w:bookmarkStart w:id="6" w:name="_Toc323132092"/>
      <w:r>
        <w:t>IPPC definition of equivalence</w:t>
      </w:r>
      <w:bookmarkEnd w:id="6"/>
    </w:p>
    <w:p w:rsidR="00A86A1F" w:rsidRDefault="00A86A1F" w:rsidP="001E6D8A">
      <w:r>
        <w:t>An earl</w:t>
      </w:r>
      <w:r w:rsidR="00975A1C">
        <w:t>y definition of equivalence was</w:t>
      </w:r>
      <w:r>
        <w:t xml:space="preserve"> of measures that are “not identical but have the same effect” (FAO, 1995). </w:t>
      </w:r>
      <w:r w:rsidR="00975A1C">
        <w:t xml:space="preserve">So that the outcome or impact of the measures in terms of the pest risk would need to be the same, while the measures themselves differed. The use of the word “effect” was more appropriate for </w:t>
      </w:r>
      <w:r>
        <w:t>a comm</w:t>
      </w:r>
      <w:r w:rsidR="005126BB">
        <w:t xml:space="preserve">odity treatment </w:t>
      </w:r>
      <w:r w:rsidR="00975A1C">
        <w:t>than other forms of phytosanitary measures (e.g. surveillance, Pest Free Areas,</w:t>
      </w:r>
      <w:r w:rsidR="005126BB">
        <w:t xml:space="preserve"> </w:t>
      </w:r>
      <w:r w:rsidR="00975A1C">
        <w:t xml:space="preserve">certification, inspection, </w:t>
      </w:r>
      <w:proofErr w:type="spellStart"/>
      <w:r w:rsidR="00975A1C">
        <w:t>etc</w:t>
      </w:r>
      <w:proofErr w:type="spellEnd"/>
      <w:r w:rsidR="00975A1C">
        <w:t>). The definition was revised to address ambiguities and cover the range of situations.</w:t>
      </w:r>
      <w:r w:rsidR="00F42165">
        <w:t xml:space="preserve"> (Although the ISPM 24 on equivalence was not yet updated at the time of this report.)</w:t>
      </w:r>
    </w:p>
    <w:p w:rsidR="00E3209D" w:rsidRDefault="00975A1C" w:rsidP="001E6D8A">
      <w:r>
        <w:t>Over some years, the</w:t>
      </w:r>
      <w:r w:rsidR="00FE7BC0">
        <w:t xml:space="preserve"> definition of “equivalence (of phytosanitary measures)” </w:t>
      </w:r>
      <w:r w:rsidR="00A86A1F">
        <w:t>evolved to be</w:t>
      </w:r>
      <w:r>
        <w:t xml:space="preserve"> [comments added]</w:t>
      </w:r>
      <w:r w:rsidR="00A86A1F">
        <w:t>:</w:t>
      </w:r>
      <w:r w:rsidR="00FE7BC0">
        <w:t xml:space="preserve"> “the situation </w:t>
      </w:r>
      <w:r w:rsidR="00FE7BC0" w:rsidRPr="00FE7BC0">
        <w:t>where, for a specified pest risk</w:t>
      </w:r>
      <w:r>
        <w:t xml:space="preserve"> [therefore limiting the pest species, area, possibly period of time, </w:t>
      </w:r>
      <w:proofErr w:type="spellStart"/>
      <w:r>
        <w:t>etc</w:t>
      </w:r>
      <w:proofErr w:type="spellEnd"/>
      <w:r>
        <w:t>]</w:t>
      </w:r>
      <w:r w:rsidR="00FE7BC0" w:rsidRPr="00FE7BC0">
        <w:t xml:space="preserve">, different </w:t>
      </w:r>
      <w:proofErr w:type="spellStart"/>
      <w:r w:rsidR="00FE7BC0" w:rsidRPr="00FE7BC0">
        <w:t>phytosanitary</w:t>
      </w:r>
      <w:proofErr w:type="spellEnd"/>
      <w:r w:rsidR="00FE7BC0" w:rsidRPr="00FE7BC0">
        <w:t xml:space="preserve"> measures achieve a contracting party’s a</w:t>
      </w:r>
      <w:r>
        <w:t>ppropriate level of protection [this replaces the wording of “effect” to tie in more closely to the WTO SPS concept of meeting a country’s defined tolerance to risk] (</w:t>
      </w:r>
      <w:r w:rsidR="00FE7BC0" w:rsidRPr="00FE7BC0">
        <w:t>FAO, 1995; revised CEPM, 1999; based on the World Trade Organization Agreement on the Application of Sanitary and Phytosanitary Meas</w:t>
      </w:r>
      <w:r>
        <w:t>ures; revised ISPM No. 24, 2005)</w:t>
      </w:r>
      <w:r w:rsidR="00FE7BC0">
        <w:t>.</w:t>
      </w:r>
      <w:r w:rsidR="00A86A1F">
        <w:t xml:space="preserve"> </w:t>
      </w:r>
    </w:p>
    <w:p w:rsidR="005E69E1" w:rsidRDefault="00A86A1F" w:rsidP="001E6D8A">
      <w:r>
        <w:t xml:space="preserve">This current definition captures much of the history of development of the concept, as </w:t>
      </w:r>
      <w:r w:rsidR="00E3209D">
        <w:t>laid out in t</w:t>
      </w:r>
      <w:r>
        <w:t>his report.</w:t>
      </w:r>
    </w:p>
    <w:bookmarkStart w:id="7" w:name="_Toc323132093"/>
    <w:p w:rsidR="002929E2" w:rsidRDefault="005E69E1" w:rsidP="002A4F9F">
      <w:pPr>
        <w:pStyle w:val="Style5"/>
      </w:pPr>
      <w:r>
        <w:rPr>
          <w:noProof/>
          <w:lang w:eastAsia="en-GB"/>
        </w:rPr>
        <mc:AlternateContent>
          <mc:Choice Requires="wps">
            <w:drawing>
              <wp:anchor distT="0" distB="0" distL="114300" distR="114300" simplePos="0" relativeHeight="251661312" behindDoc="0" locked="0" layoutInCell="0" allowOverlap="1" wp14:anchorId="637BF466" wp14:editId="255BEA30">
                <wp:simplePos x="0" y="0"/>
                <wp:positionH relativeFrom="page">
                  <wp:posOffset>4491990</wp:posOffset>
                </wp:positionH>
                <wp:positionV relativeFrom="page">
                  <wp:posOffset>1115695</wp:posOffset>
                </wp:positionV>
                <wp:extent cx="3108960" cy="3091815"/>
                <wp:effectExtent l="0" t="0" r="5080"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091815"/>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7B75FC" w:rsidRPr="00975A1C" w:rsidRDefault="007B75FC">
                            <w:pPr>
                              <w:spacing w:after="0"/>
                              <w:rPr>
                                <w:rFonts w:ascii="Consolas" w:hAnsi="Consolas" w:cs="Consolas"/>
                                <w:i/>
                                <w:caps/>
                                <w:color w:val="9BBB59" w:themeColor="accent3"/>
                                <w:sz w:val="24"/>
                                <w:szCs w:val="40"/>
                              </w:rPr>
                            </w:pPr>
                            <w:r>
                              <w:rPr>
                                <w:caps/>
                                <w:color w:val="9BBB59" w:themeColor="accent3"/>
                                <w:sz w:val="40"/>
                                <w:szCs w:val="40"/>
                              </w:rPr>
                              <w:t>[</w:t>
                            </w:r>
                            <w:r w:rsidRPr="005E69E1">
                              <w:rPr>
                                <w:rFonts w:ascii="Consolas" w:hAnsi="Consolas" w:cs="Consolas"/>
                                <w:caps/>
                                <w:color w:val="9BBB59" w:themeColor="accent3"/>
                                <w:sz w:val="40"/>
                                <w:szCs w:val="40"/>
                              </w:rPr>
                              <w:t>Equivalence</w:t>
                            </w:r>
                            <w:r>
                              <w:rPr>
                                <w:rFonts w:ascii="Consolas" w:hAnsi="Consolas" w:cs="Consolas"/>
                                <w:caps/>
                                <w:color w:val="9BBB59" w:themeColor="accent3"/>
                                <w:sz w:val="40"/>
                                <w:szCs w:val="40"/>
                              </w:rPr>
                              <w:t xml:space="preserve"> </w:t>
                            </w:r>
                            <w:r>
                              <w:rPr>
                                <w:rFonts w:ascii="Consolas" w:hAnsi="Consolas" w:cs="Consolas"/>
                                <w:i/>
                                <w:caps/>
                                <w:color w:val="9BBB59" w:themeColor="accent3"/>
                                <w:sz w:val="24"/>
                                <w:szCs w:val="40"/>
                              </w:rPr>
                              <w:t>of phytosanitary measures</w:t>
                            </w:r>
                          </w:p>
                          <w:p w:rsidR="007B75FC" w:rsidRDefault="007B75FC">
                            <w:pPr>
                              <w:spacing w:after="0"/>
                              <w:rPr>
                                <w:caps/>
                                <w:color w:val="9BBB59" w:themeColor="accent3"/>
                                <w:sz w:val="40"/>
                                <w:szCs w:val="40"/>
                              </w:rPr>
                            </w:pPr>
                            <w:r w:rsidRPr="005E69E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situation where, for a specified pest risk, different phytosanitary measures achieve a contracting party’s appropriate level of protection [FAO, 1995; revised CEPM, 1999; based on the World Trade Organization Agreement on the Application of Sanitary and Phytosanitary Measures; revised ISPM No. 24, 2005]. </w:t>
                            </w:r>
                            <w:r>
                              <w:rPr>
                                <w:caps/>
                                <w:color w:val="9BBB59" w:themeColor="accent3"/>
                                <w:sz w:val="40"/>
                                <w:szCs w:val="40"/>
                              </w:rPr>
                              <w:t>]</w:t>
                            </w:r>
                          </w:p>
                        </w:txbxContent>
                      </wps:txbx>
                      <wps:bodyPr rot="0" vert="horz" wrap="square" lIns="91440" tIns="914400" rIns="914400" bIns="91440" anchor="t" anchorCtr="0" upright="1">
                        <a:spAutoFit/>
                      </wps:bodyPr>
                    </wps:wsp>
                  </a:graphicData>
                </a:graphic>
                <wp14:sizeRelH relativeFrom="page">
                  <wp14:pctWidth>40000</wp14:pctWidth>
                </wp14:sizeRelH>
                <wp14:sizeRelV relativeFrom="margin">
                  <wp14:pctHeight>0</wp14:pctHeight>
                </wp14:sizeRelV>
              </wp:anchor>
            </w:drawing>
          </mc:Choice>
          <mc:Fallback>
            <w:pict>
              <v:rect id="Rectangle 393" o:spid="_x0000_s1027" style="position:absolute;left:0;text-align:left;margin-left:353.7pt;margin-top:87.85pt;width:244.8pt;height:243.45pt;z-index:25166131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" o:allowincell="f" fillcolor="#943634" stroked="f">
                <v:shadow type="perspective" opacity=".5" origin=",.5" offset="17pt,-52pt" matrix=",,,-1"/>
                <v:textbox style="mso-fit-shape-to-text:t" inset=",1in,1in,7.2pt">
                  <w:txbxContent>
                    <w:p w:rsidR="007B75FC" w:rsidRPr="00975A1C" w:rsidRDefault="007B75FC">
                      <w:pPr>
                        <w:spacing w:after="0"/>
                        <w:rPr>
                          <w:rFonts w:ascii="Consolas" w:hAnsi="Consolas" w:cs="Consolas"/>
                          <w:i/>
                          <w:caps/>
                          <w:color w:val="9BBB59" w:themeColor="accent3"/>
                          <w:sz w:val="24"/>
                          <w:szCs w:val="40"/>
                        </w:rPr>
                      </w:pPr>
                      <w:r>
                        <w:rPr>
                          <w:caps/>
                          <w:color w:val="9BBB59" w:themeColor="accent3"/>
                          <w:sz w:val="40"/>
                          <w:szCs w:val="40"/>
                        </w:rPr>
                        <w:t>[</w:t>
                      </w:r>
                      <w:r w:rsidRPr="005E69E1">
                        <w:rPr>
                          <w:rFonts w:ascii="Consolas" w:hAnsi="Consolas" w:cs="Consolas"/>
                          <w:caps/>
                          <w:color w:val="9BBB59" w:themeColor="accent3"/>
                          <w:sz w:val="40"/>
                          <w:szCs w:val="40"/>
                        </w:rPr>
                        <w:t>Equivalence</w:t>
                      </w:r>
                      <w:r>
                        <w:rPr>
                          <w:rFonts w:ascii="Consolas" w:hAnsi="Consolas" w:cs="Consolas"/>
                          <w:caps/>
                          <w:color w:val="9BBB59" w:themeColor="accent3"/>
                          <w:sz w:val="40"/>
                          <w:szCs w:val="40"/>
                        </w:rPr>
                        <w:t xml:space="preserve"> </w:t>
                      </w:r>
                      <w:r>
                        <w:rPr>
                          <w:rFonts w:ascii="Consolas" w:hAnsi="Consolas" w:cs="Consolas"/>
                          <w:i/>
                          <w:caps/>
                          <w:color w:val="9BBB59" w:themeColor="accent3"/>
                          <w:sz w:val="24"/>
                          <w:szCs w:val="40"/>
                        </w:rPr>
                        <w:t>of phytosanitary measures</w:t>
                      </w:r>
                    </w:p>
                    <w:p w:rsidR="007B75FC" w:rsidRDefault="007B75FC">
                      <w:pPr>
                        <w:spacing w:after="0"/>
                        <w:rPr>
                          <w:caps/>
                          <w:color w:val="9BBB59" w:themeColor="accent3"/>
                          <w:sz w:val="40"/>
                          <w:szCs w:val="40"/>
                        </w:rPr>
                      </w:pPr>
                      <w:r w:rsidRPr="005E69E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situation where, for a specified pest risk, different phytosanitary measures achieve a contracting party’s appropriate level of protection [FAO, 1995; revised CEPM, 1999; based on the World Trade Organization Agreement on the Application of Sanitary and Phytosanitary Measures; revised ISPM No. 24, 2005]. </w:t>
                      </w:r>
                      <w:r>
                        <w:rPr>
                          <w:caps/>
                          <w:color w:val="9BBB59" w:themeColor="accent3"/>
                          <w:sz w:val="40"/>
                          <w:szCs w:val="40"/>
                        </w:rPr>
                        <w:t>]</w:t>
                      </w:r>
                    </w:p>
                  </w:txbxContent>
                </v:textbox>
                <w10:wrap type="square" anchorx="page" anchory="page"/>
              </v:rect>
            </w:pict>
          </mc:Fallback>
        </mc:AlternateContent>
      </w:r>
      <w:r w:rsidR="002929E2">
        <w:t>What equivalence does not mean</w:t>
      </w:r>
      <w:bookmarkEnd w:id="7"/>
    </w:p>
    <w:p w:rsidR="0098519E" w:rsidRDefault="0098519E" w:rsidP="005126BB">
      <w:r>
        <w:t xml:space="preserve">There are cases in which a combination of measures or a new measure or technology has allowed movement of plant products when previously there was a prohibition of trade. Clearly, the alternative phytosanitary measure(s) cannot meet the same effect as prohibition, which would essentially be zero </w:t>
      </w:r>
      <w:r>
        <w:lastRenderedPageBreak/>
        <w:t xml:space="preserve">risk. This is a key reason for considering an importing NPPO’s ALOP rather than a set effect, as was suggested in the original definition. </w:t>
      </w:r>
    </w:p>
    <w:p w:rsidR="0098519E" w:rsidRDefault="00EC44C9" w:rsidP="005126BB">
      <w:r>
        <w:t>The requirement for similar end-point pest mortality levels came about in early cases of commodity treatmen</w:t>
      </w:r>
      <w:r w:rsidR="0098519E">
        <w:t>ts developed for replacement of</w:t>
      </w:r>
      <w:r>
        <w:t xml:space="preserve"> ethylene </w:t>
      </w:r>
      <w:proofErr w:type="spellStart"/>
      <w:r>
        <w:t>dibromide</w:t>
      </w:r>
      <w:proofErr w:type="spellEnd"/>
      <w:r>
        <w:t xml:space="preserve"> (EDB), methyl bromide (MB) or other broad spectrum fumigants. This led to wide use of prohibit 9 statistics as the basis for acceptance of new treatments.</w:t>
      </w:r>
      <w:r w:rsidR="0098519E">
        <w:t xml:space="preserve">  This </w:t>
      </w:r>
      <w:r w:rsidR="000B41CB">
        <w:t>criterion</w:t>
      </w:r>
      <w:r w:rsidR="0098519E">
        <w:t xml:space="preserve"> has been widely debated. </w:t>
      </w:r>
    </w:p>
    <w:p w:rsidR="00EC44C9" w:rsidRDefault="0098519E" w:rsidP="005126BB">
      <w:r>
        <w:t>Another point of controversy over the years has been the presence of a live pest that is not viable or is sterile. If there is documentation of a treatment with that as the target effect, many argue that the presence of this organism does not indicate non-compliance. This issue continues to be contentious in some trade situations. The more recent endorsement of ISPMs on irradiation as a treatment shows a deepening of understanding of the threat of introduction of a pest, versus simply entry at the point of entry to a country, without perhaps movement beyond that point.</w:t>
      </w:r>
    </w:p>
    <w:p w:rsidR="005126BB" w:rsidRDefault="0098519E" w:rsidP="005126BB">
      <w:r>
        <w:t xml:space="preserve">Equivalence also does not mean that all countries may be allowed to use the same alternative measures; at least not without additional safeguards. </w:t>
      </w:r>
      <w:r w:rsidR="00EC44C9">
        <w:t>The</w:t>
      </w:r>
      <w:r w:rsidR="005126BB">
        <w:t xml:space="preserve"> ISPM no. 24 on equivalence (IPPC, 2005)</w:t>
      </w:r>
      <w:r w:rsidR="00EC44C9">
        <w:t xml:space="preserve"> clearly states that the capacity of the exporting country’s NPPO to apply the measure or measures may also be evaluated as an important component of the likelihood of meeting the importing NPPO’s appropriate level of protection.</w:t>
      </w:r>
      <w:r w:rsidR="00087FF1">
        <w:t xml:space="preserve"> On a related issue, developing countries have raised a complaint to the WTO General Council regarding the difficulty in demonstrating equivalence to the generally more developed market countries NPPOs as an implementation constraint (WTO SPS, 2000).</w:t>
      </w:r>
    </w:p>
    <w:p w:rsidR="002929E2" w:rsidRDefault="002929E2" w:rsidP="002A4F9F">
      <w:pPr>
        <w:pStyle w:val="Style5"/>
      </w:pPr>
      <w:bookmarkStart w:id="8" w:name="_Toc323132094"/>
      <w:r>
        <w:t>Brief discussion of PRAs, ALOP and efficacy</w:t>
      </w:r>
      <w:bookmarkEnd w:id="8"/>
    </w:p>
    <w:p w:rsidR="002F02E0" w:rsidRDefault="002F02E0" w:rsidP="002F02E0">
      <w:pPr>
        <w:rPr>
          <w:b/>
        </w:rPr>
      </w:pPr>
      <w:r>
        <w:t>The probability that a pest will enter, establish in and possibly spread to an area where it is not yet present can be estimated based on, among other things, the biology of the pest of concern and the conditions of the importing country or region. The consequences of such an introduction vary according to the conditions of the importing country or region, including: presence of the host of the pest, economic or environmental importance of the host plants, availability of control measures or means to eradicate a new introduction, social impact of carrying out the control measures and so forth. The risk posed by an exotic pest associated with trade (whether actually present or not) is the probability of an introduction times the consequences of it. This risk is estimated using a Pest Risk Assessment methodology described below; with the addition of possible risk reducing or pest risk management* measures, the Pest Risk Analysis (PRA)* is the foundation of decision making regarding trade between countries or regions.</w:t>
      </w:r>
    </w:p>
    <w:p w:rsidR="002F02E0" w:rsidRDefault="002F02E0" w:rsidP="002F02E0">
      <w:r>
        <w:t>Each country has the right to set the level of protection to be achieved, either due to low inherent risk or by using risk management measures against introduction of injurious pests that could cause economic or environmental impact, which are not already present. If this Appropriate Level of Protection (AL</w:t>
      </w:r>
      <w:r w:rsidR="00F87D4F">
        <w:t>OP</w:t>
      </w:r>
      <w:r>
        <w:t>) cannot be reached through the addition of management measures, then the country can prohibit the trade.</w:t>
      </w:r>
    </w:p>
    <w:p w:rsidR="003E5CD8" w:rsidRDefault="00F87D4F" w:rsidP="002F02E0">
      <w:r>
        <w:t>The ALOP is a key componen</w:t>
      </w:r>
      <w:r w:rsidR="00975A1C">
        <w:t xml:space="preserve">t of the IPPC definition of </w:t>
      </w:r>
      <w:r>
        <w:t>equivalence</w:t>
      </w:r>
      <w:r w:rsidR="0020317B">
        <w:t>, as noted above, but has not</w:t>
      </w:r>
      <w:r w:rsidR="00EF2135">
        <w:t xml:space="preserve"> been well defined. There may be various ways to set the ALOP, varying from a defined economic threshold of potential impact to a more nebulous sense of matching  the post-management measures risk level was has been accepted over years of trade historically. </w:t>
      </w:r>
      <w:r w:rsidR="003E5CD8">
        <w:t xml:space="preserve">The underlying problem with this </w:t>
      </w:r>
      <w:r w:rsidR="003E5CD8">
        <w:lastRenderedPageBreak/>
        <w:t>concept in plant health is that there is not an agreed, common framework for comparing widely varying technical information on the range of phytosanitary measures in terms of impact (</w:t>
      </w:r>
      <w:proofErr w:type="spellStart"/>
      <w:r w:rsidR="003E5CD8">
        <w:t>Bigsby</w:t>
      </w:r>
      <w:proofErr w:type="spellEnd"/>
      <w:r w:rsidR="003E5CD8">
        <w:t>, 2001, and others), so that even with historic precedence, it is not always clear what is the ALOP to be reached. At this stage, there is little documentation from national governments on how the NPPO decides that measures are “enough” to meet this ALOP. It is not realistic to expect this to be transparent in the immediate future.</w:t>
      </w:r>
      <w:r w:rsidR="00100350">
        <w:t xml:space="preserve"> (Although exceptions are emerging.)</w:t>
      </w:r>
    </w:p>
    <w:p w:rsidR="00100350" w:rsidRPr="00100350" w:rsidRDefault="00100350" w:rsidP="00100350">
      <w:pPr>
        <w:pStyle w:val="IPPNormal"/>
        <w:rPr>
          <w:rFonts w:eastAsiaTheme="minorHAnsi" w:cstheme="minorBidi"/>
          <w:szCs w:val="22"/>
        </w:rPr>
      </w:pPr>
      <w:r>
        <w:rPr>
          <w:noProof/>
          <w:lang w:eastAsia="en-GB"/>
        </w:rPr>
        <mc:AlternateContent>
          <mc:Choice Requires="wps">
            <w:drawing>
              <wp:anchor distT="0" distB="0" distL="114300" distR="114300" simplePos="0" relativeHeight="251665408" behindDoc="0" locked="0" layoutInCell="0" allowOverlap="1" wp14:anchorId="0E49AD30" wp14:editId="3B85CABA">
                <wp:simplePos x="0" y="0"/>
                <wp:positionH relativeFrom="page">
                  <wp:align>left</wp:align>
                </wp:positionH>
                <wp:positionV relativeFrom="margin">
                  <wp:posOffset>1413492</wp:posOffset>
                </wp:positionV>
                <wp:extent cx="2209800" cy="7950835"/>
                <wp:effectExtent l="57150" t="38100" r="74930" b="9588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7B75FC" w:rsidRPr="00DB5209" w:rsidRDefault="007B75FC" w:rsidP="00DB5209">
                            <w:pPr>
                              <w:pStyle w:val="Default"/>
                              <w:rPr>
                                <w:sz w:val="20"/>
                                <w:szCs w:val="20"/>
                              </w:rPr>
                            </w:pPr>
                          </w:p>
                          <w:p w:rsidR="007B75FC" w:rsidRPr="00DB5209" w:rsidRDefault="007B75FC" w:rsidP="00DB5209">
                            <w:pPr>
                              <w:pStyle w:val="Default"/>
                              <w:rPr>
                                <w:sz w:val="20"/>
                                <w:szCs w:val="20"/>
                              </w:rPr>
                            </w:pPr>
                            <w:r w:rsidRPr="00DB5209">
                              <w:rPr>
                                <w:sz w:val="20"/>
                                <w:szCs w:val="20"/>
                              </w:rPr>
                              <w:t xml:space="preserve"> </w:t>
                            </w:r>
                            <w:r w:rsidRPr="00DB5209">
                              <w:rPr>
                                <w:b/>
                                <w:bCs/>
                                <w:sz w:val="20"/>
                                <w:szCs w:val="20"/>
                              </w:rPr>
                              <w:t xml:space="preserve">PHYTOSANITARY PRINCIPLES FOR THE PROTECTION OF PLANTS AND THE APPLICATION OF PHYTOSANITARY MEASURES IN INTERNATIONAL TRADE </w:t>
                            </w:r>
                          </w:p>
                          <w:p w:rsidR="007B75FC" w:rsidRDefault="007B75FC" w:rsidP="00DB5209">
                            <w:pPr>
                              <w:pBdr>
                                <w:top w:val="thinThickSmallGap" w:sz="36" w:space="0" w:color="622423" w:themeColor="accent2" w:themeShade="7F"/>
                                <w:bottom w:val="thickThinSmallGap" w:sz="36" w:space="0" w:color="622423" w:themeColor="accent2" w:themeShade="7F"/>
                              </w:pBdr>
                              <w:spacing w:after="160"/>
                              <w:rPr>
                                <w:b/>
                                <w:bCs/>
                                <w:sz w:val="20"/>
                                <w:szCs w:val="20"/>
                              </w:rPr>
                            </w:pPr>
                            <w:r w:rsidRPr="00DB5209">
                              <w:rPr>
                                <w:b/>
                                <w:bCs/>
                                <w:sz w:val="20"/>
                                <w:szCs w:val="20"/>
                              </w:rPr>
                              <w:t>(</w:t>
                            </w:r>
                            <w:r>
                              <w:rPr>
                                <w:b/>
                                <w:bCs/>
                                <w:sz w:val="20"/>
                                <w:szCs w:val="20"/>
                              </w:rPr>
                              <w:t xml:space="preserve">IPPC </w:t>
                            </w:r>
                            <w:r w:rsidRPr="00DB5209">
                              <w:rPr>
                                <w:b/>
                                <w:bCs/>
                                <w:sz w:val="20"/>
                                <w:szCs w:val="20"/>
                              </w:rPr>
                              <w:t>2006</w:t>
                            </w:r>
                            <w:r>
                              <w:rPr>
                                <w:b/>
                                <w:bCs/>
                                <w:sz w:val="20"/>
                                <w:szCs w:val="20"/>
                              </w:rPr>
                              <w:t xml:space="preserve"> – ISPM 1</w:t>
                            </w:r>
                            <w:r w:rsidRPr="00DB5209">
                              <w:rPr>
                                <w:b/>
                                <w:bCs/>
                                <w:sz w:val="20"/>
                                <w:szCs w:val="20"/>
                              </w:rPr>
                              <w:t>)</w:t>
                            </w:r>
                          </w:p>
                          <w:p w:rsidR="007B75FC" w:rsidRPr="00DB5209" w:rsidRDefault="007B75FC" w:rsidP="00DB5209">
                            <w:pPr>
                              <w:autoSpaceDE w:val="0"/>
                              <w:autoSpaceDN w:val="0"/>
                              <w:adjustRightInd w:val="0"/>
                              <w:spacing w:before="0" w:after="0" w:line="240" w:lineRule="auto"/>
                              <w:rPr>
                                <w:rFonts w:cs="Times New Roman"/>
                                <w:color w:val="000000"/>
                                <w:sz w:val="23"/>
                                <w:szCs w:val="23"/>
                              </w:rPr>
                            </w:pPr>
                            <w:r w:rsidRPr="00DB5209">
                              <w:rPr>
                                <w:rFonts w:cs="Times New Roman"/>
                                <w:b/>
                                <w:bCs/>
                                <w:color w:val="000000"/>
                                <w:sz w:val="23"/>
                                <w:szCs w:val="23"/>
                              </w:rPr>
                              <w:t xml:space="preserve">1.10 Equivalence of phytosanitary measures </w:t>
                            </w:r>
                          </w:p>
                          <w:p w:rsidR="007B75FC" w:rsidRPr="00DB5209" w:rsidRDefault="007B75FC" w:rsidP="00DB520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DB5209">
                              <w:rPr>
                                <w:rFonts w:cs="Times New Roman"/>
                                <w:color w:val="000000"/>
                              </w:rPr>
                              <w:t>Importing contracting parties should recognize alternative phytosanitary measures proposed by exporting contracting parties as equivalent when those measures are demonstrated to achieve the appropriate level of protection determined by the importing contracting party.</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28" type="#_x0000_t202" alt="Description: Narrow horizontal" style="position:absolute;left:0;text-align:left;margin-left:0;margin-top:111.3pt;width:174pt;height:626.05pt;z-index:251665408;visibility:visible;mso-wrap-style:square;mso-width-percent:300;mso-height-percent:980;mso-wrap-distance-left:9pt;mso-wrap-distance-top:0;mso-wrap-distance-right:9pt;mso-wrap-distance-bottom:0;mso-position-horizontal:left;mso-position-horizontal-relative:page;mso-position-vertical:absolute;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7B75FC" w:rsidRPr="00DB5209" w:rsidRDefault="007B75FC" w:rsidP="00DB5209">
                      <w:pPr>
                        <w:pStyle w:val="Default"/>
                        <w:rPr>
                          <w:sz w:val="20"/>
                          <w:szCs w:val="20"/>
                        </w:rPr>
                      </w:pPr>
                    </w:p>
                    <w:p w:rsidR="007B75FC" w:rsidRPr="00DB5209" w:rsidRDefault="007B75FC" w:rsidP="00DB5209">
                      <w:pPr>
                        <w:pStyle w:val="Default"/>
                        <w:rPr>
                          <w:sz w:val="20"/>
                          <w:szCs w:val="20"/>
                        </w:rPr>
                      </w:pPr>
                      <w:r w:rsidRPr="00DB5209">
                        <w:rPr>
                          <w:sz w:val="20"/>
                          <w:szCs w:val="20"/>
                        </w:rPr>
                        <w:t xml:space="preserve"> </w:t>
                      </w:r>
                      <w:r w:rsidRPr="00DB5209">
                        <w:rPr>
                          <w:b/>
                          <w:bCs/>
                          <w:sz w:val="20"/>
                          <w:szCs w:val="20"/>
                        </w:rPr>
                        <w:t xml:space="preserve">PHYTOSANITARY PRINCIPLES FOR THE PROTECTION OF PLANTS AND THE APPLICATION OF PHYTOSANITARY MEASURES IN INTERNATIONAL TRADE </w:t>
                      </w:r>
                    </w:p>
                    <w:p w:rsidR="007B75FC" w:rsidRDefault="007B75FC" w:rsidP="00DB5209">
                      <w:pPr>
                        <w:pBdr>
                          <w:top w:val="thinThickSmallGap" w:sz="36" w:space="0" w:color="622423" w:themeColor="accent2" w:themeShade="7F"/>
                          <w:bottom w:val="thickThinSmallGap" w:sz="36" w:space="0" w:color="622423" w:themeColor="accent2" w:themeShade="7F"/>
                        </w:pBdr>
                        <w:spacing w:after="160"/>
                        <w:rPr>
                          <w:b/>
                          <w:bCs/>
                          <w:sz w:val="20"/>
                          <w:szCs w:val="20"/>
                        </w:rPr>
                      </w:pPr>
                      <w:r w:rsidRPr="00DB5209">
                        <w:rPr>
                          <w:b/>
                          <w:bCs/>
                          <w:sz w:val="20"/>
                          <w:szCs w:val="20"/>
                        </w:rPr>
                        <w:t>(</w:t>
                      </w:r>
                      <w:r>
                        <w:rPr>
                          <w:b/>
                          <w:bCs/>
                          <w:sz w:val="20"/>
                          <w:szCs w:val="20"/>
                        </w:rPr>
                        <w:t xml:space="preserve">IPPC </w:t>
                      </w:r>
                      <w:r w:rsidRPr="00DB5209">
                        <w:rPr>
                          <w:b/>
                          <w:bCs/>
                          <w:sz w:val="20"/>
                          <w:szCs w:val="20"/>
                        </w:rPr>
                        <w:t>2006</w:t>
                      </w:r>
                      <w:r>
                        <w:rPr>
                          <w:b/>
                          <w:bCs/>
                          <w:sz w:val="20"/>
                          <w:szCs w:val="20"/>
                        </w:rPr>
                        <w:t xml:space="preserve"> – ISPM 1</w:t>
                      </w:r>
                      <w:r w:rsidRPr="00DB5209">
                        <w:rPr>
                          <w:b/>
                          <w:bCs/>
                          <w:sz w:val="20"/>
                          <w:szCs w:val="20"/>
                        </w:rPr>
                        <w:t>)</w:t>
                      </w:r>
                    </w:p>
                    <w:p w:rsidR="007B75FC" w:rsidRPr="00DB5209" w:rsidRDefault="007B75FC" w:rsidP="00DB5209">
                      <w:pPr>
                        <w:autoSpaceDE w:val="0"/>
                        <w:autoSpaceDN w:val="0"/>
                        <w:adjustRightInd w:val="0"/>
                        <w:spacing w:before="0" w:after="0" w:line="240" w:lineRule="auto"/>
                        <w:rPr>
                          <w:rFonts w:cs="Times New Roman"/>
                          <w:color w:val="000000"/>
                          <w:sz w:val="23"/>
                          <w:szCs w:val="23"/>
                        </w:rPr>
                      </w:pPr>
                      <w:r w:rsidRPr="00DB5209">
                        <w:rPr>
                          <w:rFonts w:cs="Times New Roman"/>
                          <w:b/>
                          <w:bCs/>
                          <w:color w:val="000000"/>
                          <w:sz w:val="23"/>
                          <w:szCs w:val="23"/>
                        </w:rPr>
                        <w:t xml:space="preserve">1.10 Equivalence of phytosanitary measures </w:t>
                      </w:r>
                    </w:p>
                    <w:p w:rsidR="007B75FC" w:rsidRPr="00DB5209" w:rsidRDefault="007B75FC" w:rsidP="00DB520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sidRPr="00DB5209">
                        <w:rPr>
                          <w:rFonts w:cs="Times New Roman"/>
                          <w:color w:val="000000"/>
                        </w:rPr>
                        <w:t>Importing contracting parties should recognize alternative phytosanitary measures proposed by exporting contracting parties as equivalent when those measures are demonstrated to achieve the appropriate level of protection determined by the importing contracting party.</w:t>
                      </w:r>
                    </w:p>
                  </w:txbxContent>
                </v:textbox>
                <w10:wrap type="square" anchorx="page" anchory="margin"/>
              </v:shape>
            </w:pict>
          </mc:Fallback>
        </mc:AlternateContent>
      </w:r>
      <w:r w:rsidRPr="00100350">
        <w:rPr>
          <w:rFonts w:eastAsiaTheme="minorHAnsi" w:cstheme="minorBidi"/>
          <w:szCs w:val="22"/>
        </w:rPr>
        <w:t xml:space="preserve">In </w:t>
      </w:r>
      <w:r>
        <w:rPr>
          <w:rFonts w:eastAsiaTheme="minorHAnsi" w:cstheme="minorBidi"/>
          <w:szCs w:val="22"/>
        </w:rPr>
        <w:t xml:space="preserve">2005, at the </w:t>
      </w:r>
      <w:r w:rsidRPr="00100350">
        <w:rPr>
          <w:rFonts w:eastAsiaTheme="minorHAnsi" w:cstheme="minorBidi"/>
          <w:szCs w:val="22"/>
        </w:rPr>
        <w:t>I</w:t>
      </w:r>
      <w:r>
        <w:rPr>
          <w:rFonts w:eastAsiaTheme="minorHAnsi" w:cstheme="minorBidi"/>
          <w:szCs w:val="22"/>
        </w:rPr>
        <w:t xml:space="preserve">nterim </w:t>
      </w:r>
      <w:r w:rsidRPr="00100350">
        <w:rPr>
          <w:rFonts w:eastAsiaTheme="minorHAnsi" w:cstheme="minorBidi"/>
          <w:szCs w:val="22"/>
        </w:rPr>
        <w:t>C</w:t>
      </w:r>
      <w:r>
        <w:rPr>
          <w:rFonts w:eastAsiaTheme="minorHAnsi" w:cstheme="minorBidi"/>
          <w:szCs w:val="22"/>
        </w:rPr>
        <w:t xml:space="preserve">ommission on </w:t>
      </w:r>
      <w:r w:rsidRPr="00100350">
        <w:rPr>
          <w:rFonts w:eastAsiaTheme="minorHAnsi" w:cstheme="minorBidi"/>
          <w:szCs w:val="22"/>
        </w:rPr>
        <w:t>P</w:t>
      </w:r>
      <w:r>
        <w:rPr>
          <w:rFonts w:eastAsiaTheme="minorHAnsi" w:cstheme="minorBidi"/>
          <w:szCs w:val="22"/>
        </w:rPr>
        <w:t xml:space="preserve">hytosanitary </w:t>
      </w:r>
      <w:r w:rsidRPr="00100350">
        <w:rPr>
          <w:rFonts w:eastAsiaTheme="minorHAnsi" w:cstheme="minorBidi"/>
          <w:szCs w:val="22"/>
        </w:rPr>
        <w:t>M</w:t>
      </w:r>
      <w:r>
        <w:rPr>
          <w:rFonts w:eastAsiaTheme="minorHAnsi" w:cstheme="minorBidi"/>
          <w:szCs w:val="22"/>
        </w:rPr>
        <w:t>easures (ICPM</w:t>
      </w:r>
      <w:r w:rsidRPr="00100350">
        <w:rPr>
          <w:rFonts w:eastAsiaTheme="minorHAnsi" w:cstheme="minorBidi"/>
          <w:szCs w:val="22"/>
        </w:rPr>
        <w:t>-7</w:t>
      </w:r>
      <w:r>
        <w:rPr>
          <w:rFonts w:eastAsiaTheme="minorHAnsi" w:cstheme="minorBidi"/>
          <w:szCs w:val="22"/>
        </w:rPr>
        <w:t>)</w:t>
      </w:r>
      <w:r w:rsidR="00F86C66">
        <w:rPr>
          <w:rFonts w:eastAsiaTheme="minorHAnsi" w:cstheme="minorBidi"/>
          <w:szCs w:val="22"/>
        </w:rPr>
        <w:t>,</w:t>
      </w:r>
      <w:r>
        <w:rPr>
          <w:rFonts w:eastAsiaTheme="minorHAnsi" w:cstheme="minorBidi"/>
          <w:szCs w:val="22"/>
        </w:rPr>
        <w:t xml:space="preserve"> the decision was </w:t>
      </w:r>
      <w:r w:rsidR="00F86C66">
        <w:rPr>
          <w:rFonts w:eastAsiaTheme="minorHAnsi" w:cstheme="minorBidi"/>
          <w:szCs w:val="22"/>
        </w:rPr>
        <w:t xml:space="preserve">taken </w:t>
      </w:r>
      <w:r>
        <w:rPr>
          <w:rFonts w:eastAsiaTheme="minorHAnsi" w:cstheme="minorBidi"/>
          <w:szCs w:val="22"/>
        </w:rPr>
        <w:t>to</w:t>
      </w:r>
      <w:r w:rsidR="00467A76">
        <w:rPr>
          <w:rFonts w:eastAsiaTheme="minorHAnsi" w:cstheme="minorBidi"/>
          <w:szCs w:val="22"/>
        </w:rPr>
        <w:t xml:space="preserve"> produce an ISPM or supplement </w:t>
      </w:r>
      <w:r>
        <w:rPr>
          <w:rFonts w:eastAsiaTheme="minorHAnsi" w:cstheme="minorBidi"/>
          <w:szCs w:val="22"/>
        </w:rPr>
        <w:t>to describe</w:t>
      </w:r>
      <w:r w:rsidRPr="00100350">
        <w:rPr>
          <w:rFonts w:eastAsiaTheme="minorHAnsi" w:cstheme="minorBidi"/>
          <w:szCs w:val="22"/>
        </w:rPr>
        <w:t xml:space="preserve"> the use of the term appropriate level of protection</w:t>
      </w:r>
      <w:r>
        <w:rPr>
          <w:rFonts w:eastAsiaTheme="minorHAnsi" w:cstheme="minorBidi"/>
          <w:szCs w:val="22"/>
        </w:rPr>
        <w:t xml:space="preserve"> (IPPC, 2005 – specification 36).</w:t>
      </w:r>
      <w:r w:rsidR="00467A76">
        <w:rPr>
          <w:rFonts w:eastAsiaTheme="minorHAnsi" w:cstheme="minorBidi"/>
          <w:szCs w:val="22"/>
        </w:rPr>
        <w:t xml:space="preserve"> A draft IPSM on ALOP was prepared and discussed by the IPPC Standards Committee</w:t>
      </w:r>
      <w:r w:rsidR="003A197A">
        <w:rPr>
          <w:rFonts w:eastAsiaTheme="minorHAnsi" w:cstheme="minorBidi"/>
          <w:szCs w:val="22"/>
        </w:rPr>
        <w:t>.</w:t>
      </w:r>
      <w:r w:rsidR="00467A76">
        <w:rPr>
          <w:rFonts w:eastAsiaTheme="minorHAnsi" w:cstheme="minorBidi"/>
          <w:szCs w:val="22"/>
        </w:rPr>
        <w:t xml:space="preserve"> Eventually in the November 2008 meeting (IPPC, 2008) the decision was made to table the draft for the time being. The topic proved to be challenging and “it remained the remit of the SPS Committee to define ALOP”, as it arose from the SPS rather than the IPPC (IPPC, 2008).</w:t>
      </w:r>
      <w:r w:rsidR="009A7CC3">
        <w:rPr>
          <w:rFonts w:eastAsiaTheme="minorHAnsi" w:cstheme="minorBidi"/>
          <w:szCs w:val="22"/>
        </w:rPr>
        <w:t xml:space="preserve"> </w:t>
      </w:r>
    </w:p>
    <w:p w:rsidR="002F02E0" w:rsidRDefault="003E5CD8" w:rsidP="002F02E0">
      <w:r>
        <w:t>The impact of measures relate</w:t>
      </w:r>
      <w:r w:rsidR="00F86C66">
        <w:t>s</w:t>
      </w:r>
      <w:r>
        <w:t xml:space="preserve"> to the efficacy of the measures, as well as to the level of the threat. </w:t>
      </w:r>
      <w:r w:rsidR="00E3209D">
        <w:t xml:space="preserve">“Efficacy (treatment)” appears in the official IPPC glossary as “a defined, measureable and reproducible effect by a prescribed treatment [from ISPM no. 18, 2003]; the term </w:t>
      </w:r>
      <w:r>
        <w:t>“</w:t>
      </w:r>
      <w:r w:rsidR="00E3209D">
        <w:t>efficacy</w:t>
      </w:r>
      <w:r>
        <w:t>”</w:t>
      </w:r>
      <w:r w:rsidR="00E3209D">
        <w:t xml:space="preserve"> </w:t>
      </w:r>
      <w:r>
        <w:t xml:space="preserve">is </w:t>
      </w:r>
      <w:r w:rsidR="00E3209D">
        <w:t>not defined for other types of phytosanitary measures at th</w:t>
      </w:r>
      <w:r>
        <w:t>is</w:t>
      </w:r>
      <w:r w:rsidR="00E3209D">
        <w:t xml:space="preserve"> time.</w:t>
      </w:r>
    </w:p>
    <w:p w:rsidR="00100350" w:rsidRDefault="003E5CD8" w:rsidP="002F02E0">
      <w:r>
        <w:t>Expert working</w:t>
      </w:r>
      <w:r w:rsidR="00F42165">
        <w:t xml:space="preserve"> groups under the IPPC were conven</w:t>
      </w:r>
      <w:r>
        <w:t xml:space="preserve">ed for the development of </w:t>
      </w:r>
      <w:r w:rsidR="00F42165">
        <w:t>an ISPM on efficacy. This process has been stalled, but the reports reveal t</w:t>
      </w:r>
      <w:r w:rsidR="009A7CC3">
        <w:t>he complexity of the issues, as discussed further, below</w:t>
      </w:r>
      <w:r w:rsidR="00F42165">
        <w:t>.</w:t>
      </w:r>
    </w:p>
    <w:p w:rsidR="002929E2" w:rsidRDefault="002929E2" w:rsidP="002A4F9F">
      <w:pPr>
        <w:pStyle w:val="Style5"/>
      </w:pPr>
      <w:bookmarkStart w:id="9" w:name="_Toc323132095"/>
      <w:r>
        <w:t>The drivers for seeking equivalence</w:t>
      </w:r>
      <w:bookmarkEnd w:id="9"/>
    </w:p>
    <w:p w:rsidR="00C40270" w:rsidRDefault="008C7E5F" w:rsidP="008C7E5F">
      <w:r>
        <w:t>Drivers for seeking equivalence have been identified from various sources</w:t>
      </w:r>
      <w:r w:rsidR="00C40270">
        <w:t>, including survey results and interviews</w:t>
      </w:r>
      <w:r>
        <w:t>. The most commonly cited driver has been the loss of a chemical treatment such as a pesticide or postharvest fumigant, Methyl Bromide being an obvious example.</w:t>
      </w:r>
      <w:r w:rsidR="00AD347C">
        <w:t xml:space="preserve"> </w:t>
      </w:r>
      <w:r w:rsidR="00C40270">
        <w:t>The environmental impact of an existing option is also mentioned, even if still available.</w:t>
      </w:r>
    </w:p>
    <w:p w:rsidR="008C7E5F" w:rsidRDefault="008C7E5F" w:rsidP="008C7E5F">
      <w:r>
        <w:t>Another driver noted has been continued non-compliance with existing measures due to some challenge in the application of those measures.</w:t>
      </w:r>
      <w:r w:rsidR="00265371">
        <w:t xml:space="preserve"> Frequently, this has led to a Systems Approach,</w:t>
      </w:r>
      <w:r>
        <w:t xml:space="preserve"> </w:t>
      </w:r>
      <w:r w:rsidR="00265371">
        <w:t>considered equivalent to the existing option, in order to maintain trade.</w:t>
      </w:r>
      <w:r w:rsidR="00AD347C">
        <w:t xml:space="preserve"> A correlating driver is the issues of pesticide residues being found as the pest problem rises, and application of pesticides increase in response.</w:t>
      </w:r>
      <w:r w:rsidR="00C40270">
        <w:t xml:space="preserve"> Detentions due to pesticide residues are not directly related to the IPPC, but may lead a sector to ask the NPPO to look for better options.</w:t>
      </w:r>
    </w:p>
    <w:p w:rsidR="00AD347C" w:rsidRDefault="00AD347C" w:rsidP="008C7E5F">
      <w:r>
        <w:t>Sometimes the existing option has negative impacts on quality of the product and an equivalent alternative, often a Systems Approach, is sought</w:t>
      </w:r>
      <w:r w:rsidR="00C40270">
        <w:t xml:space="preserve"> for market reasons</w:t>
      </w:r>
      <w:r>
        <w:t>.</w:t>
      </w:r>
    </w:p>
    <w:p w:rsidR="008C7E5F" w:rsidRDefault="008C7E5F" w:rsidP="008C7E5F">
      <w:r>
        <w:t xml:space="preserve">At times, </w:t>
      </w:r>
      <w:r w:rsidR="00AA14C3">
        <w:t>constraints in resources are</w:t>
      </w:r>
      <w:r>
        <w:t xml:space="preserve"> the driver. This may be due to funding, capacity and work load of the NPPO employees, infrastructure or </w:t>
      </w:r>
      <w:r>
        <w:lastRenderedPageBreak/>
        <w:t>to limited volume of particular trade, which cannot justify the existing option.</w:t>
      </w:r>
      <w:r w:rsidR="005D1987">
        <w:t xml:space="preserve"> If the existing option requires financing of importing NPPO inspection on site, for example at a treatment facility, this may lead to petition for alternatives that may be carried out in transit or upon arrival to the port of entry, so as to avoid that administrative cost.</w:t>
      </w:r>
    </w:p>
    <w:p w:rsidR="00C40270" w:rsidRDefault="00265371" w:rsidP="00C40270">
      <w:r>
        <w:t>Political sensitivities were mentioned.</w:t>
      </w:r>
      <w:r w:rsidR="00C40270">
        <w:t xml:space="preserve"> A driver, which may have been even more common in the past is seeking equivalent measures when previously trade was prohibited. Various interviewees have commented that there are situations in which the existing measures are not justified, or there are new or additional requirements (i.e. due to the change in a pest status). These may be treated to some degree as equivalence negotiations, but in actual fact these are political negotiations.</w:t>
      </w:r>
    </w:p>
    <w:p w:rsidR="00265371" w:rsidRDefault="004B67BF" w:rsidP="008C7E5F">
      <w:r>
        <w:t xml:space="preserve">Similar drivers were identified in a study on the application of Systems Approach (Quinlan &amp; </w:t>
      </w:r>
      <w:proofErr w:type="spellStart"/>
      <w:r>
        <w:t>Ikin</w:t>
      </w:r>
      <w:proofErr w:type="spellEnd"/>
      <w:r>
        <w:t>, 2009). Examples of equivalence that are not Systems Approach are included</w:t>
      </w:r>
      <w:r w:rsidR="006714AB">
        <w:t xml:space="preserve"> below</w:t>
      </w:r>
      <w:r>
        <w:t xml:space="preserve">, </w:t>
      </w:r>
      <w:r w:rsidR="006714AB">
        <w:t xml:space="preserve">however, </w:t>
      </w:r>
      <w:r>
        <w:t xml:space="preserve">as there is no requirement for combined measures to </w:t>
      </w:r>
      <w:r w:rsidR="006714AB">
        <w:t xml:space="preserve">be used to </w:t>
      </w:r>
      <w:r>
        <w:t>meet the equivalent</w:t>
      </w:r>
      <w:r w:rsidR="006714AB">
        <w:t xml:space="preserve"> ALOP</w:t>
      </w:r>
      <w:r>
        <w:t>.</w:t>
      </w:r>
    </w:p>
    <w:p w:rsidR="002929E2" w:rsidRDefault="002929E2" w:rsidP="001338B3">
      <w:pPr>
        <w:pStyle w:val="Style4"/>
      </w:pPr>
      <w:bookmarkStart w:id="10" w:name="_Toc323132096"/>
      <w:r>
        <w:t>Historic context for Equivalence (up through the SPS)</w:t>
      </w:r>
      <w:bookmarkEnd w:id="10"/>
    </w:p>
    <w:p w:rsidR="002929E2" w:rsidRDefault="002929E2" w:rsidP="009461F0">
      <w:pPr>
        <w:pStyle w:val="Style5"/>
        <w:numPr>
          <w:ilvl w:val="0"/>
          <w:numId w:val="3"/>
        </w:numPr>
      </w:pPr>
      <w:bookmarkStart w:id="11" w:name="_Toc323132097"/>
      <w:r>
        <w:t>Agreement on alternative measures: commodity treatments and host status</w:t>
      </w:r>
      <w:bookmarkEnd w:id="11"/>
    </w:p>
    <w:p w:rsidR="00D57F30" w:rsidRDefault="00D57F30" w:rsidP="00D57F30">
      <w:r>
        <w:t>[historic examples]</w:t>
      </w:r>
    </w:p>
    <w:p w:rsidR="002929E2" w:rsidRDefault="002929E2" w:rsidP="009461F0">
      <w:pPr>
        <w:pStyle w:val="Style5"/>
        <w:numPr>
          <w:ilvl w:val="0"/>
          <w:numId w:val="3"/>
        </w:numPr>
      </w:pPr>
      <w:bookmarkStart w:id="12" w:name="_Toc323132098"/>
      <w:r>
        <w:t>System wide equivalence: recognition of inspection systems, export</w:t>
      </w:r>
      <w:r w:rsidR="00361C0C">
        <w:t xml:space="preserve"> certification, </w:t>
      </w:r>
      <w:r w:rsidR="000D3705">
        <w:t>etc.</w:t>
      </w:r>
      <w:bookmarkEnd w:id="12"/>
    </w:p>
    <w:p w:rsidR="009B2081" w:rsidRDefault="009B2081" w:rsidP="009B2081">
      <w:r>
        <w:t>While generally in plant health, equivalence is agreed bilaterally for particular pest risk/commodity/</w:t>
      </w:r>
      <w:r w:rsidR="007C1E7D">
        <w:t xml:space="preserve">source of </w:t>
      </w:r>
      <w:r>
        <w:t>trade, one can observe similar processes in the past for entire systems</w:t>
      </w:r>
      <w:r w:rsidR="00B9516F">
        <w:t>, well before the ISPM 24 was written</w:t>
      </w:r>
      <w:r>
        <w:t>. These agreements were primarily ad hoc, based on years of experience with trade and the building of mutual trust. For this reason, there may not have been transparency in the criteria for the recognition. Furthermore, examples are not well documented, because of the political ramifications of granting recognition to possibly one exporting NPPO and not others.</w:t>
      </w:r>
    </w:p>
    <w:p w:rsidR="00B9516F" w:rsidRDefault="00B9516F" w:rsidP="009B2081"/>
    <w:p w:rsidR="00B9516F" w:rsidRDefault="00B9516F" w:rsidP="009B2081"/>
    <w:p w:rsidR="00B9516F" w:rsidRDefault="00B9516F" w:rsidP="009B2081">
      <w:r>
        <w:t>In contrast to these examples, the evolution of the MERCOSUR mutual recognition has been a more deliberate and transparent process.</w:t>
      </w:r>
    </w:p>
    <w:p w:rsidR="0012001E" w:rsidRDefault="0012001E" w:rsidP="009B2081"/>
    <w:p w:rsidR="0012001E" w:rsidRDefault="0012001E" w:rsidP="009B2081">
      <w:r>
        <w:t xml:space="preserve">Some shared vision for pest risk and plant health has led to no less fundamental, even though </w:t>
      </w:r>
      <w:r w:rsidR="00240C14">
        <w:t xml:space="preserve">much </w:t>
      </w:r>
      <w:r>
        <w:t>less comprehensive, agreements between Australia and New Zealand.</w:t>
      </w:r>
    </w:p>
    <w:p w:rsidR="0012001E" w:rsidRDefault="0012001E" w:rsidP="009B2081"/>
    <w:p w:rsidR="0012001E" w:rsidRDefault="0012001E" w:rsidP="009B2081"/>
    <w:p w:rsidR="00361C0C" w:rsidRDefault="00361C0C" w:rsidP="009461F0">
      <w:pPr>
        <w:pStyle w:val="Style5"/>
        <w:numPr>
          <w:ilvl w:val="0"/>
          <w:numId w:val="3"/>
        </w:numPr>
      </w:pPr>
      <w:bookmarkStart w:id="13" w:name="_Toc323132099"/>
      <w:r>
        <w:lastRenderedPageBreak/>
        <w:t>European approach to requirements</w:t>
      </w:r>
      <w:bookmarkEnd w:id="13"/>
    </w:p>
    <w:p w:rsidR="005C1836" w:rsidRDefault="00240C14" w:rsidP="005C1836">
      <w:r>
        <w:t>From the period of the creation of the European Common Market, the plant health legislation covering members of the European Union (and some non-members that have chosen to match that legislation) has offered alternative measures against the same pest risk.</w:t>
      </w:r>
      <w:r w:rsidR="003F0292">
        <w:t xml:space="preserve"> </w:t>
      </w:r>
      <w:r w:rsidR="005C1836">
        <w:t xml:space="preserve">The principal legislation is the Plant Health Directive (2000/29).  </w:t>
      </w:r>
      <w:r w:rsidR="007B75FC">
        <w:t xml:space="preserve">It is suggested that Annex 4 on emergency actions is based on the principle of equivalence (personal communication) from its beginnings. </w:t>
      </w:r>
      <w:r w:rsidR="005C1836">
        <w:t>Some derogations, which are based on the principles of a Systems Approach, have been adopted over changed requirements over time (e.g. Decisions 2003/63, 2002/887, 2002/499, 2005/51, 2004/4, 2003/249, 93/423). This occurs generally when pest detections have been unacceptably high, frequent or on going from particular sources.</w:t>
      </w:r>
      <w:r w:rsidR="007B75FC">
        <w:t xml:space="preserve"> The objective is to avoid prohibition, in the spirit of the WTO SPS.</w:t>
      </w:r>
    </w:p>
    <w:p w:rsidR="00240C14" w:rsidRDefault="007B75FC" w:rsidP="005C1836">
      <w:r>
        <w:t>In a sense, the European approach has always been to have p</w:t>
      </w:r>
      <w:r w:rsidR="003F0292">
        <w:t xml:space="preserve">rohibition </w:t>
      </w:r>
      <w:r>
        <w:t xml:space="preserve">as </w:t>
      </w:r>
      <w:r w:rsidR="003F0292">
        <w:t xml:space="preserve">one option, based on the pest list </w:t>
      </w:r>
      <w:r>
        <w:t xml:space="preserve">provided in this legislation </w:t>
      </w:r>
      <w:r w:rsidR="003F0292">
        <w:t xml:space="preserve">with technical justification and transparency. </w:t>
      </w:r>
      <w:r>
        <w:t xml:space="preserve">(A country with this pest is prohibited from trade of host material, but then other options are offered.) </w:t>
      </w:r>
      <w:r w:rsidR="003F0292">
        <w:t>Pest free areas or p</w:t>
      </w:r>
      <w:r>
        <w:t>est free places of production a</w:t>
      </w:r>
      <w:r w:rsidR="003F0292">
        <w:t xml:space="preserve">re commonly offered as one of the options for trade from countries with the target pest already present. Beyond this, there are examples of </w:t>
      </w:r>
      <w:r w:rsidR="00736DCA">
        <w:t>single or combined measures which must be considered “equivalent” in so far as they are accepted as providing ALOP for the entire EU.</w:t>
      </w:r>
    </w:p>
    <w:p w:rsidR="00736DCA" w:rsidRDefault="007B75FC" w:rsidP="00240C14">
      <w:r>
        <w:t xml:space="preserve">In the past decade, since its formation, </w:t>
      </w:r>
      <w:r w:rsidR="00736DCA">
        <w:t>when exporting country NPPOs propose alternative measures</w:t>
      </w:r>
      <w:r>
        <w:t xml:space="preserve"> to those in the legislation</w:t>
      </w:r>
      <w:r w:rsidR="00736DCA">
        <w:t xml:space="preserve">, </w:t>
      </w:r>
      <w:r>
        <w:t>most often Systems Approach, this</w:t>
      </w:r>
      <w:r w:rsidR="00736DCA">
        <w:t xml:space="preserve"> is referred to the European Food Safety A</w:t>
      </w:r>
      <w:r>
        <w:t xml:space="preserve">uthority </w:t>
      </w:r>
      <w:r w:rsidR="00736DCA">
        <w:t xml:space="preserve">(EFSA) Plant Health Committee for technical </w:t>
      </w:r>
      <w:r w:rsidR="00D57F30">
        <w:t>review.</w:t>
      </w:r>
    </w:p>
    <w:p w:rsidR="00736DCA" w:rsidRDefault="00D57F30" w:rsidP="00240C14">
      <w:r>
        <w:t>[add the examples documented]</w:t>
      </w:r>
    </w:p>
    <w:p w:rsidR="00361C0C" w:rsidRDefault="00361C0C" w:rsidP="009461F0">
      <w:pPr>
        <w:pStyle w:val="Style5"/>
        <w:numPr>
          <w:ilvl w:val="0"/>
          <w:numId w:val="3"/>
        </w:numPr>
      </w:pPr>
      <w:bookmarkStart w:id="14" w:name="_Toc323132100"/>
      <w:r>
        <w:t>The advent of SPS and relevant principles</w:t>
      </w:r>
      <w:bookmarkEnd w:id="14"/>
    </w:p>
    <w:p w:rsidR="00EC2242" w:rsidRDefault="00EC2242" w:rsidP="003A197A">
      <w:r>
        <w:t xml:space="preserve">The 1951 version of the IPPC text has an objective to “secure common and effective action to prevent the spread and introduction of pests (including weeds) of plants (including wild flora) and plant products, and to promote appropriate measures for their control.”  This original convention language did not cover harmonisation and equivalence (Van der </w:t>
      </w:r>
      <w:proofErr w:type="spellStart"/>
      <w:r>
        <w:t>Graaff</w:t>
      </w:r>
      <w:proofErr w:type="spellEnd"/>
      <w:r>
        <w:t>, 1999).</w:t>
      </w:r>
    </w:p>
    <w:p w:rsidR="00EC2242" w:rsidRDefault="00EC2242" w:rsidP="00596FFA">
      <w:r>
        <w:t xml:space="preserve">Before the formation of a Secretariat for the IPPC (established in 1992 and operational in 1993), the Plant Production and Protection Division of FAO coordinated activities of the convention. Van der </w:t>
      </w:r>
      <w:proofErr w:type="spellStart"/>
      <w:r>
        <w:t>Graaff</w:t>
      </w:r>
      <w:proofErr w:type="spellEnd"/>
      <w:r>
        <w:t xml:space="preserve"> &amp; </w:t>
      </w:r>
      <w:proofErr w:type="spellStart"/>
      <w:r>
        <w:t>Ikin</w:t>
      </w:r>
      <w:proofErr w:type="spellEnd"/>
      <w:r>
        <w:t xml:space="preserve"> (1993) describe how the parties in the GATT approached the FAO to seek stronger coordination of the objectives of the IPPC and to add specific, trade-related objectives which emerged from the GATT negotiations. In this way, the use of risk analysis was promulgated as a way to enhance transparency of national regulatory decisions, use of proportionality (“necessity”) in imposing measures and the scientific justification of any measures that would deviate from the existing and future ISPMs. Principles of non-discrimination and the formalised use of the term “equivalence” appear to arise during this period of transition to the 1997 version of the convention text.</w:t>
      </w:r>
    </w:p>
    <w:p w:rsidR="00EC2242" w:rsidRDefault="00EC2242" w:rsidP="00596FFA">
      <w:r>
        <w:t xml:space="preserve">Equivalence was considered an added support to countries that might not have the </w:t>
      </w:r>
      <w:r w:rsidR="00095FA0">
        <w:t>same technologies and infrastructure available for treating commodities, for example (</w:t>
      </w:r>
      <w:proofErr w:type="spellStart"/>
      <w:r w:rsidR="00095FA0">
        <w:t>Thiermann</w:t>
      </w:r>
      <w:proofErr w:type="spellEnd"/>
      <w:r w:rsidR="00095FA0">
        <w:t>, 1999). The 1980s and early 1990s was indeed a period of rapid development of commodity treatments (Hallman &amp; Quinlan, 1996)</w:t>
      </w:r>
      <w:r w:rsidR="00596FFA">
        <w:t>; some of which were not readily available to developing countries</w:t>
      </w:r>
      <w:r w:rsidR="00095FA0">
        <w:t>.</w:t>
      </w:r>
    </w:p>
    <w:p w:rsidR="00E3209D" w:rsidRDefault="00E3209D" w:rsidP="00596FFA">
      <w:r>
        <w:lastRenderedPageBreak/>
        <w:t xml:space="preserve">The </w:t>
      </w:r>
      <w:r w:rsidR="00596FFA">
        <w:t xml:space="preserve">IPPC text </w:t>
      </w:r>
      <w:r>
        <w:t>included equivalence as a general principle of the convention (FAO, 1995). The membership body of the IPPC, the Commission on Phytosanitary Measures (CPM), eventually endorsed an International Standard on Phytosanitary Measures (ISPM) providing guidelines for the determination and recognition of equivalence of phytosanitary measures (IPPC, 2005) in 2005.</w:t>
      </w:r>
    </w:p>
    <w:p w:rsidR="00EC2242" w:rsidRDefault="00E3209D" w:rsidP="00EC2242">
      <w:r>
        <w:t>The concept of equivalence was made explici</w:t>
      </w:r>
      <w:r w:rsidR="00287D09">
        <w:t>t in the WTO SPS Agreement (Article 4)</w:t>
      </w:r>
      <w:r>
        <w:t>. This reference reminds us the fundamental objective of equivalence is to open and maintain trade that otherwise might be restricted by prohibition or lack of options for risk management. The right of countries to protect their own plant resources is acknowledged, but this is not the primary objective under the trade-oriented framework of this r</w:t>
      </w:r>
      <w:r w:rsidR="00287D09">
        <w:t>eference.</w:t>
      </w:r>
    </w:p>
    <w:p w:rsidR="00361C0C" w:rsidRDefault="00361C0C" w:rsidP="001338B3">
      <w:pPr>
        <w:pStyle w:val="Style4"/>
      </w:pPr>
      <w:bookmarkStart w:id="15" w:name="_Toc323132101"/>
      <w:r>
        <w:t>The ISPM on equivalence and other relevant ISPMs</w:t>
      </w:r>
      <w:bookmarkEnd w:id="15"/>
    </w:p>
    <w:p w:rsidR="00361C0C" w:rsidRDefault="00361C0C" w:rsidP="009461F0">
      <w:pPr>
        <w:pStyle w:val="Style5"/>
        <w:numPr>
          <w:ilvl w:val="0"/>
          <w:numId w:val="4"/>
        </w:numPr>
      </w:pPr>
      <w:bookmarkStart w:id="16" w:name="_Toc323132102"/>
      <w:r>
        <w:t>Key principles</w:t>
      </w:r>
      <w:bookmarkEnd w:id="16"/>
    </w:p>
    <w:p w:rsidR="00361C0C" w:rsidRDefault="00361C0C" w:rsidP="009461F0">
      <w:pPr>
        <w:pStyle w:val="Style5"/>
        <w:numPr>
          <w:ilvl w:val="0"/>
          <w:numId w:val="4"/>
        </w:numPr>
      </w:pPr>
      <w:bookmarkStart w:id="17" w:name="_Toc323132103"/>
      <w:r>
        <w:t>Attempts to define ALOP and efficacy</w:t>
      </w:r>
      <w:bookmarkEnd w:id="17"/>
    </w:p>
    <w:p w:rsidR="00D57F30" w:rsidRDefault="00D57F30" w:rsidP="00D57F30">
      <w:r>
        <w:t>(more details on the IPPC process, or just leave it as above – that it did not get agreed??)</w:t>
      </w:r>
    </w:p>
    <w:p w:rsidR="00361C0C" w:rsidRDefault="00361C0C" w:rsidP="009461F0">
      <w:pPr>
        <w:pStyle w:val="Style5"/>
        <w:numPr>
          <w:ilvl w:val="0"/>
          <w:numId w:val="4"/>
        </w:numPr>
      </w:pPr>
      <w:bookmarkStart w:id="18" w:name="_Toc323132104"/>
      <w:r>
        <w:t>Other ISPMs</w:t>
      </w:r>
      <w:r w:rsidR="00577561">
        <w:t xml:space="preserve"> including systems a</w:t>
      </w:r>
      <w:r>
        <w:t>pproach</w:t>
      </w:r>
      <w:bookmarkEnd w:id="18"/>
    </w:p>
    <w:p w:rsidR="00361C0C" w:rsidRDefault="00361C0C" w:rsidP="009461F0">
      <w:pPr>
        <w:pStyle w:val="Style5"/>
        <w:numPr>
          <w:ilvl w:val="0"/>
          <w:numId w:val="4"/>
        </w:numPr>
      </w:pPr>
      <w:bookmarkStart w:id="19" w:name="_Toc323132105"/>
      <w:r>
        <w:t>ISPM 15–a global example of equivalence</w:t>
      </w:r>
      <w:bookmarkEnd w:id="19"/>
    </w:p>
    <w:p w:rsidR="00361C0C" w:rsidRDefault="00361C0C" w:rsidP="009461F0">
      <w:pPr>
        <w:pStyle w:val="Style5"/>
        <w:numPr>
          <w:ilvl w:val="0"/>
          <w:numId w:val="4"/>
        </w:numPr>
      </w:pPr>
      <w:bookmarkStart w:id="20" w:name="_Toc323132106"/>
      <w:r>
        <w:t>The ISPM on equivalence</w:t>
      </w:r>
      <w:bookmarkEnd w:id="20"/>
    </w:p>
    <w:p w:rsidR="00361C0C" w:rsidRDefault="00361C0C" w:rsidP="009461F0">
      <w:pPr>
        <w:pStyle w:val="Style5"/>
        <w:numPr>
          <w:ilvl w:val="0"/>
          <w:numId w:val="4"/>
        </w:numPr>
      </w:pPr>
      <w:bookmarkStart w:id="21" w:name="_Toc323132107"/>
      <w:r>
        <w:t>Remaining needs for clarification or support</w:t>
      </w:r>
      <w:bookmarkEnd w:id="21"/>
    </w:p>
    <w:p w:rsidR="00AC7096" w:rsidRDefault="00AC7096" w:rsidP="00AC7096">
      <w:r>
        <w:t xml:space="preserve">Some of the issues requiring more clarification were identified by respondents to the global survey or individual interviews. These include: </w:t>
      </w:r>
    </w:p>
    <w:p w:rsidR="00AC7096" w:rsidRDefault="00AC7096" w:rsidP="00AC7096">
      <w:pPr>
        <w:pStyle w:val="ListParagraph"/>
        <w:numPr>
          <w:ilvl w:val="0"/>
          <w:numId w:val="13"/>
        </w:numPr>
      </w:pPr>
      <w:r>
        <w:t>generally more guidance on how to negotiate equivalence</w:t>
      </w:r>
    </w:p>
    <w:p w:rsidR="007B7DD5" w:rsidRDefault="007B7DD5" w:rsidP="00AC7096">
      <w:pPr>
        <w:pStyle w:val="ListParagraph"/>
        <w:numPr>
          <w:ilvl w:val="0"/>
          <w:numId w:val="13"/>
        </w:numPr>
      </w:pPr>
      <w:r>
        <w:t>less complicated, time consuming and onerous methods for agreeing to equivalence (such as a common framework for evaluation)</w:t>
      </w:r>
    </w:p>
    <w:p w:rsidR="00AC7096" w:rsidRDefault="00AC7096" w:rsidP="00AC7096">
      <w:pPr>
        <w:pStyle w:val="ListParagraph"/>
        <w:numPr>
          <w:ilvl w:val="0"/>
          <w:numId w:val="13"/>
        </w:numPr>
      </w:pPr>
      <w:r>
        <w:t>increased capacity to carry out Systems Approach</w:t>
      </w:r>
    </w:p>
    <w:p w:rsidR="00AC7096" w:rsidRDefault="00AC7096" w:rsidP="00AC7096">
      <w:pPr>
        <w:pStyle w:val="ListParagraph"/>
        <w:numPr>
          <w:ilvl w:val="0"/>
          <w:numId w:val="13"/>
        </w:numPr>
      </w:pPr>
      <w:r>
        <w:t>assistance with understanding the data required or how to determine efficacy</w:t>
      </w:r>
    </w:p>
    <w:p w:rsidR="00AC7096" w:rsidRDefault="00AC7096" w:rsidP="00AC7096">
      <w:pPr>
        <w:pStyle w:val="ListParagraph"/>
        <w:numPr>
          <w:ilvl w:val="0"/>
          <w:numId w:val="13"/>
        </w:numPr>
      </w:pPr>
      <w:r>
        <w:t>more transparency in the review of information submitted</w:t>
      </w:r>
    </w:p>
    <w:p w:rsidR="00AC7096" w:rsidRDefault="00AC7096" w:rsidP="00AC7096">
      <w:pPr>
        <w:pStyle w:val="ListParagraph"/>
        <w:numPr>
          <w:ilvl w:val="0"/>
          <w:numId w:val="13"/>
        </w:numPr>
      </w:pPr>
      <w:r>
        <w:t>guidance on how to remove measures when no longer justified (when less would meet the ALOP)</w:t>
      </w:r>
    </w:p>
    <w:p w:rsidR="00655F4E" w:rsidRDefault="00655F4E" w:rsidP="00AC7096">
      <w:pPr>
        <w:pStyle w:val="ListParagraph"/>
        <w:numPr>
          <w:ilvl w:val="0"/>
          <w:numId w:val="13"/>
        </w:numPr>
      </w:pPr>
      <w:r>
        <w:t>ways to avoid the long process of negotiation when in the end the industry will not comply or attempt to use the equivalent measures negotiated</w:t>
      </w:r>
    </w:p>
    <w:p w:rsidR="00F94ABC" w:rsidRDefault="00F94ABC" w:rsidP="00AC7096">
      <w:pPr>
        <w:pStyle w:val="ListParagraph"/>
        <w:numPr>
          <w:ilvl w:val="0"/>
          <w:numId w:val="13"/>
        </w:numPr>
      </w:pPr>
      <w:r>
        <w:t xml:space="preserve">improved coordination within countries, so that the NPPO has authority to complete equivalence negotiations and, once concluded, the inspectors, Customs </w:t>
      </w:r>
      <w:proofErr w:type="spellStart"/>
      <w:r>
        <w:t>etc</w:t>
      </w:r>
      <w:proofErr w:type="spellEnd"/>
      <w:r>
        <w:t xml:space="preserve"> are informed</w:t>
      </w:r>
    </w:p>
    <w:p w:rsidR="00AC7096" w:rsidRDefault="00AC7096" w:rsidP="00AC7096">
      <w:pPr>
        <w:pStyle w:val="ListParagraph"/>
        <w:numPr>
          <w:ilvl w:val="0"/>
          <w:numId w:val="13"/>
        </w:numPr>
      </w:pPr>
      <w:r>
        <w:t>the failure of Doha – some question if there is any hope for multilateral solutions through WTO</w:t>
      </w:r>
    </w:p>
    <w:p w:rsidR="000C3EE1" w:rsidRDefault="000C3EE1" w:rsidP="00AC7096">
      <w:pPr>
        <w:pStyle w:val="ListParagraph"/>
        <w:numPr>
          <w:ilvl w:val="0"/>
          <w:numId w:val="13"/>
        </w:numPr>
      </w:pPr>
      <w:r>
        <w:lastRenderedPageBreak/>
        <w:t>how to proceed when equivalence negotiations are held back by what appear to be political and protectionist delays</w:t>
      </w:r>
    </w:p>
    <w:p w:rsidR="007B7DD5" w:rsidRDefault="007B7DD5" w:rsidP="00AC7096">
      <w:pPr>
        <w:pStyle w:val="ListParagraph"/>
        <w:numPr>
          <w:ilvl w:val="0"/>
          <w:numId w:val="13"/>
        </w:numPr>
      </w:pPr>
      <w:r>
        <w:t xml:space="preserve">the continued use of the IPPC to reach agreement on equivalent measures through ISPMs (e.g. the variety of approved treatments for ISPM 15 treatment of </w:t>
      </w:r>
      <w:proofErr w:type="spellStart"/>
      <w:r>
        <w:t>dunnage</w:t>
      </w:r>
      <w:proofErr w:type="spellEnd"/>
      <w:r>
        <w:t>)</w:t>
      </w:r>
    </w:p>
    <w:p w:rsidR="009A7CC3" w:rsidRDefault="009A7CC3">
      <w:pPr>
        <w:spacing w:before="0" w:after="200"/>
        <w:rPr>
          <w:rFonts w:eastAsiaTheme="majorEastAsia" w:cstheme="majorBidi"/>
          <w:b/>
          <w:bCs/>
          <w:sz w:val="28"/>
          <w:szCs w:val="28"/>
        </w:rPr>
      </w:pPr>
      <w:bookmarkStart w:id="22" w:name="_Toc323132108"/>
      <w:r>
        <w:br w:type="page"/>
      </w:r>
    </w:p>
    <w:p w:rsidR="00361C0C" w:rsidRDefault="00361C0C" w:rsidP="001338B3">
      <w:pPr>
        <w:pStyle w:val="Style4"/>
      </w:pPr>
      <w:r>
        <w:lastRenderedPageBreak/>
        <w:t>Common practice in plant health</w:t>
      </w:r>
      <w:bookmarkEnd w:id="22"/>
    </w:p>
    <w:p w:rsidR="00361C0C" w:rsidRDefault="00361C0C" w:rsidP="009461F0">
      <w:pPr>
        <w:pStyle w:val="Style5"/>
        <w:numPr>
          <w:ilvl w:val="0"/>
          <w:numId w:val="5"/>
        </w:numPr>
      </w:pPr>
      <w:bookmarkStart w:id="23" w:name="_Toc323132109"/>
      <w:r>
        <w:t>Case by case nature (end point rather than system equivalence)</w:t>
      </w:r>
      <w:bookmarkEnd w:id="23"/>
    </w:p>
    <w:p w:rsidR="001E445D" w:rsidRDefault="00625861" w:rsidP="001E445D">
      <w:r>
        <w:t xml:space="preserve">Information regarding the application of equivalence and perspectives and experiences is collected from various sources. As noted </w:t>
      </w:r>
      <w:r w:rsidR="00FE00E1">
        <w:t>below</w:t>
      </w:r>
      <w:r>
        <w:t xml:space="preserve">, official notification of equivalence agreements has been virtually non-existent and thus does not provide data. Discussion of the concept at the SPS Committee has put a few perspectives in to the record. Comments from countries on the draft of ISPM 24, during country consultation, provide a useful view of concerns and understanding, even though much of these did not make the final edit. </w:t>
      </w:r>
      <w:r w:rsidR="003A197A">
        <w:t xml:space="preserve">A survey of NPPOs in 2011 </w:t>
      </w:r>
      <w:r w:rsidR="00C529E9">
        <w:t xml:space="preserve">and 2012 </w:t>
      </w:r>
      <w:r w:rsidR="003A197A">
        <w:t xml:space="preserve">allowed for documentation of common practice. Although only </w:t>
      </w:r>
      <w:r w:rsidR="00C529E9">
        <w:t>a dozen countries responded, each of the FAO Regions (Africa, Near East, Europe, Asia, Pacific, Latin America and Caribbean, and North America) was represented by this response. The survey may not be representational in other ways (e.g. of the greatest volume of trade or of the range of experiences).</w:t>
      </w:r>
      <w:r>
        <w:t xml:space="preserve"> Finally, individual interviews of government officials were conducted and are cited, where permitted.</w:t>
      </w:r>
      <w:bookmarkStart w:id="24" w:name="_Toc323132111"/>
    </w:p>
    <w:p w:rsidR="00FE00E1" w:rsidRDefault="00FE00E1" w:rsidP="001E445D">
      <w:pPr>
        <w:pStyle w:val="Style5"/>
        <w:numPr>
          <w:ilvl w:val="0"/>
          <w:numId w:val="5"/>
        </w:numPr>
      </w:pPr>
      <w:r>
        <w:t>Technical or operational agreements</w:t>
      </w:r>
    </w:p>
    <w:p w:rsidR="00361C0C" w:rsidRDefault="00361C0C" w:rsidP="009461F0">
      <w:pPr>
        <w:pStyle w:val="Style5"/>
        <w:numPr>
          <w:ilvl w:val="0"/>
          <w:numId w:val="5"/>
        </w:numPr>
      </w:pPr>
      <w:r>
        <w:t>Mutual recognition</w:t>
      </w:r>
      <w:bookmarkEnd w:id="24"/>
    </w:p>
    <w:p w:rsidR="002C4D55" w:rsidRDefault="002C4D55" w:rsidP="002C4D55">
      <w:r>
        <w:t>The US equivalency agreement on irradiation is designed to ensure market access for irradiated products from the USA, if the US is opening its borders to irradiated products itself.</w:t>
      </w:r>
    </w:p>
    <w:p w:rsidR="002C4D55" w:rsidRDefault="002C4D55" w:rsidP="002C4D55"/>
    <w:p w:rsidR="002C4D55" w:rsidRDefault="002C4D55" w:rsidP="002C4D55"/>
    <w:p w:rsidR="00361C0C" w:rsidRDefault="00361C0C" w:rsidP="009461F0">
      <w:pPr>
        <w:pStyle w:val="Style5"/>
        <w:numPr>
          <w:ilvl w:val="0"/>
          <w:numId w:val="5"/>
        </w:numPr>
      </w:pPr>
      <w:bookmarkStart w:id="25" w:name="_Toc323132112"/>
      <w:r>
        <w:t>Formal equivalence and notified agreements</w:t>
      </w:r>
      <w:bookmarkEnd w:id="25"/>
    </w:p>
    <w:p w:rsidR="002C4D55" w:rsidRDefault="002C4D55" w:rsidP="002C4D55">
      <w:r>
        <w:t>[Still researching if there are any formal notifications in plant health!]</w:t>
      </w:r>
    </w:p>
    <w:p w:rsidR="00361C0C" w:rsidRDefault="00361C0C" w:rsidP="009461F0">
      <w:pPr>
        <w:pStyle w:val="Style5"/>
        <w:numPr>
          <w:ilvl w:val="0"/>
          <w:numId w:val="5"/>
        </w:numPr>
      </w:pPr>
      <w:bookmarkStart w:id="26" w:name="_Toc323132113"/>
      <w:r>
        <w:t>ISPMs, regional agreements</w:t>
      </w:r>
      <w:r w:rsidR="000D3705">
        <w:t xml:space="preserve"> and other agreements that are equivalency agreements</w:t>
      </w:r>
      <w:bookmarkEnd w:id="26"/>
    </w:p>
    <w:p w:rsidR="002C4D55" w:rsidRDefault="002C4D55" w:rsidP="002C4D55">
      <w:r>
        <w:t>[Repetitious of the section III?]</w:t>
      </w:r>
    </w:p>
    <w:p w:rsidR="000D3705" w:rsidRDefault="000D3705" w:rsidP="001338B3">
      <w:pPr>
        <w:pStyle w:val="Style4"/>
      </w:pPr>
      <w:bookmarkStart w:id="27" w:name="_Toc323132114"/>
      <w:r>
        <w:t>Emerging issues and developments</w:t>
      </w:r>
      <w:bookmarkEnd w:id="27"/>
    </w:p>
    <w:p w:rsidR="000D3705" w:rsidRDefault="000D3705" w:rsidP="009461F0">
      <w:pPr>
        <w:pStyle w:val="Style5"/>
        <w:numPr>
          <w:ilvl w:val="0"/>
          <w:numId w:val="6"/>
        </w:numPr>
      </w:pPr>
      <w:bookmarkStart w:id="28" w:name="_Toc323132115"/>
      <w:r>
        <w:t>Bilateral vs. regional or global negotiations</w:t>
      </w:r>
      <w:bookmarkEnd w:id="28"/>
    </w:p>
    <w:p w:rsidR="006B4171" w:rsidRDefault="006B4171" w:rsidP="006B4171">
      <w:r>
        <w:t>A trend towards more requests for equivalent measures (whether called this or not) was observed by most parties. Certainly the pressure on the drivers for equivalence is rising.</w:t>
      </w:r>
    </w:p>
    <w:p w:rsidR="006B4171" w:rsidRDefault="006B4171" w:rsidP="006B4171">
      <w:r>
        <w:t>While the opinion of best practice is overwhelmingly to negotiate bilaterally, there is a possible move towards more regional approaches and appreciation for the more specific technical ISPMs which take the burden off individual countries to negotiate.</w:t>
      </w:r>
    </w:p>
    <w:p w:rsidR="000D3705" w:rsidRDefault="000D3705" w:rsidP="009461F0">
      <w:pPr>
        <w:pStyle w:val="Style5"/>
        <w:numPr>
          <w:ilvl w:val="0"/>
          <w:numId w:val="6"/>
        </w:numPr>
      </w:pPr>
      <w:bookmarkStart w:id="29" w:name="_Toc323132116"/>
      <w:r>
        <w:lastRenderedPageBreak/>
        <w:t>PRAs carried out for similar conditions or pests/pathway, rather than individually</w:t>
      </w:r>
      <w:bookmarkEnd w:id="29"/>
    </w:p>
    <w:p w:rsidR="000D3705" w:rsidRDefault="000D3705" w:rsidP="009461F0">
      <w:pPr>
        <w:pStyle w:val="Style5"/>
        <w:numPr>
          <w:ilvl w:val="0"/>
          <w:numId w:val="6"/>
        </w:numPr>
      </w:pPr>
      <w:bookmarkStart w:id="30" w:name="_Toc323132117"/>
      <w:r>
        <w:t>(IPPC Technical Panels – if occurring there)</w:t>
      </w:r>
      <w:bookmarkEnd w:id="30"/>
    </w:p>
    <w:p w:rsidR="000D3705" w:rsidRDefault="000D3705" w:rsidP="009461F0">
      <w:pPr>
        <w:pStyle w:val="Style5"/>
        <w:numPr>
          <w:ilvl w:val="0"/>
          <w:numId w:val="6"/>
        </w:numPr>
      </w:pPr>
      <w:bookmarkStart w:id="31" w:name="_Toc323132118"/>
      <w:r>
        <w:t>Increased quantification and modelling</w:t>
      </w:r>
      <w:bookmarkEnd w:id="31"/>
    </w:p>
    <w:p w:rsidR="000D3705" w:rsidRDefault="000D3705" w:rsidP="009461F0">
      <w:pPr>
        <w:pStyle w:val="Style5"/>
        <w:numPr>
          <w:ilvl w:val="0"/>
          <w:numId w:val="6"/>
        </w:numPr>
      </w:pPr>
      <w:bookmarkStart w:id="32" w:name="_Toc323132119"/>
      <w:r>
        <w:t>(Upcoming changes in European legislation)</w:t>
      </w:r>
      <w:bookmarkEnd w:id="32"/>
    </w:p>
    <w:p w:rsidR="000D3705" w:rsidRDefault="000D3705" w:rsidP="009461F0">
      <w:pPr>
        <w:pStyle w:val="Style5"/>
        <w:numPr>
          <w:ilvl w:val="0"/>
          <w:numId w:val="6"/>
        </w:numPr>
      </w:pPr>
      <w:bookmarkStart w:id="33" w:name="_Toc323132120"/>
      <w:r>
        <w:t>Main challenges for NPPOs</w:t>
      </w:r>
      <w:bookmarkEnd w:id="33"/>
    </w:p>
    <w:p w:rsidR="00404101" w:rsidRDefault="00404101" w:rsidP="00404101">
      <w:pPr>
        <w:pStyle w:val="ListParagraph"/>
        <w:numPr>
          <w:ilvl w:val="0"/>
          <w:numId w:val="15"/>
        </w:numPr>
      </w:pPr>
      <w:r>
        <w:t>The time and resources required to negotiate the equivalence</w:t>
      </w:r>
    </w:p>
    <w:p w:rsidR="00404101" w:rsidRDefault="00404101" w:rsidP="00404101">
      <w:pPr>
        <w:pStyle w:val="ListParagraph"/>
        <w:numPr>
          <w:ilvl w:val="0"/>
          <w:numId w:val="15"/>
        </w:numPr>
      </w:pPr>
      <w:r>
        <w:t>The delays and lack of transparency in evaluation process of the market country’s NPPO</w:t>
      </w:r>
    </w:p>
    <w:p w:rsidR="00404101" w:rsidRDefault="00404101" w:rsidP="00404101">
      <w:pPr>
        <w:pStyle w:val="ListParagraph"/>
        <w:numPr>
          <w:ilvl w:val="0"/>
          <w:numId w:val="15"/>
        </w:numPr>
      </w:pPr>
      <w:r>
        <w:t>Lack of a common framework for considering the impact or efficacy of measures, and thus for comparing them</w:t>
      </w:r>
    </w:p>
    <w:p w:rsidR="00404101" w:rsidRDefault="00404101" w:rsidP="00404101">
      <w:pPr>
        <w:pStyle w:val="ListParagraph"/>
        <w:numPr>
          <w:ilvl w:val="0"/>
          <w:numId w:val="15"/>
        </w:numPr>
      </w:pPr>
      <w:r>
        <w:t>The issue of capacity for application of measures – varying views of the need for assistance in capacity or favoured treatment versus the need of an importing country to ensure the ALOP</w:t>
      </w:r>
    </w:p>
    <w:p w:rsidR="00404101" w:rsidRDefault="00404101" w:rsidP="00404101">
      <w:pPr>
        <w:pStyle w:val="ListParagraph"/>
        <w:numPr>
          <w:ilvl w:val="0"/>
          <w:numId w:val="15"/>
        </w:numPr>
      </w:pPr>
      <w:r>
        <w:t>Overall capacity to carry out new measures, especially Systems Approach</w:t>
      </w:r>
    </w:p>
    <w:p w:rsidR="000D3705" w:rsidRDefault="000D3705" w:rsidP="009461F0">
      <w:pPr>
        <w:pStyle w:val="Style5"/>
        <w:numPr>
          <w:ilvl w:val="0"/>
          <w:numId w:val="6"/>
        </w:numPr>
      </w:pPr>
      <w:bookmarkStart w:id="34" w:name="_Toc323132121"/>
      <w:r>
        <w:t>Perceived benefits of equivalence agreements</w:t>
      </w:r>
      <w:bookmarkEnd w:id="34"/>
    </w:p>
    <w:p w:rsidR="000E4B4D" w:rsidRDefault="000E4B4D" w:rsidP="000E4B4D">
      <w:r>
        <w:t>Potential benefits from equivalence agreements are widely agreed upon:</w:t>
      </w:r>
    </w:p>
    <w:p w:rsidR="000E4B4D" w:rsidRDefault="000E4B4D" w:rsidP="000E4B4D">
      <w:pPr>
        <w:pStyle w:val="ListParagraph"/>
        <w:numPr>
          <w:ilvl w:val="0"/>
          <w:numId w:val="14"/>
        </w:numPr>
      </w:pPr>
      <w:r>
        <w:t>Opening trade that would otherwise be prohibited</w:t>
      </w:r>
    </w:p>
    <w:p w:rsidR="000E4B4D" w:rsidRDefault="000E4B4D" w:rsidP="000E4B4D">
      <w:pPr>
        <w:pStyle w:val="ListParagraph"/>
        <w:numPr>
          <w:ilvl w:val="0"/>
          <w:numId w:val="14"/>
        </w:numPr>
      </w:pPr>
      <w:r>
        <w:t>Continuing trade when the exporting NPPO has run into some problems with compliance, but would be able to comply with other measures</w:t>
      </w:r>
      <w:r w:rsidR="00032CC4">
        <w:t xml:space="preserve"> (e.g. Pest Free Area is not proving adequate for one country’s conditions and capacity, but could work as one component of a Systems Approach)</w:t>
      </w:r>
    </w:p>
    <w:p w:rsidR="000E4B4D" w:rsidRDefault="0088565A" w:rsidP="000E4B4D">
      <w:pPr>
        <w:pStyle w:val="ListParagraph"/>
        <w:numPr>
          <w:ilvl w:val="0"/>
          <w:numId w:val="14"/>
        </w:numPr>
      </w:pPr>
      <w:r>
        <w:t xml:space="preserve">Continuing trade when the existing measure is no longer available or is considered objectionable for other reasons (impact to the environment, quality impact on product, </w:t>
      </w:r>
      <w:proofErr w:type="spellStart"/>
      <w:r>
        <w:t>etc</w:t>
      </w:r>
      <w:proofErr w:type="spellEnd"/>
      <w:r>
        <w:t>)</w:t>
      </w:r>
    </w:p>
    <w:p w:rsidR="0088565A" w:rsidRDefault="00B25C8E" w:rsidP="000E4B4D">
      <w:pPr>
        <w:pStyle w:val="ListParagraph"/>
        <w:numPr>
          <w:ilvl w:val="0"/>
          <w:numId w:val="14"/>
        </w:numPr>
      </w:pPr>
      <w:r>
        <w:t xml:space="preserve">Introducing a Systems Approach that then allows flexibility (adjusting effectiveness by adding or removing measures, targeting non-compliance without stopping all trade, </w:t>
      </w:r>
      <w:proofErr w:type="spellStart"/>
      <w:r>
        <w:t>etc</w:t>
      </w:r>
      <w:proofErr w:type="spellEnd"/>
      <w:r>
        <w:t>)</w:t>
      </w:r>
    </w:p>
    <w:p w:rsidR="00392C0A" w:rsidRDefault="00392C0A" w:rsidP="000E4B4D">
      <w:pPr>
        <w:pStyle w:val="ListParagraph"/>
        <w:numPr>
          <w:ilvl w:val="0"/>
          <w:numId w:val="14"/>
        </w:numPr>
      </w:pPr>
      <w:r>
        <w:t>A means to open discussion of technical justification of existing measures (without going to a formal dispute)</w:t>
      </w:r>
    </w:p>
    <w:p w:rsidR="000D3705" w:rsidRDefault="000D3705" w:rsidP="001338B3">
      <w:pPr>
        <w:pStyle w:val="Style4"/>
      </w:pPr>
      <w:bookmarkStart w:id="35" w:name="_Toc323132122"/>
      <w:r>
        <w:t>Conclusions and recommendations</w:t>
      </w:r>
      <w:bookmarkEnd w:id="35"/>
    </w:p>
    <w:p w:rsidR="009A7CC3" w:rsidRDefault="009A7CC3">
      <w:pPr>
        <w:spacing w:before="0" w:after="200"/>
        <w:rPr>
          <w:rFonts w:eastAsiaTheme="majorEastAsia" w:cstheme="majorBidi"/>
          <w:b/>
          <w:bCs/>
          <w:szCs w:val="26"/>
        </w:rPr>
      </w:pPr>
      <w:bookmarkStart w:id="36" w:name="_Toc323132123"/>
      <w:r>
        <w:br w:type="page"/>
      </w:r>
    </w:p>
    <w:p w:rsidR="000D3705" w:rsidRPr="00D57F30" w:rsidRDefault="000D3705" w:rsidP="009A7CC3">
      <w:pPr>
        <w:pStyle w:val="Style5"/>
        <w:numPr>
          <w:ilvl w:val="0"/>
          <w:numId w:val="0"/>
        </w:numPr>
        <w:ind w:left="644"/>
        <w:rPr>
          <w:color w:val="FF0000"/>
        </w:rPr>
      </w:pPr>
      <w:r>
        <w:lastRenderedPageBreak/>
        <w:t>Bibliography and other resources</w:t>
      </w:r>
      <w:bookmarkEnd w:id="36"/>
      <w:r w:rsidR="00D57F30">
        <w:t xml:space="preserve"> </w:t>
      </w:r>
      <w:r w:rsidR="00D57F30">
        <w:rPr>
          <w:color w:val="FF0000"/>
        </w:rPr>
        <w:t>I am aware that a lot of these do not yet appear, and others already in are not yet listed</w:t>
      </w:r>
    </w:p>
    <w:p w:rsidR="009A23B6" w:rsidRPr="00521BE3" w:rsidRDefault="009A23B6" w:rsidP="009A23B6">
      <w:r w:rsidRPr="00660713">
        <w:rPr>
          <w:b/>
        </w:rPr>
        <w:t>APHIS</w:t>
      </w:r>
      <w:r w:rsidRPr="009A23B6">
        <w:t xml:space="preserve">. </w:t>
      </w:r>
      <w:r w:rsidR="00660713">
        <w:t>2002.</w:t>
      </w:r>
      <w:r w:rsidRPr="009A23B6">
        <w:t xml:space="preserve"> </w:t>
      </w:r>
      <w:r w:rsidRPr="00D20BA4">
        <w:t>Proposed Rule: Irradiation Phytosanitary Treatment of Imported Fruits and Vegetables.</w:t>
      </w:r>
      <w:r w:rsidRPr="009A23B6">
        <w:t xml:space="preserve"> </w:t>
      </w:r>
      <w:r w:rsidRPr="00D20BA4">
        <w:rPr>
          <w:iCs/>
        </w:rPr>
        <w:t>Federal Register,</w:t>
      </w:r>
      <w:r w:rsidRPr="009A23B6">
        <w:rPr>
          <w:i/>
          <w:iCs/>
        </w:rPr>
        <w:t xml:space="preserve"> </w:t>
      </w:r>
      <w:r w:rsidR="00660713">
        <w:t>67 (51), 22.08.11-11610-11614 (a</w:t>
      </w:r>
      <w:r w:rsidRPr="009A23B6">
        <w:t xml:space="preserve">vailable </w:t>
      </w:r>
      <w:r w:rsidR="00660713">
        <w:t>at</w:t>
      </w:r>
      <w:r w:rsidRPr="009A23B6">
        <w:t xml:space="preserve"> </w:t>
      </w:r>
      <w:hyperlink r:id="rId10" w:tgtFrame="_blank" w:history="1">
        <w:r w:rsidRPr="00521BE3">
          <w:rPr>
            <w:rStyle w:val="Hyperlink"/>
            <w:rFonts w:eastAsia="Calibri"/>
            <w:color w:val="auto"/>
          </w:rPr>
          <w:t>http://www.federalregister.gov/articles/2002/03/15/02-6267/irradiation-phytosanitary-treatment-of-imported-fruits-and-vegetables</w:t>
        </w:r>
      </w:hyperlink>
      <w:r w:rsidR="009720B3">
        <w:t>, accessed 22.08.11</w:t>
      </w:r>
      <w:r w:rsidR="00660713" w:rsidRPr="00521BE3">
        <w:t>)</w:t>
      </w:r>
      <w:r w:rsidRPr="00521BE3">
        <w:t xml:space="preserve">. </w:t>
      </w:r>
    </w:p>
    <w:p w:rsidR="009A23B6" w:rsidRPr="009A23B6" w:rsidRDefault="009A23B6" w:rsidP="009A23B6">
      <w:r w:rsidRPr="00660713">
        <w:rPr>
          <w:b/>
        </w:rPr>
        <w:t>AVPMA</w:t>
      </w:r>
      <w:r w:rsidRPr="009A23B6">
        <w:t>. 2011</w:t>
      </w:r>
      <w:r w:rsidR="00660713">
        <w:t>.</w:t>
      </w:r>
      <w:r w:rsidRPr="009A23B6">
        <w:t xml:space="preserve"> </w:t>
      </w:r>
      <w:r w:rsidRPr="009A23B6">
        <w:rPr>
          <w:i/>
          <w:iCs/>
        </w:rPr>
        <w:t xml:space="preserve">National Response Plan - APVMA Reviews of </w:t>
      </w:r>
      <w:proofErr w:type="spellStart"/>
      <w:r w:rsidRPr="009A23B6">
        <w:rPr>
          <w:i/>
          <w:iCs/>
        </w:rPr>
        <w:t>Dimethoate</w:t>
      </w:r>
      <w:proofErr w:type="spellEnd"/>
      <w:r w:rsidRPr="009A23B6">
        <w:rPr>
          <w:i/>
          <w:iCs/>
        </w:rPr>
        <w:t xml:space="preserve"> and </w:t>
      </w:r>
      <w:proofErr w:type="spellStart"/>
      <w:r w:rsidRPr="009A23B6">
        <w:rPr>
          <w:i/>
          <w:iCs/>
        </w:rPr>
        <w:t>Fenthion</w:t>
      </w:r>
      <w:proofErr w:type="spellEnd"/>
      <w:r w:rsidR="00D20BA4">
        <w:rPr>
          <w:iCs/>
        </w:rPr>
        <w:t xml:space="preserve"> (a</w:t>
      </w:r>
      <w:r w:rsidRPr="009A23B6">
        <w:t xml:space="preserve">vailable </w:t>
      </w:r>
      <w:r w:rsidR="001C5EFC">
        <w:t xml:space="preserve">at </w:t>
      </w:r>
      <w:hyperlink r:id="rId11" w:tgtFrame="_blank" w:history="1">
        <w:r w:rsidRPr="009A23B6">
          <w:rPr>
            <w:rStyle w:val="Hyperlink"/>
            <w:rFonts w:eastAsia="Calibri"/>
          </w:rPr>
          <w:t>http://www.domesticquarantine.org.au/go/dqmawg/issues-and-decisions/apvma-reviews-of-dimethoate-and-fenthion</w:t>
        </w:r>
      </w:hyperlink>
      <w:r w:rsidR="009720B3">
        <w:t>, accessed 21.08.11</w:t>
      </w:r>
      <w:r w:rsidR="00D20BA4">
        <w:t>)</w:t>
      </w:r>
      <w:r w:rsidRPr="009A23B6">
        <w:t xml:space="preserve">. </w:t>
      </w:r>
    </w:p>
    <w:p w:rsidR="009A23B6" w:rsidRPr="009A23B6" w:rsidRDefault="009A23B6" w:rsidP="009A23B6">
      <w:r w:rsidRPr="00D20BA4">
        <w:rPr>
          <w:b/>
        </w:rPr>
        <w:t>Baker, A. C.</w:t>
      </w:r>
      <w:r w:rsidR="00D20BA4">
        <w:t xml:space="preserve"> 1939.</w:t>
      </w:r>
      <w:r w:rsidRPr="009A23B6">
        <w:t xml:space="preserve"> </w:t>
      </w:r>
      <w:r w:rsidRPr="009A23B6">
        <w:rPr>
          <w:i/>
          <w:iCs/>
        </w:rPr>
        <w:t xml:space="preserve">The basis for treatment of products where </w:t>
      </w:r>
      <w:proofErr w:type="spellStart"/>
      <w:r w:rsidRPr="009A23B6">
        <w:rPr>
          <w:i/>
          <w:iCs/>
        </w:rPr>
        <w:t>fruitflies</w:t>
      </w:r>
      <w:proofErr w:type="spellEnd"/>
      <w:r w:rsidRPr="009A23B6">
        <w:rPr>
          <w:i/>
          <w:iCs/>
        </w:rPr>
        <w:t xml:space="preserve"> are involved as a conditions for entry in the United States. </w:t>
      </w:r>
      <w:r w:rsidR="00D20BA4">
        <w:t>Washington, DC</w:t>
      </w:r>
      <w:r w:rsidR="00D20BA4" w:rsidRPr="009A23B6">
        <w:t>.</w:t>
      </w:r>
      <w:r w:rsidR="00521BE3">
        <w:t xml:space="preserve"> </w:t>
      </w:r>
      <w:r w:rsidRPr="009A23B6">
        <w:t xml:space="preserve">Department of Agriculture. Report number: Circular No 551. </w:t>
      </w:r>
    </w:p>
    <w:p w:rsidR="00243BA5" w:rsidRPr="00243BA5" w:rsidRDefault="00243BA5" w:rsidP="009A23B6">
      <w:r w:rsidRPr="00243BA5">
        <w:rPr>
          <w:b/>
        </w:rPr>
        <w:t>Biosecurity Australia</w:t>
      </w:r>
      <w:r w:rsidRPr="00243BA5">
        <w:t xml:space="preserve">. 2008. </w:t>
      </w:r>
      <w:r w:rsidRPr="00243BA5">
        <w:rPr>
          <w:i/>
        </w:rPr>
        <w:t>Provisional Final Import Risk Analysis Report for Fresh Mango Fruit from India</w:t>
      </w:r>
      <w:r w:rsidRPr="00243BA5">
        <w:t>. Canberra, Biosecurity Australia.</w:t>
      </w:r>
    </w:p>
    <w:p w:rsidR="009A23B6" w:rsidRPr="009A23B6" w:rsidRDefault="009A23B6" w:rsidP="009A23B6">
      <w:proofErr w:type="spellStart"/>
      <w:r w:rsidRPr="00521BE3">
        <w:rPr>
          <w:b/>
        </w:rPr>
        <w:t>Birnie</w:t>
      </w:r>
      <w:proofErr w:type="spellEnd"/>
      <w:r w:rsidRPr="00521BE3">
        <w:rPr>
          <w:b/>
        </w:rPr>
        <w:t xml:space="preserve">, P., Boyle, A. &amp; </w:t>
      </w:r>
      <w:proofErr w:type="spellStart"/>
      <w:r w:rsidRPr="00521BE3">
        <w:rPr>
          <w:b/>
        </w:rPr>
        <w:t>Redgwell</w:t>
      </w:r>
      <w:proofErr w:type="spellEnd"/>
      <w:r w:rsidRPr="00521BE3">
        <w:rPr>
          <w:b/>
        </w:rPr>
        <w:t>, C.</w:t>
      </w:r>
      <w:r w:rsidR="00521BE3">
        <w:t xml:space="preserve"> 2009.</w:t>
      </w:r>
      <w:r w:rsidRPr="009A23B6">
        <w:t xml:space="preserve"> 14. International Trade and Environmental Protection. In: </w:t>
      </w:r>
      <w:r w:rsidRPr="009A23B6">
        <w:rPr>
          <w:i/>
          <w:iCs/>
        </w:rPr>
        <w:t xml:space="preserve">International Law &amp; the Environment. </w:t>
      </w:r>
      <w:r w:rsidRPr="009A23B6">
        <w:t>Third edition. Oxfo</w:t>
      </w:r>
      <w:r w:rsidR="00521BE3">
        <w:t>rd, UK, Oxford University Press.</w:t>
      </w:r>
      <w:r w:rsidRPr="009A23B6">
        <w:t xml:space="preserve"> pp. 753. </w:t>
      </w:r>
    </w:p>
    <w:p w:rsidR="00243BA5" w:rsidRPr="00243BA5" w:rsidRDefault="00243BA5" w:rsidP="00243BA5">
      <w:r>
        <w:rPr>
          <w:b/>
        </w:rPr>
        <w:t xml:space="preserve">CFIA. </w:t>
      </w:r>
      <w:r w:rsidRPr="00243BA5">
        <w:t>2010.</w:t>
      </w:r>
      <w:r w:rsidRPr="00243BA5">
        <w:rPr>
          <w:b/>
        </w:rPr>
        <w:t xml:space="preserve"> </w:t>
      </w:r>
      <w:r>
        <w:rPr>
          <w:i/>
        </w:rPr>
        <w:t>Questions and a</w:t>
      </w:r>
      <w:r w:rsidRPr="00243BA5">
        <w:rPr>
          <w:i/>
        </w:rPr>
        <w:t>nswers - Canadian Nursery Certification Program (CNCP) and Canadian Greenho</w:t>
      </w:r>
      <w:r>
        <w:rPr>
          <w:i/>
        </w:rPr>
        <w:t xml:space="preserve">use Certification Program (CGCP, </w:t>
      </w:r>
      <w:r>
        <w:t>(a</w:t>
      </w:r>
      <w:r w:rsidRPr="00243BA5">
        <w:t xml:space="preserve">vailable </w:t>
      </w:r>
      <w:r>
        <w:t>at</w:t>
      </w:r>
      <w:r w:rsidRPr="00243BA5">
        <w:t xml:space="preserve"> </w:t>
      </w:r>
      <w:hyperlink r:id="rId12" w:history="1">
        <w:r w:rsidRPr="00B70D30">
          <w:rPr>
            <w:rStyle w:val="Hyperlink"/>
          </w:rPr>
          <w:t>http://www.inspection.gc.ca/english/plaveg/hort/d-04-01qae.shtml</w:t>
        </w:r>
      </w:hyperlink>
      <w:r>
        <w:t>, accessed 26.08.11)</w:t>
      </w:r>
      <w:r w:rsidRPr="00243BA5">
        <w:t>.</w:t>
      </w:r>
    </w:p>
    <w:p w:rsidR="00243BA5" w:rsidRPr="00243BA5" w:rsidRDefault="00243BA5" w:rsidP="00243BA5">
      <w:r w:rsidRPr="00243BA5">
        <w:rPr>
          <w:b/>
        </w:rPr>
        <w:t>Commission of the European Communities.</w:t>
      </w:r>
      <w:r>
        <w:t xml:space="preserve"> 2001.</w:t>
      </w:r>
      <w:r w:rsidRPr="00243BA5">
        <w:t xml:space="preserve"> </w:t>
      </w:r>
      <w:r w:rsidRPr="00243BA5">
        <w:rPr>
          <w:i/>
        </w:rPr>
        <w:t xml:space="preserve">Implementing </w:t>
      </w:r>
      <w:r>
        <w:rPr>
          <w:i/>
        </w:rPr>
        <w:t>p</w:t>
      </w:r>
      <w:r w:rsidRPr="00243BA5">
        <w:rPr>
          <w:i/>
        </w:rPr>
        <w:t xml:space="preserve">olicy for </w:t>
      </w:r>
      <w:r>
        <w:rPr>
          <w:i/>
        </w:rPr>
        <w:t>e</w:t>
      </w:r>
      <w:r w:rsidRPr="00243BA5">
        <w:rPr>
          <w:i/>
        </w:rPr>
        <w:t xml:space="preserve">xternal </w:t>
      </w:r>
      <w:r>
        <w:rPr>
          <w:i/>
        </w:rPr>
        <w:t>t</w:t>
      </w:r>
      <w:r w:rsidRPr="00243BA5">
        <w:rPr>
          <w:i/>
        </w:rPr>
        <w:t xml:space="preserve">rade in the </w:t>
      </w:r>
      <w:r>
        <w:rPr>
          <w:i/>
        </w:rPr>
        <w:t>f</w:t>
      </w:r>
      <w:r w:rsidRPr="00243BA5">
        <w:rPr>
          <w:i/>
        </w:rPr>
        <w:t xml:space="preserve">ields of </w:t>
      </w:r>
      <w:r>
        <w:rPr>
          <w:i/>
        </w:rPr>
        <w:t>standards and c</w:t>
      </w:r>
      <w:r w:rsidRPr="00243BA5">
        <w:rPr>
          <w:i/>
        </w:rPr>
        <w:t xml:space="preserve">onformity </w:t>
      </w:r>
      <w:r>
        <w:rPr>
          <w:i/>
        </w:rPr>
        <w:t>a</w:t>
      </w:r>
      <w:r w:rsidRPr="00243BA5">
        <w:rPr>
          <w:i/>
        </w:rPr>
        <w:t xml:space="preserve">ssessment: </w:t>
      </w:r>
      <w:r>
        <w:rPr>
          <w:i/>
        </w:rPr>
        <w:t>a</w:t>
      </w:r>
      <w:r w:rsidRPr="00243BA5">
        <w:rPr>
          <w:i/>
        </w:rPr>
        <w:t xml:space="preserve"> </w:t>
      </w:r>
      <w:r>
        <w:rPr>
          <w:i/>
        </w:rPr>
        <w:t>t</w:t>
      </w:r>
      <w:r w:rsidRPr="00243BA5">
        <w:rPr>
          <w:i/>
        </w:rPr>
        <w:t xml:space="preserve">ool </w:t>
      </w:r>
      <w:r>
        <w:rPr>
          <w:i/>
        </w:rPr>
        <w:t>b</w:t>
      </w:r>
      <w:r w:rsidRPr="00243BA5">
        <w:rPr>
          <w:i/>
        </w:rPr>
        <w:t xml:space="preserve">ox of </w:t>
      </w:r>
      <w:r>
        <w:rPr>
          <w:i/>
        </w:rPr>
        <w:t>i</w:t>
      </w:r>
      <w:r w:rsidRPr="00243BA5">
        <w:rPr>
          <w:i/>
        </w:rPr>
        <w:t>nstruments.</w:t>
      </w:r>
      <w:r w:rsidRPr="00243BA5">
        <w:t xml:space="preserve"> Commission Staff Working Paper, SEC (2001) 1570 edition. Commission of the European Communities, Brussels.</w:t>
      </w:r>
    </w:p>
    <w:p w:rsidR="009A23B6" w:rsidRPr="009A23B6" w:rsidRDefault="009A23B6" w:rsidP="00243BA5">
      <w:r w:rsidRPr="00521BE3">
        <w:rPr>
          <w:b/>
        </w:rPr>
        <w:t>Daly, Herman E.</w:t>
      </w:r>
      <w:r w:rsidR="00521BE3">
        <w:t xml:space="preserve"> 1994.</w:t>
      </w:r>
      <w:r w:rsidRPr="009A23B6">
        <w:t xml:space="preserve"> Fostering environmentally sustainable development: four parting suggestions for the World Bank. </w:t>
      </w:r>
      <w:r w:rsidR="00521BE3">
        <w:rPr>
          <w:i/>
          <w:iCs/>
        </w:rPr>
        <w:t>Ecological Economics,</w:t>
      </w:r>
      <w:r w:rsidRPr="009A23B6">
        <w:t xml:space="preserve">10 (3), 183-187. </w:t>
      </w:r>
    </w:p>
    <w:p w:rsidR="009A23B6" w:rsidRPr="009A23B6" w:rsidRDefault="009A23B6" w:rsidP="009A23B6">
      <w:proofErr w:type="spellStart"/>
      <w:r w:rsidRPr="00521BE3">
        <w:rPr>
          <w:b/>
        </w:rPr>
        <w:t>Denscombe</w:t>
      </w:r>
      <w:proofErr w:type="spellEnd"/>
      <w:r w:rsidRPr="00521BE3">
        <w:rPr>
          <w:b/>
        </w:rPr>
        <w:t>, M.</w:t>
      </w:r>
      <w:r w:rsidR="00521BE3">
        <w:t xml:space="preserve"> 2007.</w:t>
      </w:r>
      <w:r w:rsidRPr="009A23B6">
        <w:t xml:space="preserve"> </w:t>
      </w:r>
      <w:r w:rsidRPr="009A23B6">
        <w:rPr>
          <w:i/>
          <w:iCs/>
        </w:rPr>
        <w:t xml:space="preserve">The Good Research Guide for small-scale social research projects. </w:t>
      </w:r>
      <w:r w:rsidR="001C5EFC" w:rsidRPr="009A23B6">
        <w:t xml:space="preserve">Third </w:t>
      </w:r>
      <w:r w:rsidR="001C5EFC">
        <w:t>edition</w:t>
      </w:r>
      <w:r w:rsidRPr="009A23B6">
        <w:t xml:space="preserve">. Maidenhead, </w:t>
      </w:r>
      <w:r w:rsidR="001C5EFC">
        <w:t>UK</w:t>
      </w:r>
      <w:r w:rsidRPr="009A23B6">
        <w:t xml:space="preserve">, Open University Press. </w:t>
      </w:r>
    </w:p>
    <w:p w:rsidR="009D788A" w:rsidRPr="00660713" w:rsidRDefault="009D788A" w:rsidP="009D788A">
      <w:r w:rsidRPr="009C7817">
        <w:rPr>
          <w:b/>
        </w:rPr>
        <w:t>Dudley, C.</w:t>
      </w:r>
      <w:r>
        <w:t xml:space="preserve"> 2012. </w:t>
      </w:r>
      <w:r>
        <w:rPr>
          <w:i/>
        </w:rPr>
        <w:t>Implementation of Equivalence within the International Plant Protection Convention.</w:t>
      </w:r>
      <w:r>
        <w:t xml:space="preserve"> Imperial College of London, London. (MSc thesis).</w:t>
      </w:r>
      <w:r>
        <w:rPr>
          <w:i/>
        </w:rPr>
        <w:t xml:space="preserve"> </w:t>
      </w:r>
    </w:p>
    <w:p w:rsidR="00893658" w:rsidRPr="00893658" w:rsidRDefault="00893658" w:rsidP="00893658">
      <w:proofErr w:type="spellStart"/>
      <w:r w:rsidRPr="00893658">
        <w:rPr>
          <w:b/>
        </w:rPr>
        <w:t>Elborgh-Woytek</w:t>
      </w:r>
      <w:proofErr w:type="spellEnd"/>
      <w:r w:rsidRPr="00893658">
        <w:rPr>
          <w:b/>
        </w:rPr>
        <w:t xml:space="preserve">, K., Gregory, R.. &amp; McDonald, B. </w:t>
      </w:r>
      <w:r w:rsidRPr="00893658">
        <w:t>2010</w:t>
      </w:r>
      <w:r>
        <w:t>.</w:t>
      </w:r>
      <w:r w:rsidRPr="00893658">
        <w:t xml:space="preserve"> </w:t>
      </w:r>
      <w:r w:rsidRPr="00893658">
        <w:rPr>
          <w:i/>
        </w:rPr>
        <w:t xml:space="preserve">Reaching the MDGs: </w:t>
      </w:r>
      <w:r>
        <w:rPr>
          <w:i/>
        </w:rPr>
        <w:t>a</w:t>
      </w:r>
      <w:r w:rsidRPr="00893658">
        <w:rPr>
          <w:i/>
        </w:rPr>
        <w:t xml:space="preserve">n </w:t>
      </w:r>
      <w:r>
        <w:rPr>
          <w:i/>
        </w:rPr>
        <w:t>a</w:t>
      </w:r>
      <w:r w:rsidRPr="00893658">
        <w:rPr>
          <w:i/>
        </w:rPr>
        <w:t xml:space="preserve">ction </w:t>
      </w:r>
      <w:r>
        <w:rPr>
          <w:i/>
        </w:rPr>
        <w:t>p</w:t>
      </w:r>
      <w:r w:rsidRPr="00893658">
        <w:rPr>
          <w:i/>
        </w:rPr>
        <w:t xml:space="preserve">lan for </w:t>
      </w:r>
      <w:r>
        <w:rPr>
          <w:i/>
        </w:rPr>
        <w:t>t</w:t>
      </w:r>
      <w:r w:rsidRPr="00893658">
        <w:rPr>
          <w:i/>
        </w:rPr>
        <w:t>rade.</w:t>
      </w:r>
      <w:r w:rsidRPr="00893658">
        <w:t xml:space="preserve"> Report for the International Monetary Fund, Washington</w:t>
      </w:r>
      <w:r>
        <w:t xml:space="preserve"> DC</w:t>
      </w:r>
      <w:r w:rsidRPr="00893658">
        <w:t>, IMF.</w:t>
      </w:r>
    </w:p>
    <w:p w:rsidR="00893658" w:rsidRPr="00893658" w:rsidRDefault="00893658" w:rsidP="00893658">
      <w:r w:rsidRPr="00893658">
        <w:rPr>
          <w:b/>
        </w:rPr>
        <w:t xml:space="preserve">EPPO. </w:t>
      </w:r>
      <w:r w:rsidRPr="00893658">
        <w:t>2004</w:t>
      </w:r>
      <w:r>
        <w:t xml:space="preserve">. </w:t>
      </w:r>
      <w:r w:rsidRPr="00893658">
        <w:rPr>
          <w:i/>
        </w:rPr>
        <w:t xml:space="preserve">EPPO data sheets on quarantine pests: </w:t>
      </w:r>
      <w:proofErr w:type="spellStart"/>
      <w:r w:rsidRPr="00893658">
        <w:rPr>
          <w:i/>
        </w:rPr>
        <w:t>anoplophora</w:t>
      </w:r>
      <w:proofErr w:type="spellEnd"/>
      <w:r w:rsidRPr="00893658">
        <w:rPr>
          <w:i/>
        </w:rPr>
        <w:t xml:space="preserve"> </w:t>
      </w:r>
      <w:proofErr w:type="spellStart"/>
      <w:r w:rsidRPr="00893658">
        <w:rPr>
          <w:i/>
        </w:rPr>
        <w:t>glabripennis</w:t>
      </w:r>
      <w:proofErr w:type="spellEnd"/>
      <w:r>
        <w:t>, (a</w:t>
      </w:r>
      <w:r w:rsidRPr="00893658">
        <w:t xml:space="preserve">vailable </w:t>
      </w:r>
      <w:r>
        <w:t>at</w:t>
      </w:r>
      <w:r w:rsidRPr="00893658">
        <w:t xml:space="preserve"> </w:t>
      </w:r>
      <w:hyperlink r:id="rId13" w:history="1">
        <w:r w:rsidRPr="00B70D30">
          <w:rPr>
            <w:rStyle w:val="Hyperlink"/>
          </w:rPr>
          <w:t>http://www.eppo.org/QUARANTINE/insects/Anoplophora_glabripennis/ANOLGL_ds.pdf</w:t>
        </w:r>
      </w:hyperlink>
      <w:r>
        <w:t>, accessed 01.08.11)</w:t>
      </w:r>
      <w:r w:rsidRPr="00893658">
        <w:t>.</w:t>
      </w:r>
    </w:p>
    <w:p w:rsidR="00893658" w:rsidRPr="00893658" w:rsidRDefault="00893658" w:rsidP="00893658">
      <w:r w:rsidRPr="00893658">
        <w:rPr>
          <w:b/>
        </w:rPr>
        <w:t xml:space="preserve">EPPO. </w:t>
      </w:r>
      <w:r w:rsidRPr="00893658">
        <w:t>2008</w:t>
      </w:r>
      <w:r>
        <w:t>.</w:t>
      </w:r>
      <w:r w:rsidRPr="00893658">
        <w:t xml:space="preserve"> </w:t>
      </w:r>
      <w:r>
        <w:rPr>
          <w:i/>
        </w:rPr>
        <w:t>Working group on e</w:t>
      </w:r>
      <w:r w:rsidRPr="00893658">
        <w:rPr>
          <w:i/>
        </w:rPr>
        <w:t xml:space="preserve">quivalence: </w:t>
      </w:r>
      <w:proofErr w:type="spellStart"/>
      <w:r w:rsidRPr="00893658">
        <w:rPr>
          <w:i/>
        </w:rPr>
        <w:t>Brugge</w:t>
      </w:r>
      <w:proofErr w:type="spellEnd"/>
      <w:r w:rsidRPr="00893658">
        <w:rPr>
          <w:i/>
        </w:rPr>
        <w:t>, BE, 2003-09-01/05</w:t>
      </w:r>
      <w:r>
        <w:t>, (a</w:t>
      </w:r>
      <w:r w:rsidRPr="00893658">
        <w:t xml:space="preserve">vailable </w:t>
      </w:r>
      <w:r>
        <w:t>at</w:t>
      </w:r>
      <w:r w:rsidRPr="00893658">
        <w:t xml:space="preserve"> </w:t>
      </w:r>
      <w:hyperlink r:id="rId14" w:history="1">
        <w:r w:rsidRPr="00B70D30">
          <w:rPr>
            <w:rStyle w:val="Hyperlink"/>
          </w:rPr>
          <w:t>http://archives.eppo.org/WORLDWIDE/2003/wgequivalence_2003.htm</w:t>
        </w:r>
      </w:hyperlink>
      <w:r>
        <w:t>, accessed 06.08.11)</w:t>
      </w:r>
      <w:r w:rsidRPr="00893658">
        <w:t>.</w:t>
      </w:r>
    </w:p>
    <w:p w:rsidR="0059033B" w:rsidRPr="00243BA5" w:rsidRDefault="0059033B" w:rsidP="0059033B">
      <w:r>
        <w:rPr>
          <w:b/>
        </w:rPr>
        <w:lastRenderedPageBreak/>
        <w:t xml:space="preserve">EU. </w:t>
      </w:r>
      <w:r w:rsidRPr="00243BA5">
        <w:t>2001.</w:t>
      </w:r>
      <w:r w:rsidRPr="00243BA5">
        <w:rPr>
          <w:b/>
        </w:rPr>
        <w:t xml:space="preserve"> </w:t>
      </w:r>
      <w:r w:rsidRPr="00243BA5">
        <w:rPr>
          <w:i/>
        </w:rPr>
        <w:t>Co</w:t>
      </w:r>
      <w:r>
        <w:rPr>
          <w:i/>
        </w:rPr>
        <w:t>mmission staff working paper on i</w:t>
      </w:r>
      <w:r w:rsidRPr="00243BA5">
        <w:rPr>
          <w:i/>
        </w:rPr>
        <w:t xml:space="preserve">mplementing </w:t>
      </w:r>
      <w:r>
        <w:rPr>
          <w:i/>
        </w:rPr>
        <w:t>p</w:t>
      </w:r>
      <w:r w:rsidRPr="00243BA5">
        <w:rPr>
          <w:i/>
        </w:rPr>
        <w:t xml:space="preserve">olicy for </w:t>
      </w:r>
      <w:r>
        <w:rPr>
          <w:i/>
        </w:rPr>
        <w:t>e</w:t>
      </w:r>
      <w:r w:rsidRPr="00243BA5">
        <w:rPr>
          <w:i/>
        </w:rPr>
        <w:t xml:space="preserve">xternal </w:t>
      </w:r>
      <w:r>
        <w:rPr>
          <w:i/>
        </w:rPr>
        <w:t>t</w:t>
      </w:r>
      <w:r w:rsidRPr="00243BA5">
        <w:rPr>
          <w:i/>
        </w:rPr>
        <w:t xml:space="preserve">rade in the </w:t>
      </w:r>
      <w:r>
        <w:rPr>
          <w:i/>
        </w:rPr>
        <w:t>f</w:t>
      </w:r>
      <w:r w:rsidRPr="00243BA5">
        <w:rPr>
          <w:i/>
        </w:rPr>
        <w:t xml:space="preserve">ields of </w:t>
      </w:r>
      <w:r>
        <w:rPr>
          <w:i/>
        </w:rPr>
        <w:t>standards and c</w:t>
      </w:r>
      <w:r w:rsidRPr="00243BA5">
        <w:rPr>
          <w:i/>
        </w:rPr>
        <w:t xml:space="preserve">onformity </w:t>
      </w:r>
      <w:r>
        <w:rPr>
          <w:i/>
        </w:rPr>
        <w:t>a</w:t>
      </w:r>
      <w:r w:rsidRPr="00243BA5">
        <w:rPr>
          <w:i/>
        </w:rPr>
        <w:t xml:space="preserve">ssessment: </w:t>
      </w:r>
      <w:r>
        <w:rPr>
          <w:i/>
        </w:rPr>
        <w:t>a</w:t>
      </w:r>
      <w:r w:rsidRPr="00243BA5">
        <w:rPr>
          <w:i/>
        </w:rPr>
        <w:t xml:space="preserve"> </w:t>
      </w:r>
      <w:r>
        <w:rPr>
          <w:i/>
        </w:rPr>
        <w:t>t</w:t>
      </w:r>
      <w:r w:rsidRPr="00243BA5">
        <w:rPr>
          <w:i/>
        </w:rPr>
        <w:t xml:space="preserve">ool </w:t>
      </w:r>
      <w:r>
        <w:rPr>
          <w:i/>
        </w:rPr>
        <w:t>b</w:t>
      </w:r>
      <w:r w:rsidRPr="00243BA5">
        <w:rPr>
          <w:i/>
        </w:rPr>
        <w:t xml:space="preserve">ox of </w:t>
      </w:r>
      <w:r>
        <w:rPr>
          <w:i/>
        </w:rPr>
        <w:t>i</w:t>
      </w:r>
      <w:r w:rsidRPr="00243BA5">
        <w:rPr>
          <w:i/>
        </w:rPr>
        <w:t xml:space="preserve">nstruments. </w:t>
      </w:r>
      <w:r w:rsidRPr="00243BA5">
        <w:t>SEC</w:t>
      </w:r>
      <w:r>
        <w:t xml:space="preserve"> </w:t>
      </w:r>
      <w:r w:rsidRPr="00243BA5">
        <w:t xml:space="preserve">(2001) 1570 series. </w:t>
      </w:r>
      <w:r>
        <w:t>C</w:t>
      </w:r>
      <w:r w:rsidRPr="00243BA5">
        <w:t>ommission of the European Communities, Brussels.</w:t>
      </w:r>
    </w:p>
    <w:p w:rsidR="00893658" w:rsidRPr="00893658" w:rsidRDefault="00893658" w:rsidP="00893658">
      <w:r w:rsidRPr="00893658">
        <w:rPr>
          <w:b/>
        </w:rPr>
        <w:t xml:space="preserve">EU. </w:t>
      </w:r>
      <w:r w:rsidRPr="00893658">
        <w:t xml:space="preserve">2010. </w:t>
      </w:r>
      <w:r>
        <w:rPr>
          <w:i/>
        </w:rPr>
        <w:t>European Union s</w:t>
      </w:r>
      <w:r w:rsidRPr="00893658">
        <w:rPr>
          <w:i/>
        </w:rPr>
        <w:t xml:space="preserve">trategy to </w:t>
      </w:r>
      <w:r>
        <w:rPr>
          <w:i/>
        </w:rPr>
        <w:t>r</w:t>
      </w:r>
      <w:r w:rsidRPr="00893658">
        <w:rPr>
          <w:i/>
        </w:rPr>
        <w:t xml:space="preserve">educe the </w:t>
      </w:r>
      <w:r>
        <w:rPr>
          <w:i/>
        </w:rPr>
        <w:t>u</w:t>
      </w:r>
      <w:r w:rsidRPr="00893658">
        <w:rPr>
          <w:i/>
        </w:rPr>
        <w:t xml:space="preserve">se and </w:t>
      </w:r>
      <w:r>
        <w:rPr>
          <w:i/>
        </w:rPr>
        <w:t>e</w:t>
      </w:r>
      <w:r w:rsidRPr="00893658">
        <w:rPr>
          <w:i/>
        </w:rPr>
        <w:t xml:space="preserve">missions of Methyl Bromide for </w:t>
      </w:r>
      <w:r>
        <w:rPr>
          <w:i/>
        </w:rPr>
        <w:t>q</w:t>
      </w:r>
      <w:r w:rsidRPr="00893658">
        <w:rPr>
          <w:i/>
        </w:rPr>
        <w:t xml:space="preserve">uarantine and </w:t>
      </w:r>
      <w:r>
        <w:rPr>
          <w:i/>
        </w:rPr>
        <w:t>p</w:t>
      </w:r>
      <w:r w:rsidRPr="00893658">
        <w:rPr>
          <w:i/>
        </w:rPr>
        <w:t>re-</w:t>
      </w:r>
      <w:r>
        <w:rPr>
          <w:i/>
        </w:rPr>
        <w:t>shipment p</w:t>
      </w:r>
      <w:r w:rsidRPr="00893658">
        <w:rPr>
          <w:i/>
        </w:rPr>
        <w:t>urposes</w:t>
      </w:r>
      <w:r w:rsidRPr="00893658">
        <w:t>. Ares</w:t>
      </w:r>
      <w:r>
        <w:t xml:space="preserve"> </w:t>
      </w:r>
      <w:r w:rsidRPr="00893658">
        <w:t>(2010)315100 - 08/06/2010 series. Brussels, European Union.</w:t>
      </w:r>
    </w:p>
    <w:p w:rsidR="00893658" w:rsidRPr="00893658" w:rsidRDefault="00893658" w:rsidP="00893658">
      <w:r w:rsidRPr="00893658">
        <w:rPr>
          <w:b/>
        </w:rPr>
        <w:t>EU</w:t>
      </w:r>
      <w:r>
        <w:rPr>
          <w:b/>
        </w:rPr>
        <w:t xml:space="preserve">- Chile. </w:t>
      </w:r>
      <w:r w:rsidRPr="00893658">
        <w:t>2002.</w:t>
      </w:r>
      <w:r>
        <w:t xml:space="preserve"> Council d</w:t>
      </w:r>
      <w:r w:rsidRPr="00893658">
        <w:t>ecision of 18 November 2002 on the signature and provisional applicati</w:t>
      </w:r>
      <w:r>
        <w:t>on of certain provisions of an a</w:t>
      </w:r>
      <w:r w:rsidRPr="00893658">
        <w:t>greement establishing an association between the European Community and its Member States, of the one part, and the Republic of Chile, of the other part (2002/979/EC). EUR-</w:t>
      </w:r>
      <w:proofErr w:type="spellStart"/>
      <w:r w:rsidRPr="00893658">
        <w:t>Lex</w:t>
      </w:r>
      <w:proofErr w:type="spellEnd"/>
      <w:r>
        <w:t>.</w:t>
      </w:r>
      <w:r w:rsidRPr="00893658">
        <w:t xml:space="preserve"> </w:t>
      </w:r>
      <w:r w:rsidR="0059033B">
        <w:t>45 (L 352),</w:t>
      </w:r>
      <w:r>
        <w:t xml:space="preserve"> (a</w:t>
      </w:r>
      <w:r w:rsidRPr="00893658">
        <w:t xml:space="preserve">vailable </w:t>
      </w:r>
      <w:r>
        <w:t>at</w:t>
      </w:r>
      <w:r w:rsidRPr="00893658">
        <w:t xml:space="preserve"> </w:t>
      </w:r>
      <w:hyperlink r:id="rId15" w:history="1">
        <w:r w:rsidR="0059033B" w:rsidRPr="00B70D30">
          <w:rPr>
            <w:rStyle w:val="Hyperlink"/>
          </w:rPr>
          <w:t>http://eur-lex.europa.eu/JOIndex.do?year=2002&amp;serie=L&amp;textfield2=352&amp;Submit=Search&amp;ihmlang=en</w:t>
        </w:r>
      </w:hyperlink>
      <w:r w:rsidR="0059033B">
        <w:t xml:space="preserve">, accessed </w:t>
      </w:r>
      <w:r w:rsidR="0059033B" w:rsidRPr="00893658">
        <w:t>06.09.11</w:t>
      </w:r>
      <w:r w:rsidR="0059033B">
        <w:t>)</w:t>
      </w:r>
      <w:r w:rsidRPr="00893658">
        <w:t xml:space="preserve">. </w:t>
      </w:r>
    </w:p>
    <w:p w:rsidR="009A23B6" w:rsidRPr="009A23B6" w:rsidRDefault="009A23B6" w:rsidP="00893658">
      <w:r w:rsidRPr="00521BE3">
        <w:rPr>
          <w:b/>
        </w:rPr>
        <w:t>EUROPA.</w:t>
      </w:r>
      <w:r w:rsidR="00521BE3">
        <w:t xml:space="preserve"> 2007.</w:t>
      </w:r>
      <w:r w:rsidRPr="009A23B6">
        <w:t xml:space="preserve"> </w:t>
      </w:r>
      <w:r w:rsidRPr="009A23B6">
        <w:rPr>
          <w:i/>
          <w:iCs/>
        </w:rPr>
        <w:t>Summary of Treaty - Amendment to the Montreal protocol on substances that deplete the ozone layer</w:t>
      </w:r>
      <w:r w:rsidRPr="009A23B6">
        <w:t xml:space="preserve"> </w:t>
      </w:r>
      <w:r w:rsidR="001C5EFC">
        <w:t>(a</w:t>
      </w:r>
      <w:r w:rsidRPr="009A23B6">
        <w:t xml:space="preserve">vailable </w:t>
      </w:r>
      <w:r w:rsidR="001C5EFC">
        <w:t>at</w:t>
      </w:r>
      <w:r w:rsidRPr="009A23B6">
        <w:t xml:space="preserve"> </w:t>
      </w:r>
      <w:hyperlink r:id="rId16" w:tgtFrame="_blank" w:history="1">
        <w:r w:rsidRPr="009A23B6">
          <w:rPr>
            <w:rStyle w:val="Hyperlink"/>
            <w:rFonts w:eastAsia="Calibri"/>
          </w:rPr>
          <w:t>http://ec.europa.eu/world/agreements/prepareCreateTreatiesWorkspace/treatiesGeneralData.do?step=0&amp;redirect=true&amp;treatyId=534</w:t>
        </w:r>
      </w:hyperlink>
      <w:r w:rsidR="009720B3">
        <w:t>, accessed 21.08.11</w:t>
      </w:r>
      <w:r w:rsidR="001C5EFC">
        <w:t>)</w:t>
      </w:r>
      <w:r w:rsidRPr="009A23B6">
        <w:t xml:space="preserve">. </w:t>
      </w:r>
    </w:p>
    <w:p w:rsidR="00720B5A" w:rsidRDefault="00720B5A" w:rsidP="00720B5A">
      <w:r w:rsidRPr="00720B5A">
        <w:rPr>
          <w:b/>
          <w:sz w:val="23"/>
          <w:szCs w:val="23"/>
        </w:rPr>
        <w:t>FAO.</w:t>
      </w:r>
      <w:r>
        <w:rPr>
          <w:sz w:val="23"/>
          <w:szCs w:val="23"/>
        </w:rPr>
        <w:t xml:space="preserve"> 1997. </w:t>
      </w:r>
      <w:r>
        <w:rPr>
          <w:i/>
          <w:iCs/>
          <w:sz w:val="23"/>
          <w:szCs w:val="23"/>
        </w:rPr>
        <w:t xml:space="preserve">International Plant Protection Convention. </w:t>
      </w:r>
      <w:r>
        <w:rPr>
          <w:sz w:val="23"/>
          <w:szCs w:val="23"/>
        </w:rPr>
        <w:t xml:space="preserve">Revised text, November 1997. </w:t>
      </w:r>
      <w:r>
        <w:t>Rome, IPPC, FAO</w:t>
      </w:r>
      <w:r w:rsidRPr="009A23B6">
        <w:t xml:space="preserve">. </w:t>
      </w:r>
    </w:p>
    <w:p w:rsidR="00720B5A" w:rsidRDefault="00720B5A" w:rsidP="00720B5A">
      <w:r>
        <w:rPr>
          <w:b/>
        </w:rPr>
        <w:t xml:space="preserve">FAO. </w:t>
      </w:r>
      <w:r w:rsidRPr="00720B5A">
        <w:t xml:space="preserve">2002. ISPM 15: </w:t>
      </w:r>
      <w:r w:rsidRPr="00720B5A">
        <w:rPr>
          <w:i/>
        </w:rPr>
        <w:t>Regulation of Wood Packaging Material in International Trade</w:t>
      </w:r>
      <w:r w:rsidRPr="00720B5A">
        <w:t xml:space="preserve">. </w:t>
      </w:r>
      <w:r>
        <w:t>Rome, IPPC, FAO</w:t>
      </w:r>
      <w:r w:rsidRPr="009A23B6">
        <w:t xml:space="preserve">. </w:t>
      </w:r>
    </w:p>
    <w:p w:rsidR="00720B5A" w:rsidRDefault="00720B5A" w:rsidP="009A23B6">
      <w:r>
        <w:rPr>
          <w:b/>
        </w:rPr>
        <w:t>FAO.</w:t>
      </w:r>
      <w:r>
        <w:t xml:space="preserve"> 2003.</w:t>
      </w:r>
      <w:r w:rsidRPr="009A23B6">
        <w:t xml:space="preserve"> ISPM 18</w:t>
      </w:r>
      <w:r>
        <w:t>:</w:t>
      </w:r>
      <w:r w:rsidRPr="009A23B6">
        <w:t xml:space="preserve"> </w:t>
      </w:r>
      <w:r w:rsidRPr="009A23B6">
        <w:rPr>
          <w:i/>
          <w:iCs/>
        </w:rPr>
        <w:t>Guidelines for the Use of Irradiation as a Phytosanitary Measure.</w:t>
      </w:r>
      <w:r>
        <w:rPr>
          <w:i/>
          <w:iCs/>
        </w:rPr>
        <w:t xml:space="preserve"> </w:t>
      </w:r>
      <w:r>
        <w:t>Rome, IPPC, FAO</w:t>
      </w:r>
      <w:r w:rsidRPr="009A23B6">
        <w:t xml:space="preserve">. </w:t>
      </w:r>
    </w:p>
    <w:p w:rsidR="009A23B6" w:rsidRPr="009A23B6" w:rsidRDefault="009A23B6" w:rsidP="009A23B6">
      <w:r w:rsidRPr="009720B3">
        <w:rPr>
          <w:b/>
        </w:rPr>
        <w:t>FAO</w:t>
      </w:r>
      <w:r w:rsidR="009720B3">
        <w:t xml:space="preserve">. </w:t>
      </w:r>
      <w:r w:rsidRPr="009A23B6">
        <w:t>2005</w:t>
      </w:r>
      <w:r w:rsidR="009720B3">
        <w:t>.</w:t>
      </w:r>
      <w:r w:rsidRPr="009A23B6">
        <w:t xml:space="preserve"> </w:t>
      </w:r>
      <w:r w:rsidR="00720B5A" w:rsidRPr="009A23B6">
        <w:t>ISPM 24</w:t>
      </w:r>
      <w:r w:rsidR="00720B5A">
        <w:t>:</w:t>
      </w:r>
      <w:r w:rsidR="00720B5A" w:rsidRPr="009A23B6">
        <w:t xml:space="preserve"> </w:t>
      </w:r>
      <w:r w:rsidRPr="009A23B6">
        <w:rPr>
          <w:i/>
          <w:iCs/>
        </w:rPr>
        <w:t>Guidelines for the Determination and Recognition of Equivalence of Phytosanitary Measures.</w:t>
      </w:r>
      <w:r w:rsidR="00720B5A">
        <w:rPr>
          <w:i/>
          <w:iCs/>
        </w:rPr>
        <w:t xml:space="preserve"> </w:t>
      </w:r>
      <w:r w:rsidR="003273A2">
        <w:t>Rome, IPPC, FAO</w:t>
      </w:r>
      <w:r w:rsidRPr="009A23B6">
        <w:t xml:space="preserve">. </w:t>
      </w:r>
    </w:p>
    <w:p w:rsidR="00F81331" w:rsidRDefault="00720B5A" w:rsidP="00F81331">
      <w:r w:rsidRPr="00720B5A">
        <w:rPr>
          <w:b/>
          <w:sz w:val="23"/>
          <w:szCs w:val="23"/>
        </w:rPr>
        <w:t>FAO</w:t>
      </w:r>
      <w:r>
        <w:rPr>
          <w:b/>
          <w:sz w:val="23"/>
          <w:szCs w:val="23"/>
        </w:rPr>
        <w:t>.</w:t>
      </w:r>
      <w:r>
        <w:rPr>
          <w:sz w:val="23"/>
          <w:szCs w:val="23"/>
        </w:rPr>
        <w:t xml:space="preserve"> 2008. </w:t>
      </w:r>
      <w:r>
        <w:rPr>
          <w:i/>
          <w:iCs/>
          <w:sz w:val="23"/>
          <w:szCs w:val="23"/>
        </w:rPr>
        <w:t>Replacement or reduction of the use of methyl bromide as a phytosanitary measure</w:t>
      </w:r>
      <w:r>
        <w:rPr>
          <w:sz w:val="23"/>
          <w:szCs w:val="23"/>
        </w:rPr>
        <w:t xml:space="preserve">. CPM Recommendation, </w:t>
      </w:r>
      <w:r w:rsidR="00F81331">
        <w:t>Rome, IPPC, FAO</w:t>
      </w:r>
      <w:r w:rsidR="00F81331" w:rsidRPr="009A23B6">
        <w:t xml:space="preserve">. </w:t>
      </w:r>
    </w:p>
    <w:p w:rsidR="00F81331" w:rsidRDefault="00F81331" w:rsidP="00F81331">
      <w:r>
        <w:rPr>
          <w:b/>
        </w:rPr>
        <w:t xml:space="preserve">FAO. </w:t>
      </w:r>
      <w:r w:rsidRPr="00FE7BC0">
        <w:t>2009.</w:t>
      </w:r>
      <w:r w:rsidRPr="00F81331">
        <w:rPr>
          <w:b/>
        </w:rPr>
        <w:t xml:space="preserve"> </w:t>
      </w:r>
      <w:r w:rsidRPr="00F81331">
        <w:t xml:space="preserve">ISPM 15: </w:t>
      </w:r>
      <w:r w:rsidRPr="00F81331">
        <w:rPr>
          <w:i/>
        </w:rPr>
        <w:t>Regulation of Wood Packaging Material in International Trade</w:t>
      </w:r>
      <w:r w:rsidRPr="00F81331">
        <w:t xml:space="preserve">, Revised text. </w:t>
      </w:r>
      <w:r>
        <w:t>Rome, IPPC, FAO</w:t>
      </w:r>
      <w:r w:rsidR="00FE7BC0">
        <w:t>.</w:t>
      </w:r>
    </w:p>
    <w:p w:rsidR="00FE7BC0" w:rsidRDefault="00FE7BC0" w:rsidP="00FE7BC0">
      <w:r>
        <w:rPr>
          <w:b/>
        </w:rPr>
        <w:t xml:space="preserve">FAO. </w:t>
      </w:r>
      <w:r w:rsidRPr="00FE7BC0">
        <w:t>20</w:t>
      </w:r>
      <w:r>
        <w:t>10</w:t>
      </w:r>
      <w:r w:rsidRPr="00FE7BC0">
        <w:t>.</w:t>
      </w:r>
      <w:r w:rsidRPr="00F81331">
        <w:rPr>
          <w:b/>
        </w:rPr>
        <w:t xml:space="preserve"> </w:t>
      </w:r>
      <w:r w:rsidRPr="00F81331">
        <w:t xml:space="preserve">ISPM 5: </w:t>
      </w:r>
      <w:r w:rsidR="009C4E8A">
        <w:rPr>
          <w:i/>
        </w:rPr>
        <w:t>Glossary of phytosanitary terms</w:t>
      </w:r>
      <w:r w:rsidRPr="00F81331">
        <w:t xml:space="preserve">, </w:t>
      </w:r>
      <w:r w:rsidR="009C4E8A">
        <w:t xml:space="preserve">Rome, </w:t>
      </w:r>
      <w:r>
        <w:t>IPPC, FAO.</w:t>
      </w:r>
    </w:p>
    <w:p w:rsidR="00F81331" w:rsidRPr="00F81331" w:rsidRDefault="00F81331" w:rsidP="00F81331">
      <w:r w:rsidRPr="00F81331">
        <w:rPr>
          <w:b/>
        </w:rPr>
        <w:t xml:space="preserve">FAO. </w:t>
      </w:r>
      <w:r w:rsidRPr="00F81331">
        <w:t>(Unknown)</w:t>
      </w:r>
      <w:r w:rsidRPr="00F81331">
        <w:rPr>
          <w:b/>
        </w:rPr>
        <w:t xml:space="preserve"> </w:t>
      </w:r>
      <w:r w:rsidRPr="00F81331">
        <w:rPr>
          <w:i/>
        </w:rPr>
        <w:t xml:space="preserve">ISPM #15 Questions and Answers from </w:t>
      </w:r>
      <w:hyperlink r:id="rId17" w:history="1">
        <w:r w:rsidRPr="00B70D30">
          <w:rPr>
            <w:rStyle w:val="Hyperlink"/>
            <w:i/>
          </w:rPr>
          <w:t>ISPM-15-L@mailserv.fao.org</w:t>
        </w:r>
      </w:hyperlink>
      <w:r>
        <w:rPr>
          <w:i/>
        </w:rPr>
        <w:t xml:space="preserve">, </w:t>
      </w:r>
      <w:r>
        <w:t>(a</w:t>
      </w:r>
      <w:r w:rsidRPr="00F81331">
        <w:t xml:space="preserve">vailable </w:t>
      </w:r>
      <w:r>
        <w:t>at</w:t>
      </w:r>
      <w:r w:rsidRPr="00F81331">
        <w:t xml:space="preserve"> </w:t>
      </w:r>
      <w:hyperlink r:id="rId18" w:history="1">
        <w:r w:rsidRPr="00B70D30">
          <w:rPr>
            <w:rStyle w:val="Hyperlink"/>
          </w:rPr>
          <w:t>https://www.ippc.int/file_uploaded/1110538735517_Chapter_01_IFQRG_ISPM_15_Q_As_E.doc</w:t>
        </w:r>
      </w:hyperlink>
      <w:r>
        <w:t>, accessed 06.09.11)</w:t>
      </w:r>
      <w:r w:rsidRPr="00F81331">
        <w:t>.</w:t>
      </w:r>
    </w:p>
    <w:p w:rsidR="00B222DA" w:rsidRPr="00B222DA" w:rsidRDefault="00B222DA" w:rsidP="00F81331">
      <w:r>
        <w:rPr>
          <w:b/>
        </w:rPr>
        <w:t xml:space="preserve">Federal Register. </w:t>
      </w:r>
      <w:r w:rsidRPr="00B222DA">
        <w:t xml:space="preserve">2011. </w:t>
      </w:r>
      <w:r>
        <w:rPr>
          <w:i/>
        </w:rPr>
        <w:t>Electronic c</w:t>
      </w:r>
      <w:r w:rsidRPr="00B222DA">
        <w:rPr>
          <w:i/>
        </w:rPr>
        <w:t>ode of Federal Regulations</w:t>
      </w:r>
      <w:r>
        <w:rPr>
          <w:i/>
        </w:rPr>
        <w:t>,</w:t>
      </w:r>
      <w:r w:rsidRPr="00B222DA">
        <w:t xml:space="preserve"> </w:t>
      </w:r>
      <w:r>
        <w:t>(a</w:t>
      </w:r>
      <w:r w:rsidRPr="00B222DA">
        <w:t xml:space="preserve">vailable </w:t>
      </w:r>
      <w:r>
        <w:t>at</w:t>
      </w:r>
      <w:r w:rsidRPr="00B222DA">
        <w:t xml:space="preserve"> </w:t>
      </w:r>
      <w:hyperlink r:id="rId19" w:anchor="7:5.1.1.1.6.12.40.20" w:history="1">
        <w:r w:rsidRPr="00B70D30">
          <w:rPr>
            <w:rStyle w:val="Hyperlink"/>
          </w:rPr>
          <w:t>http://ecfr.gpoaccess.gov/cgi/t/text/text-idx?c=ecfr&amp;rgn=div5&amp;view=text&amp;node=7:5.1.1.1.6&amp;idno=7#7:5.1.1.1.6.12.40.20</w:t>
        </w:r>
      </w:hyperlink>
      <w:r>
        <w:t>, accessed 06.09.11)</w:t>
      </w:r>
      <w:r w:rsidRPr="00B222DA">
        <w:t>.</w:t>
      </w:r>
    </w:p>
    <w:p w:rsidR="009A23B6" w:rsidRPr="009A23B6" w:rsidRDefault="009A23B6" w:rsidP="00F81331">
      <w:r w:rsidRPr="00E44001">
        <w:rPr>
          <w:b/>
        </w:rPr>
        <w:t>Ferrier, Peyton</w:t>
      </w:r>
      <w:r w:rsidR="00E44001">
        <w:t>. 2010.</w:t>
      </w:r>
      <w:r w:rsidRPr="009A23B6">
        <w:t xml:space="preserve"> Irradiation as a quarantine treatment. </w:t>
      </w:r>
      <w:r w:rsidRPr="009A23B6">
        <w:rPr>
          <w:i/>
          <w:iCs/>
        </w:rPr>
        <w:t xml:space="preserve">Food Policy, </w:t>
      </w:r>
      <w:r w:rsidRPr="009A23B6">
        <w:t xml:space="preserve">35 (6), 548-555. </w:t>
      </w:r>
    </w:p>
    <w:p w:rsidR="00B222DA" w:rsidRDefault="00B222DA" w:rsidP="009A23B6">
      <w:pPr>
        <w:rPr>
          <w:sz w:val="23"/>
          <w:szCs w:val="23"/>
        </w:rPr>
      </w:pPr>
      <w:r w:rsidRPr="00B222DA">
        <w:rPr>
          <w:b/>
          <w:sz w:val="23"/>
          <w:szCs w:val="23"/>
        </w:rPr>
        <w:lastRenderedPageBreak/>
        <w:t xml:space="preserve">Follett, P. &amp; </w:t>
      </w:r>
      <w:proofErr w:type="spellStart"/>
      <w:r w:rsidRPr="00B222DA">
        <w:rPr>
          <w:b/>
          <w:sz w:val="23"/>
          <w:szCs w:val="23"/>
        </w:rPr>
        <w:t>Neven</w:t>
      </w:r>
      <w:proofErr w:type="spellEnd"/>
      <w:r w:rsidRPr="00B222DA">
        <w:rPr>
          <w:b/>
          <w:sz w:val="23"/>
          <w:szCs w:val="23"/>
        </w:rPr>
        <w:t>, L.</w:t>
      </w:r>
      <w:r>
        <w:rPr>
          <w:sz w:val="23"/>
          <w:szCs w:val="23"/>
        </w:rPr>
        <w:t xml:space="preserve"> 2006. Current trends in quarantine entomology. </w:t>
      </w:r>
      <w:r>
        <w:rPr>
          <w:i/>
          <w:iCs/>
          <w:sz w:val="23"/>
          <w:szCs w:val="23"/>
        </w:rPr>
        <w:t xml:space="preserve">Annual Review Entomology USDA-ARS / UNL Faculty, </w:t>
      </w:r>
      <w:r>
        <w:rPr>
          <w:sz w:val="23"/>
          <w:szCs w:val="23"/>
        </w:rPr>
        <w:t xml:space="preserve">51, 359. </w:t>
      </w:r>
    </w:p>
    <w:p w:rsidR="009A23B6" w:rsidRPr="009A23B6" w:rsidRDefault="009A23B6" w:rsidP="009A23B6">
      <w:r w:rsidRPr="00E44001">
        <w:rPr>
          <w:b/>
        </w:rPr>
        <w:t>Garrett, K. A.</w:t>
      </w:r>
      <w:r w:rsidR="00E44001">
        <w:t xml:space="preserve"> 1997.</w:t>
      </w:r>
      <w:r w:rsidRPr="009A23B6">
        <w:t xml:space="preserve"> Use of Statistical Tests of Equivalence (Bioequivalence Tests) in Plant Pathology. </w:t>
      </w:r>
      <w:r w:rsidRPr="009A23B6">
        <w:rPr>
          <w:i/>
          <w:iCs/>
        </w:rPr>
        <w:t xml:space="preserve">Phytopathology, </w:t>
      </w:r>
      <w:r w:rsidRPr="009A23B6">
        <w:t xml:space="preserve">87 (4), 372. </w:t>
      </w:r>
    </w:p>
    <w:p w:rsidR="009A23B6" w:rsidRPr="009A23B6" w:rsidRDefault="009A23B6" w:rsidP="009A23B6">
      <w:r w:rsidRPr="00E44001">
        <w:rPr>
          <w:b/>
        </w:rPr>
        <w:t xml:space="preserve">Goebel, C., </w:t>
      </w:r>
      <w:proofErr w:type="spellStart"/>
      <w:r w:rsidRPr="00E44001">
        <w:rPr>
          <w:b/>
        </w:rPr>
        <w:t>Bumgardner</w:t>
      </w:r>
      <w:proofErr w:type="spellEnd"/>
      <w:r w:rsidRPr="00E44001">
        <w:rPr>
          <w:b/>
        </w:rPr>
        <w:t>, M. S., Herms, D. A. &amp; Sabula, A.</w:t>
      </w:r>
      <w:r w:rsidR="00E44001">
        <w:t xml:space="preserve"> 2010.</w:t>
      </w:r>
      <w:r w:rsidRPr="009A23B6">
        <w:t xml:space="preserve"> Failure to </w:t>
      </w:r>
      <w:proofErr w:type="spellStart"/>
      <w:r w:rsidRPr="009A23B6">
        <w:t>phytosanitize</w:t>
      </w:r>
      <w:proofErr w:type="spellEnd"/>
      <w:r w:rsidRPr="009A23B6">
        <w:t xml:space="preserve"> ash firewood infested with emerald ash borer in a small dry kiln using ISPM-15 standards. </w:t>
      </w:r>
      <w:r w:rsidRPr="009A23B6">
        <w:rPr>
          <w:i/>
          <w:iCs/>
        </w:rPr>
        <w:t xml:space="preserve">Journal of Economic Entomology, </w:t>
      </w:r>
      <w:r w:rsidRPr="009A23B6">
        <w:t xml:space="preserve">103 (3), 597. </w:t>
      </w:r>
    </w:p>
    <w:p w:rsidR="00B222DA" w:rsidRPr="00B222DA" w:rsidRDefault="00B222DA" w:rsidP="00B222DA">
      <w:r w:rsidRPr="00B222DA">
        <w:rPr>
          <w:b/>
        </w:rPr>
        <w:t xml:space="preserve">Griffin, R. </w:t>
      </w:r>
      <w:r w:rsidRPr="00B222DA">
        <w:t>2011</w:t>
      </w:r>
      <w:r>
        <w:t>.</w:t>
      </w:r>
      <w:r w:rsidRPr="00B222DA">
        <w:t xml:space="preserve"> </w:t>
      </w:r>
      <w:r>
        <w:rPr>
          <w:i/>
        </w:rPr>
        <w:t>History of the development of the SPS a</w:t>
      </w:r>
      <w:r w:rsidRPr="00B222DA">
        <w:rPr>
          <w:i/>
        </w:rPr>
        <w:t>greement.</w:t>
      </w:r>
      <w:r>
        <w:t xml:space="preserve"> Multilateral trade negotiations on agriculture - A resource m</w:t>
      </w:r>
      <w:r w:rsidRPr="00B222DA">
        <w:t>anual, WTO- Technical Cooperation Department.</w:t>
      </w:r>
    </w:p>
    <w:p w:rsidR="00B222DA" w:rsidRPr="00B222DA" w:rsidRDefault="00B222DA" w:rsidP="00B222DA">
      <w:r w:rsidRPr="00B222DA">
        <w:rPr>
          <w:b/>
        </w:rPr>
        <w:t xml:space="preserve">Hallman, Guy J. </w:t>
      </w:r>
      <w:r w:rsidRPr="00B222DA">
        <w:t>2011</w:t>
      </w:r>
      <w:r>
        <w:t>. Phytosanitary a</w:t>
      </w:r>
      <w:r w:rsidRPr="00B222DA">
        <w:t xml:space="preserve">pplications of </w:t>
      </w:r>
      <w:r>
        <w:t xml:space="preserve"> irradiation. </w:t>
      </w:r>
      <w:r w:rsidRPr="00B222DA">
        <w:rPr>
          <w:i/>
        </w:rPr>
        <w:t>Comprehensive reviews in food science and food safety</w:t>
      </w:r>
      <w:r w:rsidRPr="00B222DA">
        <w:t>, 10 (2), 143-151.</w:t>
      </w:r>
    </w:p>
    <w:p w:rsidR="00B222DA" w:rsidRPr="00B222DA" w:rsidRDefault="00B222DA" w:rsidP="00B222DA">
      <w:r w:rsidRPr="00B222DA">
        <w:rPr>
          <w:b/>
        </w:rPr>
        <w:t xml:space="preserve">IANCAS. </w:t>
      </w:r>
      <w:r w:rsidRPr="00B222DA">
        <w:t>2011</w:t>
      </w:r>
      <w:r>
        <w:t xml:space="preserve">. </w:t>
      </w:r>
      <w:r w:rsidRPr="00186C04">
        <w:rPr>
          <w:i/>
        </w:rPr>
        <w:t>Radiation processing of mangoes for export</w:t>
      </w:r>
      <w:r w:rsidR="00186C04">
        <w:t>, (a</w:t>
      </w:r>
      <w:r w:rsidRPr="00B222DA">
        <w:t xml:space="preserve">vailable </w:t>
      </w:r>
      <w:r w:rsidR="00186C04">
        <w:t>at</w:t>
      </w:r>
      <w:r w:rsidRPr="00B222DA">
        <w:t xml:space="preserve"> </w:t>
      </w:r>
      <w:hyperlink r:id="rId20" w:history="1">
        <w:r w:rsidR="00186C04" w:rsidRPr="00B70D30">
          <w:rPr>
            <w:rStyle w:val="Hyperlink"/>
          </w:rPr>
          <w:t>http://www.iancas.org/rediation.asp</w:t>
        </w:r>
      </w:hyperlink>
      <w:r w:rsidR="00186C04">
        <w:t>, a</w:t>
      </w:r>
      <w:r w:rsidRPr="00B222DA">
        <w:t>ccessed 06.09.11</w:t>
      </w:r>
      <w:r w:rsidR="00186C04">
        <w:t>)</w:t>
      </w:r>
      <w:r w:rsidRPr="00B222DA">
        <w:t>.</w:t>
      </w:r>
    </w:p>
    <w:p w:rsidR="00B222DA" w:rsidRPr="00B222DA" w:rsidRDefault="00B222DA" w:rsidP="00B222DA">
      <w:pPr>
        <w:rPr>
          <w:b/>
        </w:rPr>
      </w:pPr>
      <w:r w:rsidRPr="00B222DA">
        <w:rPr>
          <w:b/>
        </w:rPr>
        <w:t xml:space="preserve">IPPC. </w:t>
      </w:r>
      <w:r w:rsidRPr="00B222DA">
        <w:t>2004</w:t>
      </w:r>
      <w:r>
        <w:t>.</w:t>
      </w:r>
      <w:r w:rsidRPr="00B222DA">
        <w:t xml:space="preserve"> </w:t>
      </w:r>
      <w:r w:rsidR="00186C04">
        <w:rPr>
          <w:i/>
        </w:rPr>
        <w:t>Compiled m</w:t>
      </w:r>
      <w:r w:rsidRPr="00186C04">
        <w:rPr>
          <w:i/>
        </w:rPr>
        <w:t xml:space="preserve">ember </w:t>
      </w:r>
      <w:r w:rsidR="00186C04">
        <w:rPr>
          <w:i/>
        </w:rPr>
        <w:t>c</w:t>
      </w:r>
      <w:r w:rsidRPr="00186C04">
        <w:rPr>
          <w:i/>
        </w:rPr>
        <w:t xml:space="preserve">omments on </w:t>
      </w:r>
      <w:r w:rsidR="00186C04">
        <w:rPr>
          <w:i/>
        </w:rPr>
        <w:t>d</w:t>
      </w:r>
      <w:r w:rsidRPr="00186C04">
        <w:rPr>
          <w:i/>
        </w:rPr>
        <w:t xml:space="preserve">raft </w:t>
      </w:r>
      <w:r w:rsidR="00186C04">
        <w:rPr>
          <w:i/>
        </w:rPr>
        <w:t>s</w:t>
      </w:r>
      <w:r w:rsidRPr="00186C04">
        <w:rPr>
          <w:i/>
        </w:rPr>
        <w:t>tandards</w:t>
      </w:r>
      <w:r w:rsidRPr="00B222DA">
        <w:t>. Foll</w:t>
      </w:r>
      <w:r w:rsidR="00186C04">
        <w:t>ow links for comments from 2004, (a</w:t>
      </w:r>
      <w:r w:rsidRPr="00B222DA">
        <w:t xml:space="preserve">vailable </w:t>
      </w:r>
      <w:r w:rsidR="00186C04">
        <w:t>at</w:t>
      </w:r>
      <w:r w:rsidRPr="00B222DA">
        <w:t xml:space="preserve"> </w:t>
      </w:r>
      <w:hyperlink r:id="rId21" w:history="1">
        <w:r w:rsidR="00186C04" w:rsidRPr="00B70D30">
          <w:rPr>
            <w:rStyle w:val="Hyperlink"/>
          </w:rPr>
          <w:t>https://www.ippc.int/index.php?id=1110637&amp;L=0</w:t>
        </w:r>
      </w:hyperlink>
      <w:r w:rsidR="00186C04">
        <w:t>, a</w:t>
      </w:r>
      <w:r w:rsidRPr="00B222DA">
        <w:t>ccessed 07.07.11</w:t>
      </w:r>
      <w:r w:rsidR="00186C04">
        <w:t>)</w:t>
      </w:r>
      <w:r w:rsidRPr="00B222DA">
        <w:t>.</w:t>
      </w:r>
    </w:p>
    <w:p w:rsidR="00B222DA" w:rsidRPr="00186C04" w:rsidRDefault="00B222DA" w:rsidP="00B222DA">
      <w:proofErr w:type="spellStart"/>
      <w:r>
        <w:rPr>
          <w:b/>
        </w:rPr>
        <w:t>Keiran</w:t>
      </w:r>
      <w:proofErr w:type="spellEnd"/>
      <w:r>
        <w:rPr>
          <w:b/>
        </w:rPr>
        <w:t xml:space="preserve">, M. &amp; Allen, E. </w:t>
      </w:r>
      <w:r w:rsidRPr="00186C04">
        <w:t xml:space="preserve">2011. </w:t>
      </w:r>
      <w:r w:rsidR="00186C04">
        <w:rPr>
          <w:i/>
        </w:rPr>
        <w:t>Keeping p</w:t>
      </w:r>
      <w:r w:rsidRPr="00186C04">
        <w:rPr>
          <w:i/>
        </w:rPr>
        <w:t xml:space="preserve">ests from </w:t>
      </w:r>
      <w:r w:rsidR="00186C04">
        <w:rPr>
          <w:i/>
        </w:rPr>
        <w:t>m</w:t>
      </w:r>
      <w:r w:rsidRPr="00186C04">
        <w:rPr>
          <w:i/>
        </w:rPr>
        <w:t xml:space="preserve">oving around the </w:t>
      </w:r>
      <w:r w:rsidR="00186C04">
        <w:rPr>
          <w:i/>
        </w:rPr>
        <w:t>w</w:t>
      </w:r>
      <w:r w:rsidRPr="00186C04">
        <w:rPr>
          <w:i/>
        </w:rPr>
        <w:t>orld</w:t>
      </w:r>
      <w:r w:rsidR="00186C04">
        <w:t>, (a</w:t>
      </w:r>
      <w:r w:rsidRPr="00186C04">
        <w:t xml:space="preserve">vailable </w:t>
      </w:r>
      <w:r w:rsidR="00186C04">
        <w:t>at</w:t>
      </w:r>
      <w:r w:rsidRPr="00186C04">
        <w:t xml:space="preserve"> </w:t>
      </w:r>
      <w:hyperlink r:id="rId22" w:history="1">
        <w:r w:rsidR="00186C04" w:rsidRPr="00B70D30">
          <w:rPr>
            <w:rStyle w:val="Hyperlink"/>
          </w:rPr>
          <w:t>http://www.fao.org/docrep/007/y5507e/y5507e09.htm</w:t>
        </w:r>
      </w:hyperlink>
      <w:r w:rsidR="00186C04">
        <w:t>, accessed 01.08.11)</w:t>
      </w:r>
      <w:r w:rsidRPr="00186C04">
        <w:t>.</w:t>
      </w:r>
    </w:p>
    <w:p w:rsidR="009A23B6" w:rsidRPr="009A23B6" w:rsidRDefault="009A23B6" w:rsidP="00B222DA">
      <w:proofErr w:type="spellStart"/>
      <w:r w:rsidRPr="00E44001">
        <w:rPr>
          <w:b/>
        </w:rPr>
        <w:t>Landolt</w:t>
      </w:r>
      <w:proofErr w:type="spellEnd"/>
      <w:r w:rsidRPr="00E44001">
        <w:rPr>
          <w:b/>
        </w:rPr>
        <w:t>, P. J., Chambers, D. L. &amp; Chew, V.</w:t>
      </w:r>
      <w:r w:rsidR="00E44001">
        <w:t xml:space="preserve"> 1984.</w:t>
      </w:r>
      <w:r w:rsidRPr="009A23B6">
        <w:t xml:space="preserve"> Alternative to th</w:t>
      </w:r>
      <w:r w:rsidR="00E44001">
        <w:t xml:space="preserve">e use of </w:t>
      </w:r>
      <w:proofErr w:type="spellStart"/>
      <w:r w:rsidR="00E44001">
        <w:t>probit</w:t>
      </w:r>
      <w:proofErr w:type="spellEnd"/>
      <w:r w:rsidR="00E44001">
        <w:t xml:space="preserve"> 9 mortality as a criterion for quarantine treatments of fruit f</w:t>
      </w:r>
      <w:r w:rsidRPr="009A23B6">
        <w:t>ly (</w:t>
      </w:r>
      <w:proofErr w:type="spellStart"/>
      <w:r w:rsidR="00E44001">
        <w:t>Diptera</w:t>
      </w:r>
      <w:proofErr w:type="spellEnd"/>
      <w:r w:rsidR="00E44001">
        <w:t xml:space="preserve">: </w:t>
      </w:r>
      <w:proofErr w:type="spellStart"/>
      <w:r w:rsidR="00E44001">
        <w:t>Tephritidae</w:t>
      </w:r>
      <w:proofErr w:type="spellEnd"/>
      <w:r w:rsidR="00E44001">
        <w:t>)-Infested f</w:t>
      </w:r>
      <w:r w:rsidRPr="009A23B6">
        <w:t xml:space="preserve">ruit. </w:t>
      </w:r>
      <w:r w:rsidRPr="009A23B6">
        <w:rPr>
          <w:i/>
          <w:iCs/>
        </w:rPr>
        <w:t xml:space="preserve">Journal of Economic Entomology, </w:t>
      </w:r>
      <w:r w:rsidRPr="009A23B6">
        <w:t xml:space="preserve">77 (2), 286. </w:t>
      </w:r>
    </w:p>
    <w:p w:rsidR="009A23B6" w:rsidRPr="009A23B6" w:rsidRDefault="009A23B6" w:rsidP="009A23B6">
      <w:r w:rsidRPr="00E44001">
        <w:rPr>
          <w:b/>
        </w:rPr>
        <w:t>Linder, B. &amp; McLeod, P.</w:t>
      </w:r>
      <w:r w:rsidR="00E44001">
        <w:t xml:space="preserve"> </w:t>
      </w:r>
      <w:r w:rsidRPr="009A23B6">
        <w:t>2008</w:t>
      </w:r>
      <w:r w:rsidR="00E44001">
        <w:t xml:space="preserve">. </w:t>
      </w:r>
      <w:r w:rsidR="00E44001">
        <w:rPr>
          <w:i/>
          <w:iCs/>
        </w:rPr>
        <w:t xml:space="preserve">A Review </w:t>
      </w:r>
      <w:r w:rsidRPr="009A23B6">
        <w:rPr>
          <w:i/>
          <w:iCs/>
        </w:rPr>
        <w:t xml:space="preserve">and Impact Assessment of ACIAR's Fruit-Fly Research Partnerships, 1984-2007. </w:t>
      </w:r>
      <w:r w:rsidRPr="009A23B6">
        <w:t xml:space="preserve">Canberra, Australia, Australian Centre for International Agricultural Research. Report number: Impact Assessment Series Report, No 56. </w:t>
      </w:r>
    </w:p>
    <w:p w:rsidR="00E263BC" w:rsidRPr="00E263BC" w:rsidRDefault="00E263BC" w:rsidP="009A23B6">
      <w:r>
        <w:rPr>
          <w:b/>
        </w:rPr>
        <w:t xml:space="preserve">Mehta, R. &amp; George, J. </w:t>
      </w:r>
      <w:r w:rsidRPr="00E263BC">
        <w:t>2004.</w:t>
      </w:r>
      <w:r>
        <w:t xml:space="preserve"> SPS measures and non-tariff barriers: p</w:t>
      </w:r>
      <w:r w:rsidRPr="00E263BC">
        <w:t>erspectives o</w:t>
      </w:r>
      <w:r>
        <w:t>f small holder livestock producers in developing c</w:t>
      </w:r>
      <w:r w:rsidRPr="00E263BC">
        <w:t xml:space="preserve">ountries. </w:t>
      </w:r>
      <w:r w:rsidRPr="00E263BC">
        <w:rPr>
          <w:i/>
        </w:rPr>
        <w:t>Livestock and Livelihoods (FAO),</w:t>
      </w:r>
      <w:r>
        <w:t xml:space="preserve"> (a</w:t>
      </w:r>
      <w:r w:rsidRPr="00E263BC">
        <w:t xml:space="preserve">vailable </w:t>
      </w:r>
      <w:r>
        <w:t>at</w:t>
      </w:r>
      <w:r w:rsidRPr="00E263BC">
        <w:t xml:space="preserve"> </w:t>
      </w:r>
      <w:hyperlink r:id="rId23" w:history="1">
        <w:r w:rsidRPr="00E263BC">
          <w:rPr>
            <w:rStyle w:val="Hyperlink"/>
          </w:rPr>
          <w:t>http://www.fao.org/ag/againfo/programmes/en/pplpi/docarc/LL24.pdf</w:t>
        </w:r>
      </w:hyperlink>
      <w:r>
        <w:t>, accessed</w:t>
      </w:r>
      <w:r w:rsidRPr="00E263BC">
        <w:t xml:space="preserve"> 06.09.11</w:t>
      </w:r>
      <w:r>
        <w:t>).</w:t>
      </w:r>
    </w:p>
    <w:p w:rsidR="009A23B6" w:rsidRPr="009A23B6" w:rsidRDefault="009A23B6" w:rsidP="009A23B6">
      <w:r w:rsidRPr="00987C74">
        <w:rPr>
          <w:b/>
        </w:rPr>
        <w:t>Merriam, S. B.</w:t>
      </w:r>
      <w:r w:rsidR="00987C74">
        <w:t xml:space="preserve"> 1985. The c</w:t>
      </w:r>
      <w:r w:rsidRPr="009A23B6">
        <w:t xml:space="preserve">ase </w:t>
      </w:r>
      <w:r w:rsidR="00987C74">
        <w:t>s</w:t>
      </w:r>
      <w:r w:rsidRPr="009A23B6">
        <w:t xml:space="preserve">tudy in </w:t>
      </w:r>
      <w:r w:rsidR="00987C74">
        <w:t>e</w:t>
      </w:r>
      <w:r w:rsidRPr="009A23B6">
        <w:t xml:space="preserve">ducational </w:t>
      </w:r>
      <w:r w:rsidR="00987C74">
        <w:t>r</w:t>
      </w:r>
      <w:r w:rsidRPr="009A23B6">
        <w:t xml:space="preserve">esearch: </w:t>
      </w:r>
      <w:r w:rsidR="00987C74">
        <w:t>a r</w:t>
      </w:r>
      <w:r w:rsidRPr="009A23B6">
        <w:t xml:space="preserve">eview of </w:t>
      </w:r>
      <w:r w:rsidR="00987C74">
        <w:t>s</w:t>
      </w:r>
      <w:r w:rsidRPr="009A23B6">
        <w:t xml:space="preserve">elected </w:t>
      </w:r>
      <w:r w:rsidR="00987C74">
        <w:t>l</w:t>
      </w:r>
      <w:r w:rsidRPr="009A23B6">
        <w:t xml:space="preserve">iterature. </w:t>
      </w:r>
      <w:r w:rsidRPr="009A23B6">
        <w:rPr>
          <w:i/>
          <w:iCs/>
        </w:rPr>
        <w:t xml:space="preserve">Journal of Educational Thought, </w:t>
      </w:r>
      <w:r w:rsidRPr="009A23B6">
        <w:t xml:space="preserve">19 (3), 204. </w:t>
      </w:r>
    </w:p>
    <w:p w:rsidR="00E263BC" w:rsidRPr="00E263BC" w:rsidRDefault="00E263BC" w:rsidP="00E263BC">
      <w:r>
        <w:rPr>
          <w:b/>
        </w:rPr>
        <w:t xml:space="preserve">Mumford, </w:t>
      </w:r>
      <w:r w:rsidRPr="00E263BC">
        <w:rPr>
          <w:b/>
        </w:rPr>
        <w:t>J.</w:t>
      </w:r>
      <w:r w:rsidRPr="00E263BC">
        <w:t xml:space="preserve"> 2010. </w:t>
      </w:r>
      <w:r w:rsidRPr="00E263BC">
        <w:rPr>
          <w:i/>
        </w:rPr>
        <w:t xml:space="preserve">Lecture on 'Risk' for the </w:t>
      </w:r>
      <w:r>
        <w:rPr>
          <w:i/>
        </w:rPr>
        <w:t>MSc environmental technology c</w:t>
      </w:r>
      <w:r w:rsidRPr="00E263BC">
        <w:rPr>
          <w:i/>
        </w:rPr>
        <w:t xml:space="preserve">ore </w:t>
      </w:r>
      <w:r>
        <w:rPr>
          <w:i/>
        </w:rPr>
        <w:t>c</w:t>
      </w:r>
      <w:r w:rsidRPr="00E263BC">
        <w:rPr>
          <w:i/>
        </w:rPr>
        <w:t xml:space="preserve">ourse. </w:t>
      </w:r>
      <w:r w:rsidRPr="00E263BC">
        <w:t>CEP, London</w:t>
      </w:r>
      <w:r>
        <w:t>,</w:t>
      </w:r>
      <w:r w:rsidRPr="00E263BC">
        <w:t xml:space="preserve"> Imperial College</w:t>
      </w:r>
      <w:r>
        <w:t xml:space="preserve"> of London</w:t>
      </w:r>
      <w:r w:rsidRPr="00E263BC">
        <w:t>.</w:t>
      </w:r>
    </w:p>
    <w:p w:rsidR="00E263BC" w:rsidRDefault="00E263BC" w:rsidP="00E263BC">
      <w:pPr>
        <w:rPr>
          <w:b/>
        </w:rPr>
      </w:pPr>
      <w:r>
        <w:rPr>
          <w:b/>
        </w:rPr>
        <w:t xml:space="preserve">NAPPO. </w:t>
      </w:r>
      <w:r w:rsidRPr="00E263BC">
        <w:t xml:space="preserve">2005. </w:t>
      </w:r>
      <w:r w:rsidRPr="00E263BC">
        <w:rPr>
          <w:i/>
        </w:rPr>
        <w:t xml:space="preserve">Integrated </w:t>
      </w:r>
      <w:r>
        <w:rPr>
          <w:i/>
        </w:rPr>
        <w:t>p</w:t>
      </w:r>
      <w:r w:rsidRPr="00E263BC">
        <w:rPr>
          <w:i/>
        </w:rPr>
        <w:t xml:space="preserve">est </w:t>
      </w:r>
      <w:r>
        <w:rPr>
          <w:i/>
        </w:rPr>
        <w:t>r</w:t>
      </w:r>
      <w:r w:rsidRPr="00E263BC">
        <w:rPr>
          <w:i/>
        </w:rPr>
        <w:t xml:space="preserve">isk </w:t>
      </w:r>
      <w:r>
        <w:rPr>
          <w:i/>
        </w:rPr>
        <w:t>m</w:t>
      </w:r>
      <w:r w:rsidRPr="00E263BC">
        <w:rPr>
          <w:i/>
        </w:rPr>
        <w:t xml:space="preserve">anagement </w:t>
      </w:r>
      <w:r>
        <w:rPr>
          <w:i/>
        </w:rPr>
        <w:t>m</w:t>
      </w:r>
      <w:r w:rsidRPr="00E263BC">
        <w:rPr>
          <w:i/>
        </w:rPr>
        <w:t xml:space="preserve">easures for the </w:t>
      </w:r>
      <w:r>
        <w:rPr>
          <w:i/>
        </w:rPr>
        <w:t>i</w:t>
      </w:r>
      <w:r w:rsidRPr="00E263BC">
        <w:rPr>
          <w:i/>
        </w:rPr>
        <w:t xml:space="preserve">mportation of </w:t>
      </w:r>
      <w:r>
        <w:rPr>
          <w:i/>
        </w:rPr>
        <w:t>p</w:t>
      </w:r>
      <w:r w:rsidRPr="00E263BC">
        <w:rPr>
          <w:i/>
        </w:rPr>
        <w:t xml:space="preserve">lants for </w:t>
      </w:r>
      <w:r>
        <w:rPr>
          <w:i/>
        </w:rPr>
        <w:t>p</w:t>
      </w:r>
      <w:r w:rsidRPr="00E263BC">
        <w:rPr>
          <w:i/>
        </w:rPr>
        <w:t xml:space="preserve">lanting into NAPPO </w:t>
      </w:r>
      <w:r>
        <w:rPr>
          <w:i/>
        </w:rPr>
        <w:t>m</w:t>
      </w:r>
      <w:r w:rsidRPr="00E263BC">
        <w:rPr>
          <w:i/>
        </w:rPr>
        <w:t xml:space="preserve">ember </w:t>
      </w:r>
      <w:r>
        <w:rPr>
          <w:i/>
        </w:rPr>
        <w:t>c</w:t>
      </w:r>
      <w:r w:rsidRPr="00E263BC">
        <w:rPr>
          <w:i/>
        </w:rPr>
        <w:t>ountries (RSPM 24).</w:t>
      </w:r>
      <w:r w:rsidRPr="00E263BC">
        <w:t xml:space="preserve"> Ontario, Canada</w:t>
      </w:r>
      <w:r>
        <w:t>,</w:t>
      </w:r>
      <w:r w:rsidRPr="00E263BC">
        <w:t xml:space="preserve"> NAPPO Secretariat.</w:t>
      </w:r>
    </w:p>
    <w:p w:rsidR="009A23B6" w:rsidRPr="009A23B6" w:rsidRDefault="009A23B6" w:rsidP="00E263BC">
      <w:r w:rsidRPr="00987C74">
        <w:rPr>
          <w:b/>
        </w:rPr>
        <w:t>National Mango Board</w:t>
      </w:r>
      <w:r w:rsidR="00987C74">
        <w:t xml:space="preserve">. </w:t>
      </w:r>
      <w:r w:rsidRPr="009A23B6">
        <w:t>200</w:t>
      </w:r>
      <w:r w:rsidR="001C3546">
        <w:t>8</w:t>
      </w:r>
      <w:r w:rsidR="00987C74">
        <w:t>.</w:t>
      </w:r>
      <w:r w:rsidRPr="009A23B6">
        <w:t xml:space="preserve"> </w:t>
      </w:r>
      <w:r w:rsidR="00987C74">
        <w:rPr>
          <w:i/>
          <w:iCs/>
        </w:rPr>
        <w:t>Irradiation plants in mango producing c</w:t>
      </w:r>
      <w:r w:rsidRPr="009A23B6">
        <w:rPr>
          <w:i/>
          <w:iCs/>
        </w:rPr>
        <w:t>ountrie</w:t>
      </w:r>
      <w:r w:rsidR="00987C74">
        <w:rPr>
          <w:i/>
          <w:iCs/>
        </w:rPr>
        <w:t>s</w:t>
      </w:r>
      <w:r w:rsidR="00987C74">
        <w:rPr>
          <w:iCs/>
        </w:rPr>
        <w:t xml:space="preserve"> (a</w:t>
      </w:r>
      <w:r w:rsidRPr="009A23B6">
        <w:t>vailable</w:t>
      </w:r>
      <w:r w:rsidR="00987C74">
        <w:t xml:space="preserve"> at</w:t>
      </w:r>
      <w:r w:rsidRPr="009A23B6">
        <w:t xml:space="preserve"> </w:t>
      </w:r>
      <w:hyperlink r:id="rId24" w:tgtFrame="_blank" w:history="1">
        <w:r w:rsidRPr="009A23B6">
          <w:rPr>
            <w:rStyle w:val="Hyperlink"/>
            <w:rFonts w:eastAsia="Calibri"/>
          </w:rPr>
          <w:t>http://www.mango.org/media/46334/irradiation%20plants%20in%20mango%20producing%20countries%20eng.pdf</w:t>
        </w:r>
      </w:hyperlink>
      <w:r w:rsidR="00987C74">
        <w:t xml:space="preserve"> , accessed 22.08.11)</w:t>
      </w:r>
      <w:r w:rsidRPr="009A23B6">
        <w:t xml:space="preserve">. </w:t>
      </w:r>
    </w:p>
    <w:p w:rsidR="009A23B6" w:rsidRPr="009A23B6" w:rsidRDefault="009A23B6" w:rsidP="009A23B6">
      <w:proofErr w:type="spellStart"/>
      <w:r w:rsidRPr="00987C74">
        <w:rPr>
          <w:b/>
        </w:rPr>
        <w:t>Neumayer</w:t>
      </w:r>
      <w:proofErr w:type="spellEnd"/>
      <w:r w:rsidRPr="00987C74">
        <w:rPr>
          <w:b/>
        </w:rPr>
        <w:t>, E.</w:t>
      </w:r>
      <w:r w:rsidR="00987C74">
        <w:t xml:space="preserve"> </w:t>
      </w:r>
      <w:r w:rsidRPr="009A23B6">
        <w:t>2001</w:t>
      </w:r>
      <w:r w:rsidR="00987C74">
        <w:t>. Chapter 7: Trade liberalization and the e</w:t>
      </w:r>
      <w:r w:rsidRPr="009A23B6">
        <w:t xml:space="preserve">nvironment. </w:t>
      </w:r>
      <w:r w:rsidRPr="009A23B6">
        <w:rPr>
          <w:i/>
          <w:iCs/>
        </w:rPr>
        <w:t xml:space="preserve">Greening Trade and Investment. </w:t>
      </w:r>
      <w:proofErr w:type="spellStart"/>
      <w:r w:rsidRPr="009A23B6">
        <w:t>Uk</w:t>
      </w:r>
      <w:proofErr w:type="spellEnd"/>
      <w:r w:rsidRPr="009A23B6">
        <w:t xml:space="preserve"> and USA, </w:t>
      </w:r>
      <w:proofErr w:type="spellStart"/>
      <w:r w:rsidRPr="009A23B6">
        <w:t>Eatthscan</w:t>
      </w:r>
      <w:proofErr w:type="spellEnd"/>
      <w:r w:rsidRPr="009A23B6">
        <w:t xml:space="preserve"> Publications Ltd, pp. 103. </w:t>
      </w:r>
    </w:p>
    <w:p w:rsidR="001C3546" w:rsidRPr="001C3546" w:rsidRDefault="001C3546" w:rsidP="001C3546">
      <w:r w:rsidRPr="001C3546">
        <w:rPr>
          <w:b/>
        </w:rPr>
        <w:lastRenderedPageBreak/>
        <w:t xml:space="preserve">Newcomer, K. &amp; </w:t>
      </w:r>
      <w:proofErr w:type="spellStart"/>
      <w:r w:rsidRPr="001C3546">
        <w:rPr>
          <w:b/>
        </w:rPr>
        <w:t>Derrik</w:t>
      </w:r>
      <w:proofErr w:type="spellEnd"/>
      <w:r w:rsidRPr="001C3546">
        <w:rPr>
          <w:b/>
        </w:rPr>
        <w:t xml:space="preserve">-Mills, T. </w:t>
      </w:r>
      <w:r w:rsidRPr="001C3546">
        <w:t xml:space="preserve">2011. </w:t>
      </w:r>
      <w:r w:rsidRPr="001C3546">
        <w:rPr>
          <w:i/>
        </w:rPr>
        <w:t>Evaluation of the USDA/APHIS United States Nursery Certification Program (USNCP).</w:t>
      </w:r>
      <w:r w:rsidRPr="001C3546">
        <w:t xml:space="preserve"> United States, Horticultural Research Institute.</w:t>
      </w:r>
    </w:p>
    <w:p w:rsidR="001C3546" w:rsidRPr="001C3546" w:rsidRDefault="001C3546" w:rsidP="001C3546">
      <w:proofErr w:type="spellStart"/>
      <w:r w:rsidRPr="001C3546">
        <w:rPr>
          <w:b/>
        </w:rPr>
        <w:t>Pawson</w:t>
      </w:r>
      <w:proofErr w:type="spellEnd"/>
      <w:r w:rsidRPr="001C3546">
        <w:rPr>
          <w:b/>
        </w:rPr>
        <w:t xml:space="preserve">, S., Watson, M. &amp; </w:t>
      </w:r>
      <w:proofErr w:type="spellStart"/>
      <w:r w:rsidRPr="001C3546">
        <w:rPr>
          <w:b/>
        </w:rPr>
        <w:t>Brin</w:t>
      </w:r>
      <w:proofErr w:type="spellEnd"/>
      <w:r w:rsidRPr="001C3546">
        <w:rPr>
          <w:b/>
        </w:rPr>
        <w:t xml:space="preserve">, A. </w:t>
      </w:r>
      <w:r w:rsidRPr="001C3546">
        <w:t>2010.</w:t>
      </w:r>
      <w:r w:rsidRPr="001C3546">
        <w:rPr>
          <w:b/>
        </w:rPr>
        <w:t xml:space="preserve"> </w:t>
      </w:r>
      <w:r>
        <w:rPr>
          <w:i/>
        </w:rPr>
        <w:t xml:space="preserve">Relative attraction of </w:t>
      </w:r>
      <w:proofErr w:type="spellStart"/>
      <w:r>
        <w:rPr>
          <w:i/>
        </w:rPr>
        <w:t>a</w:t>
      </w:r>
      <w:r w:rsidRPr="001C3546">
        <w:rPr>
          <w:i/>
        </w:rPr>
        <w:t>rhopalus</w:t>
      </w:r>
      <w:proofErr w:type="spellEnd"/>
      <w:r w:rsidRPr="001C3546">
        <w:rPr>
          <w:i/>
        </w:rPr>
        <w:t xml:space="preserve"> </w:t>
      </w:r>
      <w:proofErr w:type="spellStart"/>
      <w:r w:rsidRPr="001C3546">
        <w:rPr>
          <w:i/>
        </w:rPr>
        <w:t>ferus</w:t>
      </w:r>
      <w:proofErr w:type="spellEnd"/>
      <w:r w:rsidRPr="001C3546">
        <w:rPr>
          <w:i/>
        </w:rPr>
        <w:t xml:space="preserve"> to white light</w:t>
      </w:r>
      <w:r w:rsidRPr="001C3546">
        <w:t>. Scion.</w:t>
      </w:r>
    </w:p>
    <w:p w:rsidR="001C3546" w:rsidRPr="001C3546" w:rsidRDefault="001C3546" w:rsidP="001C3546">
      <w:r w:rsidRPr="001C3546">
        <w:rPr>
          <w:b/>
        </w:rPr>
        <w:t>Peter Meadows Consulting. 2005</w:t>
      </w:r>
      <w:r>
        <w:rPr>
          <w:b/>
        </w:rPr>
        <w:t>.</w:t>
      </w:r>
      <w:r w:rsidRPr="001C3546">
        <w:rPr>
          <w:b/>
        </w:rPr>
        <w:t xml:space="preserve"> ISPM </w:t>
      </w:r>
      <w:r>
        <w:rPr>
          <w:i/>
        </w:rPr>
        <w:t>15 and quarantine f</w:t>
      </w:r>
      <w:r w:rsidRPr="001C3546">
        <w:rPr>
          <w:i/>
        </w:rPr>
        <w:t xml:space="preserve">umigation. </w:t>
      </w:r>
      <w:r w:rsidRPr="001C3546">
        <w:t>Australia</w:t>
      </w:r>
      <w:r>
        <w:t>,</w:t>
      </w:r>
      <w:r w:rsidRPr="001C3546">
        <w:t xml:space="preserve"> P</w:t>
      </w:r>
      <w:r>
        <w:t>eter Meadows Consulting Pty Ltd</w:t>
      </w:r>
      <w:r w:rsidRPr="001C3546">
        <w:t>.</w:t>
      </w:r>
    </w:p>
    <w:p w:rsidR="001C3546" w:rsidRPr="001C3546" w:rsidRDefault="001C3546" w:rsidP="001C3546">
      <w:r w:rsidRPr="001C3546">
        <w:rPr>
          <w:b/>
        </w:rPr>
        <w:t xml:space="preserve">Quinlan, M. &amp; </w:t>
      </w:r>
      <w:proofErr w:type="spellStart"/>
      <w:r w:rsidRPr="001C3546">
        <w:rPr>
          <w:b/>
        </w:rPr>
        <w:t>I</w:t>
      </w:r>
      <w:r>
        <w:rPr>
          <w:b/>
        </w:rPr>
        <w:t>kin</w:t>
      </w:r>
      <w:proofErr w:type="spellEnd"/>
      <w:r>
        <w:rPr>
          <w:b/>
        </w:rPr>
        <w:t xml:space="preserve">, R. </w:t>
      </w:r>
      <w:r w:rsidRPr="001C3546">
        <w:t xml:space="preserve">2009. </w:t>
      </w:r>
      <w:r>
        <w:rPr>
          <w:i/>
        </w:rPr>
        <w:t>A review of the application of systems a</w:t>
      </w:r>
      <w:r w:rsidRPr="001C3546">
        <w:rPr>
          <w:i/>
        </w:rPr>
        <w:t>pproach to risk management in plant health</w:t>
      </w:r>
      <w:r w:rsidRPr="001C3546">
        <w:t>. PRATIQUE.</w:t>
      </w:r>
    </w:p>
    <w:p w:rsidR="009A23B6" w:rsidRPr="009A23B6" w:rsidRDefault="009A23B6" w:rsidP="001C3546">
      <w:proofErr w:type="spellStart"/>
      <w:r w:rsidRPr="00987C74">
        <w:rPr>
          <w:b/>
        </w:rPr>
        <w:t>ReliaSoft</w:t>
      </w:r>
      <w:proofErr w:type="spellEnd"/>
      <w:r w:rsidR="00987C74">
        <w:t xml:space="preserve">. </w:t>
      </w:r>
      <w:r w:rsidRPr="009A23B6">
        <w:t>2008</w:t>
      </w:r>
      <w:r w:rsidR="00987C74">
        <w:t>. Type I and type II errors and their a</w:t>
      </w:r>
      <w:r w:rsidRPr="009A23B6">
        <w:t xml:space="preserve">pplications. </w:t>
      </w:r>
      <w:r w:rsidRPr="009A23B6">
        <w:rPr>
          <w:i/>
          <w:iCs/>
        </w:rPr>
        <w:t xml:space="preserve">Reliability </w:t>
      </w:r>
      <w:proofErr w:type="spellStart"/>
      <w:r w:rsidRPr="009A23B6">
        <w:rPr>
          <w:i/>
          <w:iCs/>
        </w:rPr>
        <w:t>HotWire</w:t>
      </w:r>
      <w:proofErr w:type="spellEnd"/>
      <w:r w:rsidRPr="009A23B6">
        <w:rPr>
          <w:i/>
          <w:iCs/>
        </w:rPr>
        <w:t>,</w:t>
      </w:r>
      <w:r w:rsidRPr="009A23B6">
        <w:t xml:space="preserve">(88), </w:t>
      </w:r>
      <w:r w:rsidR="00987C74">
        <w:t>(a</w:t>
      </w:r>
      <w:r w:rsidRPr="009A23B6">
        <w:t xml:space="preserve">vailable </w:t>
      </w:r>
      <w:r w:rsidR="00987C74">
        <w:t xml:space="preserve">at </w:t>
      </w:r>
      <w:hyperlink r:id="rId25" w:tgtFrame="_blank" w:history="1">
        <w:r w:rsidRPr="009A23B6">
          <w:rPr>
            <w:rStyle w:val="Hyperlink"/>
            <w:rFonts w:eastAsia="Calibri"/>
          </w:rPr>
          <w:t>http://www.weibull.com/hotwire/issue88/relbasics88.htm</w:t>
        </w:r>
      </w:hyperlink>
      <w:r w:rsidR="00987C74">
        <w:t>,</w:t>
      </w:r>
      <w:r w:rsidRPr="009A23B6">
        <w:t xml:space="preserve"> </w:t>
      </w:r>
      <w:r w:rsidR="00987C74">
        <w:t>a</w:t>
      </w:r>
      <w:r w:rsidRPr="009A23B6">
        <w:t>ccessed 20/08/2011</w:t>
      </w:r>
      <w:r w:rsidR="00987C74">
        <w:t>)</w:t>
      </w:r>
      <w:r w:rsidRPr="009A23B6">
        <w:t xml:space="preserve">. </w:t>
      </w:r>
    </w:p>
    <w:p w:rsidR="009A23B6" w:rsidRPr="009A23B6" w:rsidRDefault="009A23B6" w:rsidP="009A23B6">
      <w:proofErr w:type="spellStart"/>
      <w:r w:rsidRPr="00E574FE">
        <w:rPr>
          <w:b/>
        </w:rPr>
        <w:t>Schortemeyer</w:t>
      </w:r>
      <w:proofErr w:type="spellEnd"/>
      <w:r w:rsidRPr="00E574FE">
        <w:rPr>
          <w:b/>
        </w:rPr>
        <w:t xml:space="preserve">, M., Thomas, K., </w:t>
      </w:r>
      <w:proofErr w:type="spellStart"/>
      <w:r w:rsidRPr="00E574FE">
        <w:rPr>
          <w:b/>
        </w:rPr>
        <w:t>Haack</w:t>
      </w:r>
      <w:proofErr w:type="spellEnd"/>
      <w:r w:rsidRPr="00E574FE">
        <w:rPr>
          <w:b/>
        </w:rPr>
        <w:t xml:space="preserve">, R. A., </w:t>
      </w:r>
      <w:proofErr w:type="spellStart"/>
      <w:r w:rsidRPr="00E574FE">
        <w:rPr>
          <w:b/>
        </w:rPr>
        <w:t>Uzunovic</w:t>
      </w:r>
      <w:proofErr w:type="spellEnd"/>
      <w:r w:rsidRPr="00E574FE">
        <w:rPr>
          <w:b/>
        </w:rPr>
        <w:t xml:space="preserve">, A., Hoover, K., Simpson, J. A. &amp; </w:t>
      </w:r>
      <w:proofErr w:type="spellStart"/>
      <w:r w:rsidRPr="00E574FE">
        <w:rPr>
          <w:b/>
        </w:rPr>
        <w:t>Grgurinovic</w:t>
      </w:r>
      <w:proofErr w:type="spellEnd"/>
      <w:r w:rsidRPr="00E574FE">
        <w:rPr>
          <w:b/>
        </w:rPr>
        <w:t xml:space="preserve">, C. A. </w:t>
      </w:r>
      <w:r w:rsidRPr="009A23B6">
        <w:t>2011</w:t>
      </w:r>
      <w:r w:rsidR="00E574FE">
        <w:t>. Appropriateness of probit-9 in the development of quarantine treatments for timber and timber c</w:t>
      </w:r>
      <w:r w:rsidRPr="009A23B6">
        <w:t xml:space="preserve">ommodities. </w:t>
      </w:r>
      <w:r w:rsidRPr="009A23B6">
        <w:rPr>
          <w:i/>
          <w:iCs/>
        </w:rPr>
        <w:t xml:space="preserve">Journal of Economic Entomology, </w:t>
      </w:r>
      <w:r w:rsidRPr="009A23B6">
        <w:t xml:space="preserve">104 (3), 717. </w:t>
      </w:r>
    </w:p>
    <w:p w:rsidR="00983542" w:rsidRPr="00983542" w:rsidRDefault="00983542" w:rsidP="00983542">
      <w:proofErr w:type="spellStart"/>
      <w:r>
        <w:rPr>
          <w:b/>
        </w:rPr>
        <w:t>Sgrillo</w:t>
      </w:r>
      <w:proofErr w:type="spellEnd"/>
      <w:r>
        <w:rPr>
          <w:b/>
        </w:rPr>
        <w:t xml:space="preserve">, R. </w:t>
      </w:r>
      <w:r w:rsidRPr="00983542">
        <w:t>2002.</w:t>
      </w:r>
      <w:r>
        <w:t xml:space="preserve"> </w:t>
      </w:r>
      <w:r w:rsidRPr="00983542">
        <w:rPr>
          <w:i/>
        </w:rPr>
        <w:t>Efficacy and equivalence of phytosanitary measures</w:t>
      </w:r>
      <w:r w:rsidRPr="00983542">
        <w:t>. A discussion and reference paper prepared fo</w:t>
      </w:r>
      <w:r>
        <w:t>r the IPPC working g</w:t>
      </w:r>
      <w:r w:rsidRPr="00983542">
        <w:t xml:space="preserve">roup on the </w:t>
      </w:r>
      <w:r>
        <w:t>e</w:t>
      </w:r>
      <w:r w:rsidRPr="00983542">
        <w:t>fficacy o</w:t>
      </w:r>
      <w:r>
        <w:t>f phytosanitary measures, Wye, I</w:t>
      </w:r>
      <w:r w:rsidRPr="00983542">
        <w:t>mperial College</w:t>
      </w:r>
      <w:r>
        <w:t xml:space="preserve"> of London</w:t>
      </w:r>
      <w:r w:rsidRPr="00983542">
        <w:t>, UK, 2-4 July 2002. 14pp</w:t>
      </w:r>
      <w:r>
        <w:t>.</w:t>
      </w:r>
    </w:p>
    <w:p w:rsidR="009A23B6" w:rsidRPr="009A23B6" w:rsidRDefault="009A23B6" w:rsidP="00983542">
      <w:r w:rsidRPr="00E574FE">
        <w:rPr>
          <w:b/>
        </w:rPr>
        <w:t>UNEP.</w:t>
      </w:r>
      <w:r w:rsidR="00E574FE">
        <w:t xml:space="preserve"> </w:t>
      </w:r>
      <w:r w:rsidRPr="009A23B6">
        <w:t>2007</w:t>
      </w:r>
      <w:r w:rsidR="00E574FE">
        <w:t>.</w:t>
      </w:r>
      <w:r w:rsidRPr="009A23B6">
        <w:t xml:space="preserve"> </w:t>
      </w:r>
      <w:r w:rsidR="008D7102">
        <w:rPr>
          <w:i/>
          <w:iCs/>
        </w:rPr>
        <w:t xml:space="preserve">Methyl Bromide: quarantine and </w:t>
      </w:r>
      <w:proofErr w:type="spellStart"/>
      <w:r w:rsidR="008D7102">
        <w:rPr>
          <w:i/>
          <w:iCs/>
        </w:rPr>
        <w:t>preshipment</w:t>
      </w:r>
      <w:proofErr w:type="spellEnd"/>
      <w:r w:rsidR="008D7102">
        <w:rPr>
          <w:i/>
          <w:iCs/>
        </w:rPr>
        <w:t xml:space="preserve"> u</w:t>
      </w:r>
      <w:r w:rsidRPr="009A23B6">
        <w:rPr>
          <w:i/>
          <w:iCs/>
        </w:rPr>
        <w:t xml:space="preserve">se. </w:t>
      </w:r>
      <w:r w:rsidRPr="009A23B6">
        <w:t xml:space="preserve">Nairobi, United Nations Office at Nairobi (UNON), Publishing Services Section. Report number: EP 2007-62976. </w:t>
      </w:r>
    </w:p>
    <w:p w:rsidR="009A23B6" w:rsidRPr="009A23B6" w:rsidRDefault="008D7102" w:rsidP="009A23B6">
      <w:r>
        <w:rPr>
          <w:b/>
        </w:rPr>
        <w:t>USDA</w:t>
      </w:r>
      <w:r w:rsidR="009A23B6" w:rsidRPr="008D7102">
        <w:rPr>
          <w:b/>
        </w:rPr>
        <w:t>.</w:t>
      </w:r>
      <w:r>
        <w:t xml:space="preserve"> </w:t>
      </w:r>
      <w:r w:rsidR="009A23B6" w:rsidRPr="009A23B6">
        <w:t>1997</w:t>
      </w:r>
      <w:r>
        <w:t>.</w:t>
      </w:r>
      <w:r w:rsidR="009A23B6" w:rsidRPr="009A23B6">
        <w:t xml:space="preserve"> </w:t>
      </w:r>
      <w:r>
        <w:rPr>
          <w:i/>
          <w:iCs/>
        </w:rPr>
        <w:t>Alternatives for quarantine s</w:t>
      </w:r>
      <w:r w:rsidR="009A23B6" w:rsidRPr="009A23B6">
        <w:rPr>
          <w:i/>
          <w:iCs/>
        </w:rPr>
        <w:t>ecurity</w:t>
      </w:r>
      <w:r>
        <w:rPr>
          <w:i/>
          <w:iCs/>
        </w:rPr>
        <w:t>.</w:t>
      </w:r>
      <w:r w:rsidR="00107CF0">
        <w:rPr>
          <w:i/>
          <w:iCs/>
        </w:rPr>
        <w:t xml:space="preserve"> </w:t>
      </w:r>
      <w:r w:rsidRPr="008D7102">
        <w:t>United States Department of Agriculture</w:t>
      </w:r>
      <w:r w:rsidR="00107CF0">
        <w:t>, Washington DC,</w:t>
      </w:r>
      <w:r w:rsidRPr="008D7102">
        <w:t xml:space="preserve"> </w:t>
      </w:r>
      <w:r>
        <w:t>(a</w:t>
      </w:r>
      <w:r w:rsidR="009A23B6" w:rsidRPr="009A23B6">
        <w:t xml:space="preserve">vailable </w:t>
      </w:r>
      <w:r>
        <w:t>at</w:t>
      </w:r>
      <w:r w:rsidR="009A23B6" w:rsidRPr="009A23B6">
        <w:t xml:space="preserve"> </w:t>
      </w:r>
      <w:hyperlink r:id="rId26" w:tgtFrame="_blank" w:history="1">
        <w:r w:rsidR="009A23B6" w:rsidRPr="009A23B6">
          <w:rPr>
            <w:rStyle w:val="Hyperlink"/>
            <w:rFonts w:eastAsia="Calibri"/>
          </w:rPr>
          <w:t>http://www.ars.usda.gov/is/np/mba/jan97/secure.htm</w:t>
        </w:r>
      </w:hyperlink>
      <w:r>
        <w:t>, a</w:t>
      </w:r>
      <w:r w:rsidR="009A23B6" w:rsidRPr="009A23B6">
        <w:t>ccessed 21.08.11</w:t>
      </w:r>
      <w:r>
        <w:t>)</w:t>
      </w:r>
      <w:r w:rsidR="009A23B6" w:rsidRPr="009A23B6">
        <w:t xml:space="preserve">. </w:t>
      </w:r>
    </w:p>
    <w:p w:rsidR="009A23B6" w:rsidRPr="009A23B6" w:rsidRDefault="009A23B6" w:rsidP="009A23B6">
      <w:r w:rsidRPr="008D7102">
        <w:rPr>
          <w:b/>
        </w:rPr>
        <w:t>UN-OHRLLS.</w:t>
      </w:r>
      <w:r w:rsidR="008D7102">
        <w:t xml:space="preserve"> </w:t>
      </w:r>
      <w:r w:rsidRPr="009A23B6">
        <w:t>2009</w:t>
      </w:r>
      <w:r w:rsidR="008D7102">
        <w:t>.</w:t>
      </w:r>
      <w:r w:rsidRPr="009A23B6">
        <w:t xml:space="preserve"> </w:t>
      </w:r>
      <w:r w:rsidR="008D7102">
        <w:rPr>
          <w:i/>
          <w:iCs/>
        </w:rPr>
        <w:t>The least developed countries: things to KNOW, t</w:t>
      </w:r>
      <w:r w:rsidRPr="009A23B6">
        <w:rPr>
          <w:i/>
          <w:iCs/>
        </w:rPr>
        <w:t xml:space="preserve">hings to DO. </w:t>
      </w:r>
      <w:r w:rsidRPr="009A23B6">
        <w:t xml:space="preserve">UN-OHRLLS. </w:t>
      </w:r>
    </w:p>
    <w:p w:rsidR="00C367B8" w:rsidRPr="00C367B8" w:rsidRDefault="00C367B8" w:rsidP="00C367B8">
      <w:pPr>
        <w:rPr>
          <w:b/>
        </w:rPr>
      </w:pPr>
      <w:proofErr w:type="spellStart"/>
      <w:r w:rsidRPr="00C367B8">
        <w:rPr>
          <w:b/>
        </w:rPr>
        <w:t>Vergano</w:t>
      </w:r>
      <w:proofErr w:type="spellEnd"/>
      <w:r w:rsidRPr="00C367B8">
        <w:rPr>
          <w:b/>
        </w:rPr>
        <w:t xml:space="preserve">, P. </w:t>
      </w:r>
      <w:r w:rsidRPr="00C367B8">
        <w:t xml:space="preserve">2003. </w:t>
      </w:r>
      <w:r w:rsidRPr="00C367B8">
        <w:rPr>
          <w:i/>
        </w:rPr>
        <w:t xml:space="preserve">Study on </w:t>
      </w:r>
      <w:r>
        <w:rPr>
          <w:i/>
        </w:rPr>
        <w:t>r</w:t>
      </w:r>
      <w:r w:rsidRPr="00C367B8">
        <w:rPr>
          <w:i/>
        </w:rPr>
        <w:t xml:space="preserve">elevant WTO </w:t>
      </w:r>
      <w:r>
        <w:rPr>
          <w:i/>
        </w:rPr>
        <w:t>r</w:t>
      </w:r>
      <w:r w:rsidRPr="00C367B8">
        <w:rPr>
          <w:i/>
        </w:rPr>
        <w:t xml:space="preserve">ules on </w:t>
      </w:r>
      <w:r>
        <w:rPr>
          <w:i/>
        </w:rPr>
        <w:t>e</w:t>
      </w:r>
      <w:r w:rsidRPr="00C367B8">
        <w:rPr>
          <w:i/>
        </w:rPr>
        <w:t xml:space="preserve">quivalency and </w:t>
      </w:r>
      <w:r>
        <w:rPr>
          <w:i/>
        </w:rPr>
        <w:t>m</w:t>
      </w:r>
      <w:r w:rsidRPr="00C367B8">
        <w:rPr>
          <w:i/>
        </w:rPr>
        <w:t xml:space="preserve">utual </w:t>
      </w:r>
      <w:r>
        <w:rPr>
          <w:i/>
        </w:rPr>
        <w:t>r</w:t>
      </w:r>
      <w:r w:rsidRPr="00C367B8">
        <w:rPr>
          <w:i/>
        </w:rPr>
        <w:t xml:space="preserve">ecognition and </w:t>
      </w:r>
      <w:r>
        <w:rPr>
          <w:i/>
        </w:rPr>
        <w:t>e</w:t>
      </w:r>
      <w:r w:rsidRPr="00C367B8">
        <w:rPr>
          <w:i/>
        </w:rPr>
        <w:t xml:space="preserve">xisting </w:t>
      </w:r>
      <w:r>
        <w:rPr>
          <w:i/>
        </w:rPr>
        <w:t>b</w:t>
      </w:r>
      <w:r w:rsidRPr="00C367B8">
        <w:rPr>
          <w:i/>
        </w:rPr>
        <w:t xml:space="preserve">ilateral </w:t>
      </w:r>
      <w:r>
        <w:rPr>
          <w:i/>
        </w:rPr>
        <w:t>a</w:t>
      </w:r>
      <w:r w:rsidRPr="00C367B8">
        <w:rPr>
          <w:i/>
        </w:rPr>
        <w:t xml:space="preserve">greements </w:t>
      </w:r>
      <w:r>
        <w:rPr>
          <w:i/>
        </w:rPr>
        <w:t>b</w:t>
      </w:r>
      <w:r w:rsidRPr="00C367B8">
        <w:rPr>
          <w:i/>
        </w:rPr>
        <w:t xml:space="preserve">etween WTO </w:t>
      </w:r>
      <w:r>
        <w:rPr>
          <w:i/>
        </w:rPr>
        <w:t>m</w:t>
      </w:r>
      <w:r w:rsidRPr="00C367B8">
        <w:rPr>
          <w:i/>
        </w:rPr>
        <w:t xml:space="preserve">ember </w:t>
      </w:r>
      <w:r>
        <w:rPr>
          <w:i/>
        </w:rPr>
        <w:t>c</w:t>
      </w:r>
      <w:r w:rsidRPr="00C367B8">
        <w:rPr>
          <w:i/>
        </w:rPr>
        <w:t xml:space="preserve">ountries of </w:t>
      </w:r>
      <w:r>
        <w:rPr>
          <w:i/>
        </w:rPr>
        <w:t>i</w:t>
      </w:r>
      <w:r w:rsidRPr="00C367B8">
        <w:rPr>
          <w:i/>
        </w:rPr>
        <w:t>nterest to Vietnam: MUTRAP II, Activity AGRI-3.</w:t>
      </w:r>
      <w:r w:rsidRPr="00C367B8">
        <w:t xml:space="preserve"> Ministry of Trade in </w:t>
      </w:r>
      <w:r>
        <w:t>p</w:t>
      </w:r>
      <w:r w:rsidRPr="00C367B8">
        <w:t>artnership with the European Commission. Report number: ASIE/2003/005711.</w:t>
      </w:r>
    </w:p>
    <w:p w:rsidR="00C367B8" w:rsidRPr="00C367B8" w:rsidRDefault="00C367B8" w:rsidP="00C367B8">
      <w:proofErr w:type="spellStart"/>
      <w:r w:rsidRPr="00C367B8">
        <w:rPr>
          <w:b/>
        </w:rPr>
        <w:t>Vermeulen</w:t>
      </w:r>
      <w:proofErr w:type="spellEnd"/>
      <w:r w:rsidRPr="00C367B8">
        <w:rPr>
          <w:b/>
        </w:rPr>
        <w:t xml:space="preserve">, T. &amp; </w:t>
      </w:r>
      <w:proofErr w:type="spellStart"/>
      <w:r w:rsidRPr="00C367B8">
        <w:rPr>
          <w:b/>
        </w:rPr>
        <w:t>Kool</w:t>
      </w:r>
      <w:proofErr w:type="spellEnd"/>
      <w:r w:rsidRPr="00C367B8">
        <w:rPr>
          <w:b/>
        </w:rPr>
        <w:t xml:space="preserve">, A. </w:t>
      </w:r>
      <w:r w:rsidRPr="00C367B8">
        <w:t xml:space="preserve">2006. </w:t>
      </w:r>
      <w:r w:rsidRPr="00C367B8">
        <w:rPr>
          <w:i/>
        </w:rPr>
        <w:t>Phase out of Methyl Bromide as ISPM 15-treatment</w:t>
      </w:r>
      <w:r w:rsidRPr="00C367B8">
        <w:t>. The Netherlands, CLM Research and Advice Plc. Report number: CLM 625.</w:t>
      </w:r>
    </w:p>
    <w:p w:rsidR="00C367B8" w:rsidRPr="00C367B8" w:rsidRDefault="00C367B8" w:rsidP="00C367B8">
      <w:proofErr w:type="spellStart"/>
      <w:r>
        <w:rPr>
          <w:b/>
        </w:rPr>
        <w:t>Villalaz</w:t>
      </w:r>
      <w:proofErr w:type="spellEnd"/>
      <w:r>
        <w:rPr>
          <w:b/>
        </w:rPr>
        <w:t xml:space="preserve">, A. </w:t>
      </w:r>
      <w:r w:rsidRPr="00C367B8">
        <w:t xml:space="preserve">2010. </w:t>
      </w:r>
      <w:r w:rsidRPr="00C367B8">
        <w:rPr>
          <w:i/>
        </w:rPr>
        <w:t xml:space="preserve">Food and </w:t>
      </w:r>
      <w:r w:rsidR="005D41F9">
        <w:rPr>
          <w:i/>
        </w:rPr>
        <w:t>a</w:t>
      </w:r>
      <w:r w:rsidRPr="00C367B8">
        <w:rPr>
          <w:i/>
        </w:rPr>
        <w:t xml:space="preserve">gricultural </w:t>
      </w:r>
      <w:r w:rsidR="005D41F9">
        <w:rPr>
          <w:i/>
        </w:rPr>
        <w:t>i</w:t>
      </w:r>
      <w:r w:rsidRPr="00C367B8">
        <w:rPr>
          <w:i/>
        </w:rPr>
        <w:t xml:space="preserve">mport </w:t>
      </w:r>
      <w:r w:rsidR="005D41F9">
        <w:rPr>
          <w:i/>
        </w:rPr>
        <w:t>r</w:t>
      </w:r>
      <w:r w:rsidRPr="00C367B8">
        <w:rPr>
          <w:i/>
        </w:rPr>
        <w:t xml:space="preserve">egulations and </w:t>
      </w:r>
      <w:r w:rsidR="005D41F9">
        <w:rPr>
          <w:i/>
        </w:rPr>
        <w:t>s</w:t>
      </w:r>
      <w:r w:rsidRPr="00C367B8">
        <w:rPr>
          <w:i/>
        </w:rPr>
        <w:t xml:space="preserve">tandards - </w:t>
      </w:r>
      <w:r w:rsidR="005D41F9">
        <w:rPr>
          <w:i/>
        </w:rPr>
        <w:t>n</w:t>
      </w:r>
      <w:r w:rsidRPr="00C367B8">
        <w:rPr>
          <w:i/>
        </w:rPr>
        <w:t>arrative</w:t>
      </w:r>
      <w:r w:rsidRPr="00C367B8">
        <w:t>. Unknown, Global Agricultural Information Network. Report number: PN10009.</w:t>
      </w:r>
    </w:p>
    <w:p w:rsidR="00243BA5" w:rsidRPr="00243BA5" w:rsidRDefault="00243BA5" w:rsidP="00C367B8">
      <w:r w:rsidRPr="00243BA5">
        <w:rPr>
          <w:b/>
        </w:rPr>
        <w:t xml:space="preserve">Whittle, P., Quinlan, M. &amp; Bin </w:t>
      </w:r>
      <w:proofErr w:type="spellStart"/>
      <w:r w:rsidRPr="00243BA5">
        <w:rPr>
          <w:b/>
        </w:rPr>
        <w:t>Tahir</w:t>
      </w:r>
      <w:proofErr w:type="spellEnd"/>
      <w:r w:rsidRPr="00243BA5">
        <w:rPr>
          <w:b/>
        </w:rPr>
        <w:t>, H.</w:t>
      </w:r>
      <w:r>
        <w:t xml:space="preserve"> 2010</w:t>
      </w:r>
      <w:r w:rsidRPr="00243BA5">
        <w:t xml:space="preserve">. </w:t>
      </w:r>
      <w:r w:rsidRPr="00243BA5">
        <w:rPr>
          <w:i/>
          <w:iCs/>
        </w:rPr>
        <w:t>Beyond Compliance: Report on workshop for STDF Project Preparation Grant 328. Developing trade opportunities: an integrated systems approach for pest risk management</w:t>
      </w:r>
      <w:r w:rsidRPr="00243BA5">
        <w:t xml:space="preserve">. Report of workshop held in Kuala Lumpur, 16-19 August, 2010. </w:t>
      </w:r>
    </w:p>
    <w:p w:rsidR="00F11AC6" w:rsidRPr="00F11AC6" w:rsidRDefault="00F11AC6" w:rsidP="00F11AC6">
      <w:r>
        <w:rPr>
          <w:b/>
        </w:rPr>
        <w:t xml:space="preserve">WTO. </w:t>
      </w:r>
      <w:r w:rsidRPr="00F11AC6">
        <w:t xml:space="preserve">1994. </w:t>
      </w:r>
      <w:r w:rsidRPr="00F11AC6">
        <w:rPr>
          <w:i/>
        </w:rPr>
        <w:t xml:space="preserve">General </w:t>
      </w:r>
      <w:r>
        <w:rPr>
          <w:i/>
        </w:rPr>
        <w:t>a</w:t>
      </w:r>
      <w:r w:rsidRPr="00F11AC6">
        <w:rPr>
          <w:i/>
        </w:rPr>
        <w:t xml:space="preserve">greement on </w:t>
      </w:r>
      <w:r>
        <w:rPr>
          <w:i/>
        </w:rPr>
        <w:t>t</w:t>
      </w:r>
      <w:r w:rsidRPr="00F11AC6">
        <w:rPr>
          <w:i/>
        </w:rPr>
        <w:t xml:space="preserve">ariffs and </w:t>
      </w:r>
      <w:r>
        <w:rPr>
          <w:i/>
        </w:rPr>
        <w:t>t</w:t>
      </w:r>
      <w:r w:rsidRPr="00F11AC6">
        <w:rPr>
          <w:i/>
        </w:rPr>
        <w:t>rade</w:t>
      </w:r>
      <w:r w:rsidRPr="00F11AC6">
        <w:t>. Geneva</w:t>
      </w:r>
      <w:r>
        <w:t>,</w:t>
      </w:r>
      <w:r w:rsidRPr="00F11AC6">
        <w:t xml:space="preserve"> </w:t>
      </w:r>
      <w:r>
        <w:rPr>
          <w:iCs/>
        </w:rPr>
        <w:t>World Trade Organisation</w:t>
      </w:r>
      <w:r w:rsidRPr="00F11AC6">
        <w:t>.</w:t>
      </w:r>
    </w:p>
    <w:p w:rsidR="00F11AC6" w:rsidRDefault="00F11AC6" w:rsidP="009A23B6">
      <w:r w:rsidRPr="00E6477B">
        <w:rPr>
          <w:b/>
        </w:rPr>
        <w:t xml:space="preserve">WTO. </w:t>
      </w:r>
      <w:r w:rsidRPr="009A23B6">
        <w:t>1995</w:t>
      </w:r>
      <w:r>
        <w:t>.</w:t>
      </w:r>
      <w:r w:rsidRPr="009A23B6">
        <w:t xml:space="preserve"> </w:t>
      </w:r>
      <w:r>
        <w:rPr>
          <w:i/>
          <w:iCs/>
        </w:rPr>
        <w:t>The WTO agreement on the a</w:t>
      </w:r>
      <w:r w:rsidRPr="009A23B6">
        <w:rPr>
          <w:i/>
          <w:iCs/>
        </w:rPr>
        <w:t xml:space="preserve">pplication of </w:t>
      </w:r>
      <w:r>
        <w:rPr>
          <w:i/>
          <w:iCs/>
        </w:rPr>
        <w:t>sanitary and phytosanitary m</w:t>
      </w:r>
      <w:r w:rsidRPr="009A23B6">
        <w:rPr>
          <w:i/>
          <w:iCs/>
        </w:rPr>
        <w:t xml:space="preserve">easures (SPS Agreement). </w:t>
      </w:r>
      <w:r w:rsidRPr="00F11AC6">
        <w:t>Geneva</w:t>
      </w:r>
      <w:r>
        <w:t>,</w:t>
      </w:r>
      <w:r w:rsidRPr="00F11AC6">
        <w:t xml:space="preserve"> WTO.</w:t>
      </w:r>
    </w:p>
    <w:p w:rsidR="00F11AC6" w:rsidRPr="00F11AC6" w:rsidRDefault="00F11AC6" w:rsidP="00F11AC6">
      <w:r w:rsidRPr="00F11AC6">
        <w:rPr>
          <w:b/>
        </w:rPr>
        <w:lastRenderedPageBreak/>
        <w:t>WTO.</w:t>
      </w:r>
      <w:r w:rsidRPr="00F11AC6">
        <w:t xml:space="preserve"> 1999. </w:t>
      </w:r>
      <w:r w:rsidRPr="00F11AC6">
        <w:rPr>
          <w:i/>
          <w:iCs/>
        </w:rPr>
        <w:t xml:space="preserve">Note by the Secretariat on the summary of the meeting held on 7-8 July 1999 (G/SPS/R/15). </w:t>
      </w:r>
      <w:r w:rsidRPr="00F11AC6">
        <w:t>Geneva, WTO.</w:t>
      </w:r>
    </w:p>
    <w:p w:rsidR="00F11AC6" w:rsidRDefault="00F11AC6" w:rsidP="009A23B6">
      <w:r w:rsidRPr="00F11AC6">
        <w:rPr>
          <w:b/>
        </w:rPr>
        <w:t xml:space="preserve">WTO. </w:t>
      </w:r>
      <w:r w:rsidRPr="00F11AC6">
        <w:t>2000</w:t>
      </w:r>
      <w:r>
        <w:t>.</w:t>
      </w:r>
      <w:r w:rsidRPr="00F11AC6">
        <w:t xml:space="preserve"> Equivalence: </w:t>
      </w:r>
      <w:r>
        <w:t>c</w:t>
      </w:r>
      <w:r w:rsidRPr="00F11AC6">
        <w:t>onsideration of Article 4 of the SPS Agreement (G/L/423). Geneva</w:t>
      </w:r>
      <w:r>
        <w:t>,</w:t>
      </w:r>
      <w:r w:rsidRPr="00F11AC6">
        <w:t xml:space="preserve"> WTO.</w:t>
      </w:r>
    </w:p>
    <w:p w:rsidR="00F11AC6" w:rsidRDefault="00F11AC6" w:rsidP="009A23B6">
      <w:pPr>
        <w:rPr>
          <w:b/>
        </w:rPr>
      </w:pPr>
      <w:r w:rsidRPr="00F11AC6">
        <w:rPr>
          <w:b/>
        </w:rPr>
        <w:t xml:space="preserve">WTO. </w:t>
      </w:r>
      <w:r w:rsidRPr="00F11AC6">
        <w:t xml:space="preserve">2010. </w:t>
      </w:r>
      <w:r w:rsidRPr="00F11AC6">
        <w:rPr>
          <w:i/>
        </w:rPr>
        <w:t>Overview regarding the level of implementation of the transparency provisions of the SPS agreement (G/SPS/GEN/804/Rev.3)</w:t>
      </w:r>
      <w:r w:rsidRPr="00F11AC6">
        <w:t>. Geneva, WTO.</w:t>
      </w:r>
    </w:p>
    <w:p w:rsidR="009A23B6" w:rsidRPr="009A23B6" w:rsidRDefault="009A23B6" w:rsidP="009A23B6">
      <w:r w:rsidRPr="008D7102">
        <w:rPr>
          <w:b/>
        </w:rPr>
        <w:t xml:space="preserve">WTO. </w:t>
      </w:r>
      <w:r w:rsidRPr="009A23B6">
        <w:t>2011a</w:t>
      </w:r>
      <w:r w:rsidR="008D7102">
        <w:t>.</w:t>
      </w:r>
      <w:r w:rsidRPr="009A23B6">
        <w:t xml:space="preserve"> </w:t>
      </w:r>
      <w:r w:rsidRPr="009A23B6">
        <w:rPr>
          <w:i/>
          <w:iCs/>
        </w:rPr>
        <w:t>Jargon Buster</w:t>
      </w:r>
      <w:r w:rsidR="00F11AC6">
        <w:rPr>
          <w:i/>
          <w:iCs/>
        </w:rPr>
        <w:t>.</w:t>
      </w:r>
      <w:r w:rsidR="008D7102">
        <w:rPr>
          <w:iCs/>
        </w:rPr>
        <w:t xml:space="preserve"> </w:t>
      </w:r>
      <w:r w:rsidR="00F11AC6" w:rsidRPr="00F11AC6">
        <w:t>Geneva</w:t>
      </w:r>
      <w:r w:rsidR="00F11AC6">
        <w:t>,</w:t>
      </w:r>
      <w:r w:rsidR="00F11AC6" w:rsidRPr="00F11AC6">
        <w:t xml:space="preserve"> WTO</w:t>
      </w:r>
      <w:r w:rsidR="003273A2">
        <w:rPr>
          <w:iCs/>
        </w:rPr>
        <w:t xml:space="preserve">, </w:t>
      </w:r>
      <w:r w:rsidR="008D7102">
        <w:rPr>
          <w:iCs/>
        </w:rPr>
        <w:t>(a</w:t>
      </w:r>
      <w:r w:rsidRPr="009A23B6">
        <w:t xml:space="preserve">vailable </w:t>
      </w:r>
      <w:r w:rsidR="008D7102">
        <w:t>at</w:t>
      </w:r>
      <w:r w:rsidRPr="009A23B6">
        <w:t xml:space="preserve"> </w:t>
      </w:r>
      <w:hyperlink r:id="rId27" w:tgtFrame="_blank" w:history="1">
        <w:r w:rsidRPr="009A23B6">
          <w:rPr>
            <w:rStyle w:val="Hyperlink"/>
            <w:rFonts w:eastAsia="Calibri"/>
          </w:rPr>
          <w:t>http://www.wto.org/english/news_e/news11_e/sps_30mar11_e.htm</w:t>
        </w:r>
      </w:hyperlink>
      <w:r w:rsidR="008D7102">
        <w:t>, accessed 16.05.11)</w:t>
      </w:r>
      <w:r w:rsidRPr="009A23B6">
        <w:t xml:space="preserve">. </w:t>
      </w:r>
    </w:p>
    <w:p w:rsidR="009A23B6" w:rsidRPr="009A23B6" w:rsidRDefault="009A23B6" w:rsidP="009A23B6">
      <w:r w:rsidRPr="008D7102">
        <w:rPr>
          <w:b/>
        </w:rPr>
        <w:t>WTO</w:t>
      </w:r>
      <w:r w:rsidR="008D7102">
        <w:t xml:space="preserve">. </w:t>
      </w:r>
      <w:r w:rsidRPr="009A23B6">
        <w:t>2011b</w:t>
      </w:r>
      <w:r w:rsidR="008D7102">
        <w:t>.</w:t>
      </w:r>
      <w:r w:rsidRPr="009A23B6">
        <w:t xml:space="preserve"> </w:t>
      </w:r>
      <w:r w:rsidR="00E6477B">
        <w:rPr>
          <w:i/>
          <w:iCs/>
        </w:rPr>
        <w:t>SPS h</w:t>
      </w:r>
      <w:r w:rsidRPr="009A23B6">
        <w:rPr>
          <w:i/>
          <w:iCs/>
        </w:rPr>
        <w:t xml:space="preserve">andbook </w:t>
      </w:r>
      <w:r w:rsidR="00E6477B">
        <w:rPr>
          <w:i/>
          <w:iCs/>
        </w:rPr>
        <w:t>training module: chapter 4</w:t>
      </w:r>
      <w:r w:rsidR="00DE27A5">
        <w:rPr>
          <w:i/>
          <w:iCs/>
        </w:rPr>
        <w:t xml:space="preserve"> –</w:t>
      </w:r>
      <w:r w:rsidR="00E6477B">
        <w:rPr>
          <w:i/>
          <w:iCs/>
        </w:rPr>
        <w:t xml:space="preserve"> Notification of e</w:t>
      </w:r>
      <w:r w:rsidRPr="009A23B6">
        <w:rPr>
          <w:i/>
          <w:iCs/>
        </w:rPr>
        <w:t>quivalence</w:t>
      </w:r>
      <w:r w:rsidR="00E6477B">
        <w:rPr>
          <w:i/>
          <w:iCs/>
        </w:rPr>
        <w:t>,</w:t>
      </w:r>
      <w:r w:rsidRPr="009A23B6">
        <w:rPr>
          <w:i/>
          <w:iCs/>
        </w:rPr>
        <w:t xml:space="preserve"> </w:t>
      </w:r>
      <w:r w:rsidR="00E6477B">
        <w:t>(a</w:t>
      </w:r>
      <w:r w:rsidRPr="009A23B6">
        <w:t xml:space="preserve">vailable </w:t>
      </w:r>
      <w:r w:rsidR="00E6477B">
        <w:t>at</w:t>
      </w:r>
      <w:r w:rsidRPr="009A23B6">
        <w:t xml:space="preserve"> </w:t>
      </w:r>
      <w:hyperlink r:id="rId28" w:tgtFrame="_blank" w:history="1">
        <w:r w:rsidRPr="009A23B6">
          <w:rPr>
            <w:rStyle w:val="Hyperlink"/>
            <w:rFonts w:eastAsia="Calibri"/>
          </w:rPr>
          <w:t>http://www.wto.org/english/tratop_e/sps_e/sps_handbook_cbt_e/c4s1p1_e.htm</w:t>
        </w:r>
      </w:hyperlink>
      <w:r w:rsidR="00E6477B">
        <w:t>,</w:t>
      </w:r>
      <w:r w:rsidRPr="009A23B6">
        <w:t xml:space="preserve"> </w:t>
      </w:r>
      <w:r w:rsidR="00E6477B">
        <w:t>accessed 16.08.11)</w:t>
      </w:r>
      <w:r w:rsidRPr="009A23B6">
        <w:t xml:space="preserve">. </w:t>
      </w:r>
    </w:p>
    <w:p w:rsidR="001C50CB" w:rsidRPr="009A23B6" w:rsidRDefault="001C50CB" w:rsidP="001C50CB">
      <w:r w:rsidRPr="00E6477B">
        <w:rPr>
          <w:b/>
        </w:rPr>
        <w:t>WTO.</w:t>
      </w:r>
      <w:r>
        <w:t xml:space="preserve"> 2011c.</w:t>
      </w:r>
      <w:r w:rsidRPr="009A23B6">
        <w:t xml:space="preserve"> </w:t>
      </w:r>
      <w:r w:rsidR="00F11AC6" w:rsidRPr="00F11AC6">
        <w:rPr>
          <w:i/>
        </w:rPr>
        <w:t>M</w:t>
      </w:r>
      <w:r>
        <w:rPr>
          <w:i/>
          <w:iCs/>
        </w:rPr>
        <w:t>illennium development goals – A global partnership</w:t>
      </w:r>
      <w:r w:rsidR="00F11AC6">
        <w:rPr>
          <w:iCs/>
        </w:rPr>
        <w:t xml:space="preserve">. </w:t>
      </w:r>
      <w:r w:rsidR="00F11AC6" w:rsidRPr="00F11AC6">
        <w:t>Geneva</w:t>
      </w:r>
      <w:r w:rsidR="00F11AC6">
        <w:t>,</w:t>
      </w:r>
      <w:r w:rsidR="00F11AC6" w:rsidRPr="00F11AC6">
        <w:t xml:space="preserve"> WTO</w:t>
      </w:r>
      <w:r w:rsidR="00F11AC6">
        <w:rPr>
          <w:iCs/>
        </w:rPr>
        <w:t xml:space="preserve">, </w:t>
      </w:r>
      <w:r>
        <w:t>(a</w:t>
      </w:r>
      <w:r w:rsidRPr="009A23B6">
        <w:t xml:space="preserve">vailable </w:t>
      </w:r>
      <w:r>
        <w:t>at</w:t>
      </w:r>
      <w:r w:rsidRPr="009A23B6">
        <w:t xml:space="preserve">  </w:t>
      </w:r>
      <w:hyperlink r:id="rId29" w:tgtFrame="_blank" w:history="1">
        <w:r w:rsidRPr="009A23B6">
          <w:rPr>
            <w:rStyle w:val="Hyperlink"/>
            <w:rFonts w:eastAsia="Calibri"/>
          </w:rPr>
          <w:t>http://www.wto.org/english/thewto_e/coher_e/mdg_e/global_partnership_e.htm</w:t>
        </w:r>
      </w:hyperlink>
      <w:r>
        <w:t>, accessed 16.05.11)</w:t>
      </w:r>
      <w:r w:rsidRPr="009A23B6">
        <w:t xml:space="preserve">. </w:t>
      </w:r>
    </w:p>
    <w:p w:rsidR="009A23B6" w:rsidRPr="009A23B6" w:rsidRDefault="009A23B6" w:rsidP="009A23B6">
      <w:r w:rsidRPr="00DE27A5">
        <w:rPr>
          <w:b/>
        </w:rPr>
        <w:t>WTO Representative</w:t>
      </w:r>
      <w:r w:rsidR="00DE27A5">
        <w:t>. Correspondence on t</w:t>
      </w:r>
      <w:r w:rsidRPr="009A23B6">
        <w:t>ransparency. (Personal communication, 2011)</w:t>
      </w:r>
      <w:r w:rsidR="00DE27A5">
        <w:t xml:space="preserve"> </w:t>
      </w:r>
      <w:r w:rsidRPr="009A23B6">
        <w:rPr>
          <w:i/>
          <w:iCs/>
        </w:rPr>
        <w:t xml:space="preserve">Email correspondence regarding transparency. </w:t>
      </w:r>
    </w:p>
    <w:p w:rsidR="009A23B6" w:rsidRPr="009A23B6" w:rsidRDefault="009A23B6" w:rsidP="009A23B6">
      <w:r w:rsidRPr="00DE27A5">
        <w:rPr>
          <w:b/>
        </w:rPr>
        <w:t>Yin, R. K.</w:t>
      </w:r>
      <w:r w:rsidR="00DE27A5">
        <w:t xml:space="preserve"> </w:t>
      </w:r>
      <w:r w:rsidRPr="009A23B6">
        <w:t>2003</w:t>
      </w:r>
      <w:r w:rsidR="00DE27A5">
        <w:t>.</w:t>
      </w:r>
      <w:r w:rsidRPr="009A23B6">
        <w:t xml:space="preserve"> </w:t>
      </w:r>
      <w:r w:rsidR="00DE27A5">
        <w:rPr>
          <w:i/>
          <w:iCs/>
        </w:rPr>
        <w:t>Case study research: design and m</w:t>
      </w:r>
      <w:r w:rsidRPr="009A23B6">
        <w:rPr>
          <w:i/>
          <w:iCs/>
        </w:rPr>
        <w:t xml:space="preserve">ethods. </w:t>
      </w:r>
      <w:r w:rsidRPr="009A23B6">
        <w:t xml:space="preserve">Applied Social Research Methods, Third Edition </w:t>
      </w:r>
      <w:proofErr w:type="spellStart"/>
      <w:r w:rsidRPr="009A23B6">
        <w:t>edition</w:t>
      </w:r>
      <w:proofErr w:type="spellEnd"/>
      <w:r w:rsidRPr="009A23B6">
        <w:t xml:space="preserve">. California, London, and New Delhi, SAGE Publications. </w:t>
      </w:r>
    </w:p>
    <w:p w:rsidR="009A23B6" w:rsidRDefault="009A23B6" w:rsidP="00862B00"/>
    <w:p w:rsidR="000D3705" w:rsidRDefault="00577561" w:rsidP="009461F0">
      <w:pPr>
        <w:pStyle w:val="Style5"/>
        <w:numPr>
          <w:ilvl w:val="0"/>
          <w:numId w:val="7"/>
        </w:numPr>
      </w:pPr>
      <w:bookmarkStart w:id="37" w:name="_Toc323132124"/>
      <w:r>
        <w:t>(</w:t>
      </w:r>
      <w:r w:rsidR="000D3705">
        <w:t>An</w:t>
      </w:r>
      <w:r>
        <w:t>nex on its use in other fields [</w:t>
      </w:r>
      <w:r w:rsidR="000D3705">
        <w:t>especially OIE and Codex</w:t>
      </w:r>
      <w:r>
        <w:t>]</w:t>
      </w:r>
      <w:r w:rsidR="000D3705">
        <w:t>, although distinct</w:t>
      </w:r>
      <w:r>
        <w:t>)</w:t>
      </w:r>
      <w:bookmarkEnd w:id="37"/>
    </w:p>
    <w:p w:rsidR="000D3705" w:rsidRPr="000D3705" w:rsidRDefault="000D3705" w:rsidP="009461F0">
      <w:pPr>
        <w:pStyle w:val="Style5"/>
        <w:numPr>
          <w:ilvl w:val="0"/>
          <w:numId w:val="7"/>
        </w:numPr>
      </w:pPr>
      <w:bookmarkStart w:id="38" w:name="_Toc323132125"/>
      <w:r>
        <w:t>Text of most relevant agreements</w:t>
      </w:r>
      <w:bookmarkEnd w:id="38"/>
    </w:p>
    <w:p w:rsidR="000D3705" w:rsidRPr="000D3705" w:rsidRDefault="000D3705" w:rsidP="000D3705"/>
    <w:p w:rsidR="003D7252" w:rsidRDefault="003D7252" w:rsidP="003D7252">
      <w:pPr>
        <w:pStyle w:val="ListParagraph"/>
        <w:numPr>
          <w:ilvl w:val="0"/>
          <w:numId w:val="8"/>
        </w:numPr>
        <w:spacing w:before="0" w:after="200"/>
      </w:pPr>
      <w:r>
        <w:t>SPS agreement – relevant article</w:t>
      </w:r>
    </w:p>
    <w:p w:rsidR="003D7252" w:rsidRDefault="003D7252" w:rsidP="003D7252">
      <w:pPr>
        <w:pStyle w:val="ListParagraph"/>
        <w:numPr>
          <w:ilvl w:val="0"/>
          <w:numId w:val="8"/>
        </w:numPr>
        <w:spacing w:before="0" w:after="200"/>
      </w:pPr>
      <w:r>
        <w:t>ISPM no. 24</w:t>
      </w:r>
    </w:p>
    <w:p w:rsidR="00BE74EE" w:rsidRDefault="003D7252" w:rsidP="003D7252">
      <w:pPr>
        <w:pStyle w:val="ListParagraph"/>
        <w:numPr>
          <w:ilvl w:val="0"/>
          <w:numId w:val="8"/>
        </w:numPr>
        <w:spacing w:before="0" w:after="200"/>
      </w:pPr>
      <w:r>
        <w:t>Forms for notification of equivalence</w:t>
      </w:r>
      <w:r w:rsidR="00BE74EE">
        <w:br w:type="page"/>
      </w:r>
    </w:p>
    <w:p w:rsidR="00BE74EE" w:rsidRDefault="00BE74EE" w:rsidP="00BE74EE">
      <w:pPr>
        <w:autoSpaceDE w:val="0"/>
        <w:autoSpaceDN w:val="0"/>
        <w:adjustRightInd w:val="0"/>
        <w:spacing w:before="0" w:after="0" w:line="240" w:lineRule="auto"/>
        <w:rPr>
          <w:rFonts w:cs="Times New Roman"/>
          <w:b/>
          <w:bCs/>
          <w:i/>
          <w:iCs/>
        </w:rPr>
      </w:pPr>
      <w:r>
        <w:rPr>
          <w:rFonts w:cs="Times New Roman"/>
          <w:b/>
          <w:bCs/>
          <w:i/>
          <w:iCs/>
        </w:rPr>
        <w:lastRenderedPageBreak/>
        <w:t>Article 4: Equivalence</w:t>
      </w:r>
    </w:p>
    <w:p w:rsidR="00BE74EE" w:rsidRDefault="00BE74EE" w:rsidP="00BE74EE">
      <w:pPr>
        <w:autoSpaceDE w:val="0"/>
        <w:autoSpaceDN w:val="0"/>
        <w:adjustRightInd w:val="0"/>
        <w:spacing w:before="0" w:after="0" w:line="240" w:lineRule="auto"/>
        <w:rPr>
          <w:rFonts w:cs="Times New Roman"/>
        </w:rPr>
      </w:pPr>
      <w:r>
        <w:rPr>
          <w:rFonts w:cs="Times New Roman"/>
        </w:rPr>
        <w:t>1. Members shall accept the sanitary or phytosanitary measures of other Members as equivalent,</w:t>
      </w:r>
    </w:p>
    <w:p w:rsidR="00BE74EE" w:rsidRDefault="00BE74EE" w:rsidP="00BE74EE">
      <w:pPr>
        <w:autoSpaceDE w:val="0"/>
        <w:autoSpaceDN w:val="0"/>
        <w:adjustRightInd w:val="0"/>
        <w:spacing w:before="0" w:after="0" w:line="240" w:lineRule="auto"/>
        <w:rPr>
          <w:rFonts w:cs="Times New Roman"/>
        </w:rPr>
      </w:pPr>
      <w:r>
        <w:rPr>
          <w:rFonts w:cs="Times New Roman"/>
        </w:rPr>
        <w:t>even if these measures differ from their own or from those used by other Members trading in the same</w:t>
      </w:r>
    </w:p>
    <w:p w:rsidR="00BE74EE" w:rsidRDefault="00BE74EE" w:rsidP="00BE74EE">
      <w:pPr>
        <w:autoSpaceDE w:val="0"/>
        <w:autoSpaceDN w:val="0"/>
        <w:adjustRightInd w:val="0"/>
        <w:spacing w:before="0" w:after="0" w:line="240" w:lineRule="auto"/>
        <w:rPr>
          <w:rFonts w:cs="Times New Roman"/>
        </w:rPr>
      </w:pPr>
      <w:r>
        <w:rPr>
          <w:rFonts w:cs="Times New Roman"/>
        </w:rPr>
        <w:t>product, if the exporting Member objectively demonstrates to the importing Member that its measures</w:t>
      </w:r>
    </w:p>
    <w:p w:rsidR="00BE74EE" w:rsidRDefault="00BE74EE" w:rsidP="00BE74EE">
      <w:pPr>
        <w:autoSpaceDE w:val="0"/>
        <w:autoSpaceDN w:val="0"/>
        <w:adjustRightInd w:val="0"/>
        <w:spacing w:before="0" w:after="0" w:line="240" w:lineRule="auto"/>
        <w:rPr>
          <w:rFonts w:cs="Times New Roman"/>
        </w:rPr>
      </w:pPr>
      <w:r>
        <w:rPr>
          <w:rFonts w:cs="Times New Roman"/>
        </w:rPr>
        <w:t>achieve the importing Member's appropriate level of sanitary or phytosanitary protection. For this</w:t>
      </w:r>
    </w:p>
    <w:p w:rsidR="00BE74EE" w:rsidRDefault="00BE74EE" w:rsidP="00BE74EE">
      <w:pPr>
        <w:autoSpaceDE w:val="0"/>
        <w:autoSpaceDN w:val="0"/>
        <w:adjustRightInd w:val="0"/>
        <w:spacing w:before="0" w:after="0" w:line="240" w:lineRule="auto"/>
        <w:rPr>
          <w:rFonts w:cs="Times New Roman"/>
        </w:rPr>
      </w:pPr>
      <w:r>
        <w:rPr>
          <w:rFonts w:cs="Times New Roman"/>
        </w:rPr>
        <w:t>purpose, reasonable access shall be given, upon request, to the importing Member for inspection, testing</w:t>
      </w:r>
    </w:p>
    <w:p w:rsidR="00BE74EE" w:rsidRDefault="00BE74EE" w:rsidP="00BE74EE">
      <w:pPr>
        <w:autoSpaceDE w:val="0"/>
        <w:autoSpaceDN w:val="0"/>
        <w:adjustRightInd w:val="0"/>
        <w:spacing w:before="0" w:after="0" w:line="240" w:lineRule="auto"/>
        <w:rPr>
          <w:rFonts w:cs="Times New Roman"/>
        </w:rPr>
      </w:pPr>
      <w:r>
        <w:rPr>
          <w:rFonts w:cs="Times New Roman"/>
        </w:rPr>
        <w:t>and other relevant procedures.</w:t>
      </w:r>
    </w:p>
    <w:p w:rsidR="00BE74EE" w:rsidRDefault="00BE74EE" w:rsidP="00BE74EE">
      <w:pPr>
        <w:autoSpaceDE w:val="0"/>
        <w:autoSpaceDN w:val="0"/>
        <w:adjustRightInd w:val="0"/>
        <w:spacing w:before="0" w:after="0" w:line="240" w:lineRule="auto"/>
        <w:rPr>
          <w:rFonts w:cs="Times New Roman"/>
        </w:rPr>
      </w:pPr>
      <w:r>
        <w:rPr>
          <w:rFonts w:cs="Times New Roman"/>
        </w:rPr>
        <w:t>2. Members shall, upon request, enter into consultations with the aim of achieving bilateral and</w:t>
      </w:r>
    </w:p>
    <w:p w:rsidR="00BE74EE" w:rsidRDefault="00BE74EE" w:rsidP="00BE74EE">
      <w:pPr>
        <w:autoSpaceDE w:val="0"/>
        <w:autoSpaceDN w:val="0"/>
        <w:adjustRightInd w:val="0"/>
        <w:spacing w:before="0" w:after="0" w:line="240" w:lineRule="auto"/>
        <w:rPr>
          <w:rFonts w:cs="Times New Roman"/>
        </w:rPr>
      </w:pPr>
      <w:r>
        <w:rPr>
          <w:rFonts w:cs="Times New Roman"/>
        </w:rPr>
        <w:t>multilateral agreements on recognition of the equivalence of specified sanitary or phytosanitary</w:t>
      </w:r>
    </w:p>
    <w:p w:rsidR="00361C0C" w:rsidRPr="00361C0C" w:rsidRDefault="00BE74EE" w:rsidP="00BE74EE">
      <w:r>
        <w:rPr>
          <w:rFonts w:cs="Times New Roman"/>
        </w:rPr>
        <w:t>measures.</w:t>
      </w:r>
    </w:p>
    <w:sectPr w:rsidR="00361C0C" w:rsidRPr="00361C0C" w:rsidSect="00AE662F">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2E" w:rsidRDefault="003D712E" w:rsidP="009A4D34">
      <w:pPr>
        <w:spacing w:after="0" w:line="240" w:lineRule="auto"/>
      </w:pPr>
      <w:r>
        <w:separator/>
      </w:r>
    </w:p>
  </w:endnote>
  <w:endnote w:type="continuationSeparator" w:id="0">
    <w:p w:rsidR="003D712E" w:rsidRDefault="003D712E" w:rsidP="009A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C" w:rsidRDefault="007B7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88711"/>
      <w:docPartObj>
        <w:docPartGallery w:val="Page Numbers (Bottom of Page)"/>
        <w:docPartUnique/>
      </w:docPartObj>
    </w:sdtPr>
    <w:sdtEndPr>
      <w:rPr>
        <w:color w:val="808080" w:themeColor="background1" w:themeShade="80"/>
        <w:spacing w:val="60"/>
      </w:rPr>
    </w:sdtEndPr>
    <w:sdtContent>
      <w:p w:rsidR="007B75FC" w:rsidRDefault="007B75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0604">
          <w:rPr>
            <w:noProof/>
          </w:rPr>
          <w:t>1</w:t>
        </w:r>
        <w:r>
          <w:rPr>
            <w:noProof/>
          </w:rPr>
          <w:fldChar w:fldCharType="end"/>
        </w:r>
        <w:r>
          <w:t xml:space="preserve"> | </w:t>
        </w:r>
        <w:r>
          <w:rPr>
            <w:color w:val="808080" w:themeColor="background1" w:themeShade="80"/>
            <w:spacing w:val="60"/>
          </w:rPr>
          <w:t>Page</w:t>
        </w:r>
      </w:p>
    </w:sdtContent>
  </w:sdt>
  <w:p w:rsidR="007B75FC" w:rsidRDefault="007B7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C" w:rsidRDefault="007B7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2E" w:rsidRDefault="003D712E" w:rsidP="009A4D34">
      <w:pPr>
        <w:spacing w:after="0" w:line="240" w:lineRule="auto"/>
      </w:pPr>
      <w:r>
        <w:separator/>
      </w:r>
    </w:p>
  </w:footnote>
  <w:footnote w:type="continuationSeparator" w:id="0">
    <w:p w:rsidR="003D712E" w:rsidRDefault="003D712E" w:rsidP="009A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C" w:rsidRDefault="007B7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7B75FC">
      <w:trPr>
        <w:trHeight w:val="288"/>
      </w:trPr>
      <w:tc>
        <w:tcPr>
          <w:tcW w:w="7765" w:type="dxa"/>
        </w:tcPr>
        <w:p w:rsidR="007B75FC" w:rsidRPr="00577561" w:rsidRDefault="003D712E" w:rsidP="00387D09">
          <w:pPr>
            <w:pStyle w:val="Header"/>
            <w:jc w:val="right"/>
            <w:rPr>
              <w:rFonts w:asciiTheme="majorHAnsi" w:eastAsiaTheme="majorEastAsia" w:hAnsiTheme="majorHAnsi" w:cstheme="majorBidi"/>
              <w:noProof/>
              <w:sz w:val="24"/>
              <w:szCs w:val="36"/>
            </w:rPr>
          </w:pPr>
          <w:sdt>
            <w:sdtPr>
              <w:id w:val="-42804749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75FC">
            <w:fldChar w:fldCharType="begin"/>
          </w:r>
          <w:r w:rsidR="007B75FC">
            <w:instrText xml:space="preserve"> FILENAME  \* Caps  \* MERGEFORMAT </w:instrText>
          </w:r>
          <w:r w:rsidR="007B75FC">
            <w:fldChar w:fldCharType="separate"/>
          </w:r>
          <w:r w:rsidR="007B75FC" w:rsidRPr="002418F0">
            <w:rPr>
              <w:rFonts w:asciiTheme="majorHAnsi" w:eastAsiaTheme="majorEastAsia" w:hAnsiTheme="majorHAnsi" w:cstheme="majorBidi"/>
              <w:noProof/>
              <w:sz w:val="24"/>
              <w:szCs w:val="36"/>
            </w:rPr>
            <w:t>Manual On Equivalence Between Pest Risk Management Measures_2012042</w:t>
          </w:r>
          <w:r w:rsidR="007B75FC">
            <w:rPr>
              <w:rFonts w:asciiTheme="majorHAnsi" w:eastAsiaTheme="majorEastAsia" w:hAnsiTheme="majorHAnsi" w:cstheme="majorBidi"/>
              <w:noProof/>
              <w:sz w:val="24"/>
              <w:szCs w:val="36"/>
            </w:rPr>
            <w:t>7</w:t>
          </w:r>
          <w:r w:rsidR="007B75FC">
            <w:rPr>
              <w:rFonts w:asciiTheme="majorHAnsi" w:eastAsiaTheme="majorEastAsia" w:hAnsiTheme="majorHAnsi" w:cstheme="majorBidi"/>
              <w:noProof/>
              <w:sz w:val="24"/>
              <w:szCs w:val="36"/>
            </w:rPr>
            <w:fldChar w:fldCharType="end"/>
          </w:r>
        </w:p>
      </w:tc>
      <w:sdt>
        <w:sdtPr>
          <w:rPr>
            <w:rFonts w:asciiTheme="majorHAnsi" w:eastAsiaTheme="majorEastAsia" w:hAnsiTheme="majorHAnsi" w:cstheme="majorBidi"/>
            <w:b/>
            <w:bCs/>
            <w:color w:val="4F81BD" w:themeColor="accent1"/>
            <w:sz w:val="24"/>
            <w:szCs w:val="24"/>
          </w:rPr>
          <w:alias w:val="Year"/>
          <w:id w:val="77761609"/>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EndPr/>
        <w:sdtContent>
          <w:tc>
            <w:tcPr>
              <w:tcW w:w="1105" w:type="dxa"/>
            </w:tcPr>
            <w:p w:rsidR="007B75FC" w:rsidRDefault="007B75FC" w:rsidP="009A4D34">
              <w:pPr>
                <w:pStyle w:val="Header"/>
                <w:rPr>
                  <w:rFonts w:asciiTheme="majorHAnsi" w:eastAsiaTheme="majorEastAsia" w:hAnsiTheme="majorHAnsi" w:cstheme="majorBidi"/>
                  <w:b/>
                  <w:bCs/>
                  <w:color w:val="4F81BD" w:themeColor="accent1"/>
                  <w:sz w:val="36"/>
                  <w:szCs w:val="36"/>
                </w:rPr>
              </w:pPr>
              <w:r w:rsidRPr="009A4D34">
                <w:rPr>
                  <w:rFonts w:asciiTheme="majorHAnsi" w:eastAsiaTheme="majorEastAsia" w:hAnsiTheme="majorHAnsi" w:cstheme="majorBidi"/>
                  <w:b/>
                  <w:bCs/>
                  <w:color w:val="4F81BD" w:themeColor="accent1"/>
                  <w:sz w:val="24"/>
                  <w:szCs w:val="24"/>
                </w:rPr>
                <w:t>2012</w:t>
              </w:r>
            </w:p>
          </w:tc>
        </w:sdtContent>
      </w:sdt>
    </w:tr>
  </w:tbl>
  <w:p w:rsidR="007B75FC" w:rsidRDefault="007B75FC" w:rsidP="00577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C" w:rsidRDefault="007B7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D9A"/>
    <w:multiLevelType w:val="hybridMultilevel"/>
    <w:tmpl w:val="F0C40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D10CC8"/>
    <w:multiLevelType w:val="hybridMultilevel"/>
    <w:tmpl w:val="C400B208"/>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70209"/>
    <w:multiLevelType w:val="hybridMultilevel"/>
    <w:tmpl w:val="96141688"/>
    <w:lvl w:ilvl="0" w:tplc="6EF2D8AE">
      <w:start w:val="1"/>
      <w:numFmt w:val="upperRoman"/>
      <w:pStyle w:val="Style4"/>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77475B"/>
    <w:multiLevelType w:val="hybridMultilevel"/>
    <w:tmpl w:val="82B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119F9"/>
    <w:multiLevelType w:val="hybridMultilevel"/>
    <w:tmpl w:val="5284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B174A"/>
    <w:multiLevelType w:val="hybridMultilevel"/>
    <w:tmpl w:val="C400B208"/>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D328CB"/>
    <w:multiLevelType w:val="hybridMultilevel"/>
    <w:tmpl w:val="C400B208"/>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9E00D0"/>
    <w:multiLevelType w:val="hybridMultilevel"/>
    <w:tmpl w:val="9594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722124"/>
    <w:multiLevelType w:val="hybridMultilevel"/>
    <w:tmpl w:val="37F86D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541C0C1A"/>
    <w:multiLevelType w:val="hybridMultilevel"/>
    <w:tmpl w:val="C400B208"/>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8B49F5"/>
    <w:multiLevelType w:val="hybridMultilevel"/>
    <w:tmpl w:val="C400B208"/>
    <w:lvl w:ilvl="0" w:tplc="08090015">
      <w:start w:val="1"/>
      <w:numFmt w:val="upperLetter"/>
      <w:pStyle w:val="Style5"/>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806CE9"/>
    <w:multiLevelType w:val="hybridMultilevel"/>
    <w:tmpl w:val="CB3067F0"/>
    <w:lvl w:ilvl="0" w:tplc="826CD558">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A85D6A"/>
    <w:multiLevelType w:val="hybridMultilevel"/>
    <w:tmpl w:val="C400B208"/>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DC449C"/>
    <w:multiLevelType w:val="hybridMultilevel"/>
    <w:tmpl w:val="37CA94E6"/>
    <w:lvl w:ilvl="0" w:tplc="826CD558">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FB4B83"/>
    <w:multiLevelType w:val="hybridMultilevel"/>
    <w:tmpl w:val="36782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12"/>
  </w:num>
  <w:num w:numId="6">
    <w:abstractNumId w:val="6"/>
  </w:num>
  <w:num w:numId="7">
    <w:abstractNumId w:val="1"/>
  </w:num>
  <w:num w:numId="8">
    <w:abstractNumId w:val="8"/>
  </w:num>
  <w:num w:numId="9">
    <w:abstractNumId w:val="0"/>
  </w:num>
  <w:num w:numId="10">
    <w:abstractNumId w:val="13"/>
  </w:num>
  <w:num w:numId="11">
    <w:abstractNumId w:val="11"/>
  </w:num>
  <w:num w:numId="12">
    <w:abstractNumId w:val="14"/>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34"/>
    <w:rsid w:val="00012192"/>
    <w:rsid w:val="0001276A"/>
    <w:rsid w:val="00032CC4"/>
    <w:rsid w:val="0003622C"/>
    <w:rsid w:val="0007143D"/>
    <w:rsid w:val="00087FF1"/>
    <w:rsid w:val="00091469"/>
    <w:rsid w:val="00095FA0"/>
    <w:rsid w:val="000A7703"/>
    <w:rsid w:val="000B41CB"/>
    <w:rsid w:val="000C3EE1"/>
    <w:rsid w:val="000D3705"/>
    <w:rsid w:val="000E4B4D"/>
    <w:rsid w:val="000E72E9"/>
    <w:rsid w:val="000F7978"/>
    <w:rsid w:val="00100350"/>
    <w:rsid w:val="00107CF0"/>
    <w:rsid w:val="00111FDD"/>
    <w:rsid w:val="00113BA5"/>
    <w:rsid w:val="0012001E"/>
    <w:rsid w:val="00120796"/>
    <w:rsid w:val="001338B3"/>
    <w:rsid w:val="001720C2"/>
    <w:rsid w:val="00173345"/>
    <w:rsid w:val="00176306"/>
    <w:rsid w:val="00180538"/>
    <w:rsid w:val="00186C04"/>
    <w:rsid w:val="001B11E8"/>
    <w:rsid w:val="001B237A"/>
    <w:rsid w:val="001C3546"/>
    <w:rsid w:val="001C50CB"/>
    <w:rsid w:val="001C5EFC"/>
    <w:rsid w:val="001E445D"/>
    <w:rsid w:val="001E6D8A"/>
    <w:rsid w:val="001F0604"/>
    <w:rsid w:val="001F1514"/>
    <w:rsid w:val="0020317B"/>
    <w:rsid w:val="00240C14"/>
    <w:rsid w:val="002418F0"/>
    <w:rsid w:val="00243BA5"/>
    <w:rsid w:val="00265371"/>
    <w:rsid w:val="00287D09"/>
    <w:rsid w:val="002929E2"/>
    <w:rsid w:val="002A4F9F"/>
    <w:rsid w:val="002C4D55"/>
    <w:rsid w:val="002F02E0"/>
    <w:rsid w:val="0030309F"/>
    <w:rsid w:val="0032122B"/>
    <w:rsid w:val="003273A2"/>
    <w:rsid w:val="00341387"/>
    <w:rsid w:val="00361C0C"/>
    <w:rsid w:val="0036529E"/>
    <w:rsid w:val="00387D09"/>
    <w:rsid w:val="00392C0A"/>
    <w:rsid w:val="003A197A"/>
    <w:rsid w:val="003B5050"/>
    <w:rsid w:val="003C6EE5"/>
    <w:rsid w:val="003D712E"/>
    <w:rsid w:val="003D7252"/>
    <w:rsid w:val="003E5CD8"/>
    <w:rsid w:val="003E7A46"/>
    <w:rsid w:val="003F0292"/>
    <w:rsid w:val="00404101"/>
    <w:rsid w:val="00427FB7"/>
    <w:rsid w:val="00467A76"/>
    <w:rsid w:val="00487002"/>
    <w:rsid w:val="004B67BF"/>
    <w:rsid w:val="004E1244"/>
    <w:rsid w:val="004E340B"/>
    <w:rsid w:val="005126BB"/>
    <w:rsid w:val="00521BE3"/>
    <w:rsid w:val="005424C4"/>
    <w:rsid w:val="00577561"/>
    <w:rsid w:val="0059033B"/>
    <w:rsid w:val="00596FFA"/>
    <w:rsid w:val="005A1356"/>
    <w:rsid w:val="005C1836"/>
    <w:rsid w:val="005D1987"/>
    <w:rsid w:val="005D41F9"/>
    <w:rsid w:val="005E69E1"/>
    <w:rsid w:val="00625861"/>
    <w:rsid w:val="00630424"/>
    <w:rsid w:val="00636981"/>
    <w:rsid w:val="00641226"/>
    <w:rsid w:val="00655F4E"/>
    <w:rsid w:val="00660713"/>
    <w:rsid w:val="006714AB"/>
    <w:rsid w:val="006B4171"/>
    <w:rsid w:val="006C7E52"/>
    <w:rsid w:val="00713590"/>
    <w:rsid w:val="00720B5A"/>
    <w:rsid w:val="00736DCA"/>
    <w:rsid w:val="0075330D"/>
    <w:rsid w:val="007535D4"/>
    <w:rsid w:val="00797C2E"/>
    <w:rsid w:val="007B75FC"/>
    <w:rsid w:val="007B7DD5"/>
    <w:rsid w:val="007C1E7D"/>
    <w:rsid w:val="007D78B4"/>
    <w:rsid w:val="00832C1E"/>
    <w:rsid w:val="00862B00"/>
    <w:rsid w:val="0088565A"/>
    <w:rsid w:val="00893658"/>
    <w:rsid w:val="008C7E5F"/>
    <w:rsid w:val="008D7102"/>
    <w:rsid w:val="00937844"/>
    <w:rsid w:val="009414FC"/>
    <w:rsid w:val="009461F0"/>
    <w:rsid w:val="00961781"/>
    <w:rsid w:val="009720B3"/>
    <w:rsid w:val="00975955"/>
    <w:rsid w:val="00975A1C"/>
    <w:rsid w:val="00983542"/>
    <w:rsid w:val="0098519E"/>
    <w:rsid w:val="00987C74"/>
    <w:rsid w:val="00997E6D"/>
    <w:rsid w:val="009A23B6"/>
    <w:rsid w:val="009A4D34"/>
    <w:rsid w:val="009A7CC3"/>
    <w:rsid w:val="009B2081"/>
    <w:rsid w:val="009C4E8A"/>
    <w:rsid w:val="009C7817"/>
    <w:rsid w:val="009D2655"/>
    <w:rsid w:val="009D788A"/>
    <w:rsid w:val="00A055C6"/>
    <w:rsid w:val="00A061A6"/>
    <w:rsid w:val="00A151E7"/>
    <w:rsid w:val="00A4523D"/>
    <w:rsid w:val="00A5276B"/>
    <w:rsid w:val="00A86A1F"/>
    <w:rsid w:val="00AA14C3"/>
    <w:rsid w:val="00AC36B2"/>
    <w:rsid w:val="00AC7096"/>
    <w:rsid w:val="00AD347C"/>
    <w:rsid w:val="00AD3D17"/>
    <w:rsid w:val="00AE662F"/>
    <w:rsid w:val="00AF66A3"/>
    <w:rsid w:val="00B222DA"/>
    <w:rsid w:val="00B25C8E"/>
    <w:rsid w:val="00B32EFA"/>
    <w:rsid w:val="00B9516F"/>
    <w:rsid w:val="00BE74EE"/>
    <w:rsid w:val="00BF3D29"/>
    <w:rsid w:val="00C046FC"/>
    <w:rsid w:val="00C3607B"/>
    <w:rsid w:val="00C367B8"/>
    <w:rsid w:val="00C40270"/>
    <w:rsid w:val="00C529E9"/>
    <w:rsid w:val="00C7532D"/>
    <w:rsid w:val="00CB09C5"/>
    <w:rsid w:val="00CC7218"/>
    <w:rsid w:val="00CF23CB"/>
    <w:rsid w:val="00D160DD"/>
    <w:rsid w:val="00D20BA4"/>
    <w:rsid w:val="00D42ADA"/>
    <w:rsid w:val="00D57F30"/>
    <w:rsid w:val="00D67963"/>
    <w:rsid w:val="00DB1580"/>
    <w:rsid w:val="00DB5209"/>
    <w:rsid w:val="00DB7A18"/>
    <w:rsid w:val="00DC2694"/>
    <w:rsid w:val="00DD59EF"/>
    <w:rsid w:val="00DE27A5"/>
    <w:rsid w:val="00E263BC"/>
    <w:rsid w:val="00E3209D"/>
    <w:rsid w:val="00E44001"/>
    <w:rsid w:val="00E57488"/>
    <w:rsid w:val="00E574FE"/>
    <w:rsid w:val="00E63A73"/>
    <w:rsid w:val="00E6477B"/>
    <w:rsid w:val="00E71460"/>
    <w:rsid w:val="00EB3E83"/>
    <w:rsid w:val="00EB56E1"/>
    <w:rsid w:val="00EC2242"/>
    <w:rsid w:val="00EC44C9"/>
    <w:rsid w:val="00EE0F6D"/>
    <w:rsid w:val="00EE53B1"/>
    <w:rsid w:val="00EE596C"/>
    <w:rsid w:val="00EF2135"/>
    <w:rsid w:val="00F11AC6"/>
    <w:rsid w:val="00F138BB"/>
    <w:rsid w:val="00F177BD"/>
    <w:rsid w:val="00F17840"/>
    <w:rsid w:val="00F40530"/>
    <w:rsid w:val="00F42165"/>
    <w:rsid w:val="00F57887"/>
    <w:rsid w:val="00F66205"/>
    <w:rsid w:val="00F679DD"/>
    <w:rsid w:val="00F81331"/>
    <w:rsid w:val="00F86C66"/>
    <w:rsid w:val="00F87D4F"/>
    <w:rsid w:val="00F94ABC"/>
    <w:rsid w:val="00FD2526"/>
    <w:rsid w:val="00FE00E1"/>
    <w:rsid w:val="00FE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B6"/>
    <w:pPr>
      <w:spacing w:before="120" w:after="120"/>
    </w:pPr>
    <w:rPr>
      <w:rFonts w:ascii="Times New Roman" w:hAnsi="Times New Roman"/>
    </w:rPr>
  </w:style>
  <w:style w:type="paragraph" w:styleId="Heading1">
    <w:name w:val="heading 1"/>
    <w:basedOn w:val="Normal"/>
    <w:next w:val="Normal"/>
    <w:link w:val="Heading1Char"/>
    <w:uiPriority w:val="9"/>
    <w:qFormat/>
    <w:rsid w:val="009A4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4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D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4D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4D34"/>
    <w:rPr>
      <w:rFonts w:asciiTheme="majorHAnsi" w:eastAsiaTheme="majorEastAsia" w:hAnsiTheme="majorHAnsi" w:cstheme="majorBidi"/>
      <w:b/>
      <w:bCs/>
      <w:color w:val="4F81BD" w:themeColor="accent1"/>
    </w:rPr>
  </w:style>
  <w:style w:type="paragraph" w:styleId="TOCHeading">
    <w:name w:val="TOC Heading"/>
    <w:basedOn w:val="Heading1"/>
    <w:next w:val="Normal"/>
    <w:link w:val="TOCHeadingChar"/>
    <w:uiPriority w:val="39"/>
    <w:unhideWhenUsed/>
    <w:qFormat/>
    <w:rsid w:val="009A4D34"/>
    <w:pPr>
      <w:outlineLvl w:val="9"/>
    </w:pPr>
  </w:style>
  <w:style w:type="paragraph" w:styleId="NoSpacing">
    <w:name w:val="No Spacing"/>
    <w:link w:val="NoSpacingChar"/>
    <w:uiPriority w:val="1"/>
    <w:qFormat/>
    <w:rsid w:val="009A4D34"/>
    <w:pPr>
      <w:spacing w:after="0" w:line="240" w:lineRule="auto"/>
    </w:pPr>
  </w:style>
  <w:style w:type="character" w:customStyle="1" w:styleId="NoSpacingChar">
    <w:name w:val="No Spacing Char"/>
    <w:link w:val="NoSpacing"/>
    <w:uiPriority w:val="1"/>
    <w:rsid w:val="009A4D34"/>
  </w:style>
  <w:style w:type="paragraph" w:styleId="Header">
    <w:name w:val="header"/>
    <w:basedOn w:val="Normal"/>
    <w:link w:val="HeaderChar"/>
    <w:uiPriority w:val="99"/>
    <w:unhideWhenUsed/>
    <w:rsid w:val="009A4D34"/>
    <w:pPr>
      <w:tabs>
        <w:tab w:val="center" w:pos="4513"/>
        <w:tab w:val="right" w:pos="9026"/>
      </w:tabs>
    </w:pPr>
  </w:style>
  <w:style w:type="character" w:customStyle="1" w:styleId="HeaderChar">
    <w:name w:val="Header Char"/>
    <w:basedOn w:val="DefaultParagraphFont"/>
    <w:link w:val="Header"/>
    <w:uiPriority w:val="99"/>
    <w:rsid w:val="009A4D34"/>
    <w:rPr>
      <w:rFonts w:ascii="Times New Roman" w:eastAsia="Times New Roman" w:hAnsi="Times New Roman" w:cs="Times New Roman"/>
      <w:noProof/>
      <w:szCs w:val="20"/>
      <w:lang w:eastAsia="en-GB"/>
    </w:rPr>
  </w:style>
  <w:style w:type="paragraph" w:styleId="Footer">
    <w:name w:val="footer"/>
    <w:basedOn w:val="Normal"/>
    <w:link w:val="FooterChar"/>
    <w:uiPriority w:val="99"/>
    <w:unhideWhenUsed/>
    <w:rsid w:val="009A4D34"/>
    <w:pPr>
      <w:tabs>
        <w:tab w:val="center" w:pos="4513"/>
        <w:tab w:val="right" w:pos="9026"/>
      </w:tabs>
    </w:pPr>
  </w:style>
  <w:style w:type="character" w:customStyle="1" w:styleId="FooterChar">
    <w:name w:val="Footer Char"/>
    <w:basedOn w:val="DefaultParagraphFont"/>
    <w:link w:val="Footer"/>
    <w:uiPriority w:val="99"/>
    <w:rsid w:val="009A4D34"/>
    <w:rPr>
      <w:rFonts w:ascii="Times New Roman" w:eastAsia="Times New Roman" w:hAnsi="Times New Roman" w:cs="Times New Roman"/>
      <w:noProof/>
      <w:szCs w:val="20"/>
      <w:lang w:eastAsia="en-GB"/>
    </w:rPr>
  </w:style>
  <w:style w:type="paragraph" w:styleId="BalloonText">
    <w:name w:val="Balloon Text"/>
    <w:basedOn w:val="Normal"/>
    <w:link w:val="BalloonTextChar"/>
    <w:uiPriority w:val="99"/>
    <w:semiHidden/>
    <w:unhideWhenUsed/>
    <w:rsid w:val="009A4D34"/>
    <w:rPr>
      <w:rFonts w:ascii="Tahoma" w:hAnsi="Tahoma" w:cs="Tahoma"/>
      <w:sz w:val="16"/>
      <w:szCs w:val="16"/>
    </w:rPr>
  </w:style>
  <w:style w:type="character" w:customStyle="1" w:styleId="BalloonTextChar">
    <w:name w:val="Balloon Text Char"/>
    <w:basedOn w:val="DefaultParagraphFont"/>
    <w:link w:val="BalloonText"/>
    <w:uiPriority w:val="99"/>
    <w:semiHidden/>
    <w:rsid w:val="009A4D34"/>
    <w:rPr>
      <w:rFonts w:ascii="Tahoma" w:eastAsia="Times New Roman" w:hAnsi="Tahoma" w:cs="Tahoma"/>
      <w:noProof/>
      <w:sz w:val="16"/>
      <w:szCs w:val="16"/>
      <w:lang w:eastAsia="en-GB"/>
    </w:rPr>
  </w:style>
  <w:style w:type="paragraph" w:customStyle="1" w:styleId="Style1">
    <w:name w:val="Style1"/>
    <w:basedOn w:val="Heading1"/>
    <w:link w:val="Style1Char"/>
    <w:qFormat/>
    <w:rsid w:val="001338B3"/>
    <w:pPr>
      <w:jc w:val="center"/>
    </w:pPr>
    <w:rPr>
      <w:rFonts w:ascii="Times New Roman" w:hAnsi="Times New Roman"/>
      <w:color w:val="auto"/>
    </w:rPr>
  </w:style>
  <w:style w:type="paragraph" w:customStyle="1" w:styleId="Style2">
    <w:name w:val="Style2"/>
    <w:basedOn w:val="Style1"/>
    <w:link w:val="Style2Char"/>
    <w:qFormat/>
    <w:rsid w:val="001338B3"/>
    <w:pPr>
      <w:spacing w:line="480" w:lineRule="auto"/>
    </w:pPr>
  </w:style>
  <w:style w:type="character" w:customStyle="1" w:styleId="Style1Char">
    <w:name w:val="Style1 Char"/>
    <w:basedOn w:val="Heading1Char"/>
    <w:link w:val="Style1"/>
    <w:rsid w:val="001338B3"/>
    <w:rPr>
      <w:rFonts w:ascii="Times New Roman" w:eastAsiaTheme="majorEastAsia" w:hAnsi="Times New Roman" w:cstheme="majorBidi"/>
      <w:b/>
      <w:bCs/>
      <w:color w:val="365F91" w:themeColor="accent1" w:themeShade="BF"/>
      <w:sz w:val="28"/>
      <w:szCs w:val="28"/>
    </w:rPr>
  </w:style>
  <w:style w:type="paragraph" w:customStyle="1" w:styleId="Style3">
    <w:name w:val="Style3"/>
    <w:basedOn w:val="Heading2"/>
    <w:link w:val="Style3Char"/>
    <w:qFormat/>
    <w:rsid w:val="001338B3"/>
    <w:pPr>
      <w:spacing w:line="360" w:lineRule="auto"/>
    </w:pPr>
    <w:rPr>
      <w:rFonts w:ascii="Times New Roman" w:hAnsi="Times New Roman"/>
      <w:color w:val="auto"/>
      <w:sz w:val="22"/>
    </w:rPr>
  </w:style>
  <w:style w:type="character" w:customStyle="1" w:styleId="Style2Char">
    <w:name w:val="Style2 Char"/>
    <w:basedOn w:val="Style1Char"/>
    <w:link w:val="Style2"/>
    <w:rsid w:val="001338B3"/>
    <w:rPr>
      <w:rFonts w:ascii="Times New Roman" w:eastAsiaTheme="majorEastAsia" w:hAnsi="Times New Roman" w:cstheme="majorBidi"/>
      <w:b/>
      <w:bCs/>
      <w:color w:val="365F91" w:themeColor="accent1" w:themeShade="BF"/>
      <w:sz w:val="28"/>
      <w:szCs w:val="28"/>
    </w:rPr>
  </w:style>
  <w:style w:type="paragraph" w:customStyle="1" w:styleId="Style4">
    <w:name w:val="Style4"/>
    <w:basedOn w:val="Style2"/>
    <w:link w:val="Style4Char"/>
    <w:qFormat/>
    <w:rsid w:val="001338B3"/>
    <w:pPr>
      <w:numPr>
        <w:numId w:val="1"/>
      </w:numPr>
    </w:pPr>
  </w:style>
  <w:style w:type="character" w:customStyle="1" w:styleId="Style3Char">
    <w:name w:val="Style3 Char"/>
    <w:basedOn w:val="Heading2Char"/>
    <w:link w:val="Style3"/>
    <w:rsid w:val="001338B3"/>
    <w:rPr>
      <w:rFonts w:ascii="Times New Roman" w:eastAsiaTheme="majorEastAsia" w:hAnsi="Times New Roman" w:cstheme="majorBidi"/>
      <w:b/>
      <w:bCs/>
      <w:color w:val="4F81BD" w:themeColor="accent1"/>
      <w:sz w:val="26"/>
      <w:szCs w:val="26"/>
    </w:rPr>
  </w:style>
  <w:style w:type="paragraph" w:customStyle="1" w:styleId="Style5">
    <w:name w:val="Style5"/>
    <w:basedOn w:val="Style3"/>
    <w:link w:val="Style5Char"/>
    <w:qFormat/>
    <w:rsid w:val="001338B3"/>
    <w:pPr>
      <w:numPr>
        <w:numId w:val="2"/>
      </w:numPr>
    </w:pPr>
  </w:style>
  <w:style w:type="character" w:customStyle="1" w:styleId="Style4Char">
    <w:name w:val="Style4 Char"/>
    <w:basedOn w:val="Style2Char"/>
    <w:link w:val="Style4"/>
    <w:rsid w:val="001338B3"/>
    <w:rPr>
      <w:rFonts w:ascii="Times New Roman" w:eastAsiaTheme="majorEastAsia" w:hAnsi="Times New Roman" w:cstheme="majorBidi"/>
      <w:b/>
      <w:bCs/>
      <w:color w:val="365F91" w:themeColor="accent1" w:themeShade="BF"/>
      <w:sz w:val="28"/>
      <w:szCs w:val="28"/>
    </w:rPr>
  </w:style>
  <w:style w:type="paragraph" w:customStyle="1" w:styleId="Style6">
    <w:name w:val="Style6"/>
    <w:basedOn w:val="Style5"/>
    <w:link w:val="Style6Char"/>
    <w:qFormat/>
    <w:rsid w:val="001338B3"/>
    <w:pPr>
      <w:ind w:left="360"/>
    </w:pPr>
  </w:style>
  <w:style w:type="character" w:customStyle="1" w:styleId="Style5Char">
    <w:name w:val="Style5 Char"/>
    <w:basedOn w:val="Style3Char"/>
    <w:link w:val="Style5"/>
    <w:rsid w:val="001338B3"/>
    <w:rPr>
      <w:rFonts w:ascii="Times New Roman" w:eastAsiaTheme="majorEastAsia" w:hAnsi="Times New Roman" w:cstheme="majorBidi"/>
      <w:b/>
      <w:bCs/>
      <w:color w:val="4F81BD" w:themeColor="accent1"/>
      <w:sz w:val="26"/>
      <w:szCs w:val="26"/>
    </w:rPr>
  </w:style>
  <w:style w:type="paragraph" w:customStyle="1" w:styleId="Style7">
    <w:name w:val="Style7"/>
    <w:basedOn w:val="TOCHeading"/>
    <w:link w:val="Style7Char"/>
    <w:qFormat/>
    <w:rsid w:val="001338B3"/>
    <w:pPr>
      <w:spacing w:line="480" w:lineRule="auto"/>
    </w:pPr>
    <w:rPr>
      <w:color w:val="auto"/>
    </w:rPr>
  </w:style>
  <w:style w:type="character" w:customStyle="1" w:styleId="Style6Char">
    <w:name w:val="Style6 Char"/>
    <w:basedOn w:val="Style5Char"/>
    <w:link w:val="Style6"/>
    <w:rsid w:val="001338B3"/>
    <w:rPr>
      <w:rFonts w:ascii="Times New Roman" w:eastAsiaTheme="majorEastAsia" w:hAnsi="Times New Roman" w:cstheme="majorBidi"/>
      <w:b/>
      <w:bCs/>
      <w:color w:val="4F81BD" w:themeColor="accent1"/>
      <w:sz w:val="26"/>
      <w:szCs w:val="26"/>
    </w:rPr>
  </w:style>
  <w:style w:type="paragraph" w:styleId="TOC1">
    <w:name w:val="toc 1"/>
    <w:basedOn w:val="Normal"/>
    <w:next w:val="Normal"/>
    <w:autoRedefine/>
    <w:uiPriority w:val="39"/>
    <w:unhideWhenUsed/>
    <w:rsid w:val="001B237A"/>
    <w:pPr>
      <w:spacing w:before="240"/>
    </w:pPr>
    <w:rPr>
      <w:rFonts w:cstheme="minorHAnsi"/>
      <w:b/>
      <w:bCs/>
      <w:sz w:val="28"/>
      <w:szCs w:val="20"/>
    </w:rPr>
  </w:style>
  <w:style w:type="character" w:customStyle="1" w:styleId="TOCHeadingChar">
    <w:name w:val="TOC Heading Char"/>
    <w:basedOn w:val="Heading1Char"/>
    <w:link w:val="TOCHeading"/>
    <w:uiPriority w:val="39"/>
    <w:rsid w:val="001338B3"/>
    <w:rPr>
      <w:rFonts w:asciiTheme="majorHAnsi" w:eastAsiaTheme="majorEastAsia" w:hAnsiTheme="majorHAnsi" w:cstheme="majorBidi"/>
      <w:b/>
      <w:bCs/>
      <w:color w:val="365F91" w:themeColor="accent1" w:themeShade="BF"/>
      <w:sz w:val="28"/>
      <w:szCs w:val="28"/>
    </w:rPr>
  </w:style>
  <w:style w:type="character" w:customStyle="1" w:styleId="Style7Char">
    <w:name w:val="Style7 Char"/>
    <w:basedOn w:val="TOCHeadingChar"/>
    <w:link w:val="Style7"/>
    <w:rsid w:val="001338B3"/>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1B237A"/>
    <w:pPr>
      <w:spacing w:after="0"/>
      <w:ind w:left="220"/>
    </w:pPr>
    <w:rPr>
      <w:rFonts w:cstheme="minorHAnsi"/>
      <w:i/>
      <w:iCs/>
      <w:sz w:val="24"/>
      <w:szCs w:val="20"/>
    </w:rPr>
  </w:style>
  <w:style w:type="paragraph" w:styleId="TOC3">
    <w:name w:val="toc 3"/>
    <w:basedOn w:val="Normal"/>
    <w:next w:val="Normal"/>
    <w:autoRedefine/>
    <w:uiPriority w:val="39"/>
    <w:unhideWhenUsed/>
    <w:rsid w:val="001B11E8"/>
    <w:pPr>
      <w:spacing w:after="0"/>
      <w:ind w:left="440"/>
    </w:pPr>
    <w:rPr>
      <w:rFonts w:cstheme="minorHAnsi"/>
      <w:sz w:val="20"/>
      <w:szCs w:val="20"/>
    </w:rPr>
  </w:style>
  <w:style w:type="paragraph" w:styleId="TOC4">
    <w:name w:val="toc 4"/>
    <w:basedOn w:val="Normal"/>
    <w:next w:val="Normal"/>
    <w:autoRedefine/>
    <w:uiPriority w:val="39"/>
    <w:unhideWhenUsed/>
    <w:rsid w:val="001B11E8"/>
    <w:pPr>
      <w:spacing w:after="0"/>
      <w:ind w:left="660"/>
    </w:pPr>
    <w:rPr>
      <w:rFonts w:cstheme="minorHAnsi"/>
      <w:sz w:val="20"/>
      <w:szCs w:val="20"/>
    </w:rPr>
  </w:style>
  <w:style w:type="paragraph" w:styleId="TOC5">
    <w:name w:val="toc 5"/>
    <w:basedOn w:val="Normal"/>
    <w:next w:val="Normal"/>
    <w:autoRedefine/>
    <w:uiPriority w:val="39"/>
    <w:unhideWhenUsed/>
    <w:rsid w:val="001B11E8"/>
    <w:pPr>
      <w:spacing w:after="0"/>
      <w:ind w:left="880"/>
    </w:pPr>
    <w:rPr>
      <w:rFonts w:cstheme="minorHAnsi"/>
      <w:sz w:val="20"/>
      <w:szCs w:val="20"/>
    </w:rPr>
  </w:style>
  <w:style w:type="paragraph" w:styleId="TOC6">
    <w:name w:val="toc 6"/>
    <w:basedOn w:val="Normal"/>
    <w:next w:val="Normal"/>
    <w:autoRedefine/>
    <w:uiPriority w:val="39"/>
    <w:unhideWhenUsed/>
    <w:rsid w:val="001B11E8"/>
    <w:pPr>
      <w:spacing w:after="0"/>
      <w:ind w:left="1100"/>
    </w:pPr>
    <w:rPr>
      <w:rFonts w:cstheme="minorHAnsi"/>
      <w:sz w:val="20"/>
      <w:szCs w:val="20"/>
    </w:rPr>
  </w:style>
  <w:style w:type="paragraph" w:styleId="TOC7">
    <w:name w:val="toc 7"/>
    <w:basedOn w:val="Normal"/>
    <w:next w:val="Normal"/>
    <w:autoRedefine/>
    <w:uiPriority w:val="39"/>
    <w:unhideWhenUsed/>
    <w:rsid w:val="001B11E8"/>
    <w:pPr>
      <w:spacing w:after="0"/>
      <w:ind w:left="1320"/>
    </w:pPr>
    <w:rPr>
      <w:rFonts w:cstheme="minorHAnsi"/>
      <w:sz w:val="20"/>
      <w:szCs w:val="20"/>
    </w:rPr>
  </w:style>
  <w:style w:type="paragraph" w:styleId="TOC8">
    <w:name w:val="toc 8"/>
    <w:basedOn w:val="Normal"/>
    <w:next w:val="Normal"/>
    <w:autoRedefine/>
    <w:uiPriority w:val="39"/>
    <w:unhideWhenUsed/>
    <w:rsid w:val="001B11E8"/>
    <w:pPr>
      <w:spacing w:after="0"/>
      <w:ind w:left="1540"/>
    </w:pPr>
    <w:rPr>
      <w:rFonts w:cstheme="minorHAnsi"/>
      <w:sz w:val="20"/>
      <w:szCs w:val="20"/>
    </w:rPr>
  </w:style>
  <w:style w:type="paragraph" w:styleId="TOC9">
    <w:name w:val="toc 9"/>
    <w:basedOn w:val="Normal"/>
    <w:next w:val="Normal"/>
    <w:autoRedefine/>
    <w:uiPriority w:val="39"/>
    <w:unhideWhenUsed/>
    <w:rsid w:val="001B11E8"/>
    <w:pPr>
      <w:spacing w:after="0"/>
      <w:ind w:left="1760"/>
    </w:pPr>
    <w:rPr>
      <w:rFonts w:cstheme="minorHAnsi"/>
      <w:sz w:val="20"/>
      <w:szCs w:val="20"/>
    </w:rPr>
  </w:style>
  <w:style w:type="character" w:styleId="Hyperlink">
    <w:name w:val="Hyperlink"/>
    <w:basedOn w:val="DefaultParagraphFont"/>
    <w:uiPriority w:val="99"/>
    <w:unhideWhenUsed/>
    <w:rsid w:val="001B11E8"/>
    <w:rPr>
      <w:color w:val="0000FF" w:themeColor="hyperlink"/>
      <w:u w:val="single"/>
    </w:rPr>
  </w:style>
  <w:style w:type="table" w:styleId="TableGrid">
    <w:name w:val="Table Grid"/>
    <w:basedOn w:val="TableNormal"/>
    <w:uiPriority w:val="59"/>
    <w:rsid w:val="0057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E74EE"/>
    <w:pPr>
      <w:spacing w:before="0" w:after="200"/>
    </w:pPr>
    <w:rPr>
      <w:rFonts w:asciiTheme="minorHAnsi" w:eastAsiaTheme="minorEastAsia" w:hAnsiTheme="minorHAnsi"/>
      <w:i/>
      <w:iCs/>
      <w:color w:val="000000" w:themeColor="text1"/>
      <w:lang w:val="en-US" w:eastAsia="ja-JP"/>
    </w:rPr>
  </w:style>
  <w:style w:type="character" w:customStyle="1" w:styleId="QuoteChar">
    <w:name w:val="Quote Char"/>
    <w:basedOn w:val="DefaultParagraphFont"/>
    <w:link w:val="Quote"/>
    <w:uiPriority w:val="29"/>
    <w:rsid w:val="00BE74EE"/>
    <w:rPr>
      <w:rFonts w:eastAsiaTheme="minorEastAsia"/>
      <w:i/>
      <w:iCs/>
      <w:color w:val="000000" w:themeColor="text1"/>
      <w:lang w:val="en-US" w:eastAsia="ja-JP"/>
    </w:rPr>
  </w:style>
  <w:style w:type="paragraph" w:styleId="NormalWeb">
    <w:name w:val="Normal (Web)"/>
    <w:basedOn w:val="Normal"/>
    <w:uiPriority w:val="99"/>
    <w:unhideWhenUsed/>
    <w:rsid w:val="009A23B6"/>
    <w:pPr>
      <w:spacing w:before="100" w:beforeAutospacing="1" w:after="100" w:afterAutospacing="1" w:line="240" w:lineRule="auto"/>
    </w:pPr>
    <w:rPr>
      <w:rFonts w:eastAsia="Times New Roman" w:cs="Times New Roman"/>
      <w:sz w:val="24"/>
      <w:szCs w:val="24"/>
      <w:lang w:eastAsia="en-GB"/>
    </w:rPr>
  </w:style>
  <w:style w:type="character" w:styleId="FollowedHyperlink">
    <w:name w:val="FollowedHyperlink"/>
    <w:basedOn w:val="DefaultParagraphFont"/>
    <w:uiPriority w:val="99"/>
    <w:semiHidden/>
    <w:unhideWhenUsed/>
    <w:rsid w:val="00660713"/>
    <w:rPr>
      <w:color w:val="800080" w:themeColor="followedHyperlink"/>
      <w:u w:val="single"/>
    </w:rPr>
  </w:style>
  <w:style w:type="paragraph" w:styleId="Index1">
    <w:name w:val="index 1"/>
    <w:basedOn w:val="Normal"/>
    <w:next w:val="Normal"/>
    <w:autoRedefine/>
    <w:uiPriority w:val="99"/>
    <w:semiHidden/>
    <w:unhideWhenUsed/>
    <w:rsid w:val="001C50CB"/>
    <w:pPr>
      <w:spacing w:before="0" w:after="0" w:line="240" w:lineRule="auto"/>
      <w:ind w:left="220" w:hanging="220"/>
    </w:pPr>
  </w:style>
  <w:style w:type="character" w:styleId="CommentReference">
    <w:name w:val="annotation reference"/>
    <w:basedOn w:val="DefaultParagraphFont"/>
    <w:uiPriority w:val="99"/>
    <w:semiHidden/>
    <w:unhideWhenUsed/>
    <w:rsid w:val="00A4523D"/>
    <w:rPr>
      <w:sz w:val="16"/>
      <w:szCs w:val="16"/>
    </w:rPr>
  </w:style>
  <w:style w:type="paragraph" w:styleId="CommentText">
    <w:name w:val="annotation text"/>
    <w:basedOn w:val="Normal"/>
    <w:link w:val="CommentTextChar"/>
    <w:uiPriority w:val="99"/>
    <w:semiHidden/>
    <w:unhideWhenUsed/>
    <w:rsid w:val="00A4523D"/>
    <w:pPr>
      <w:spacing w:line="240" w:lineRule="auto"/>
    </w:pPr>
    <w:rPr>
      <w:sz w:val="20"/>
      <w:szCs w:val="20"/>
    </w:rPr>
  </w:style>
  <w:style w:type="character" w:customStyle="1" w:styleId="CommentTextChar">
    <w:name w:val="Comment Text Char"/>
    <w:basedOn w:val="DefaultParagraphFont"/>
    <w:link w:val="CommentText"/>
    <w:uiPriority w:val="99"/>
    <w:semiHidden/>
    <w:rsid w:val="00A452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523D"/>
    <w:rPr>
      <w:b/>
      <w:bCs/>
    </w:rPr>
  </w:style>
  <w:style w:type="character" w:customStyle="1" w:styleId="CommentSubjectChar">
    <w:name w:val="Comment Subject Char"/>
    <w:basedOn w:val="CommentTextChar"/>
    <w:link w:val="CommentSubject"/>
    <w:uiPriority w:val="99"/>
    <w:semiHidden/>
    <w:rsid w:val="00A4523D"/>
    <w:rPr>
      <w:rFonts w:ascii="Times New Roman" w:hAnsi="Times New Roman"/>
      <w:b/>
      <w:bCs/>
      <w:sz w:val="20"/>
      <w:szCs w:val="20"/>
    </w:rPr>
  </w:style>
  <w:style w:type="paragraph" w:styleId="ListParagraph">
    <w:name w:val="List Paragraph"/>
    <w:basedOn w:val="Normal"/>
    <w:uiPriority w:val="34"/>
    <w:qFormat/>
    <w:rsid w:val="00EC2242"/>
    <w:pPr>
      <w:ind w:left="720"/>
      <w:contextualSpacing/>
    </w:pPr>
  </w:style>
  <w:style w:type="paragraph" w:customStyle="1" w:styleId="IPPNormal">
    <w:name w:val="IPP Normal"/>
    <w:basedOn w:val="Normal"/>
    <w:qFormat/>
    <w:rsid w:val="00100350"/>
    <w:pPr>
      <w:spacing w:before="0" w:after="180" w:line="240" w:lineRule="auto"/>
      <w:jc w:val="both"/>
    </w:pPr>
    <w:rPr>
      <w:rFonts w:eastAsia="Times" w:cs="Times New Roman"/>
      <w:szCs w:val="24"/>
    </w:rPr>
  </w:style>
  <w:style w:type="paragraph" w:customStyle="1" w:styleId="Default">
    <w:name w:val="Default"/>
    <w:rsid w:val="00DB52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B6"/>
    <w:pPr>
      <w:spacing w:before="120" w:after="120"/>
    </w:pPr>
    <w:rPr>
      <w:rFonts w:ascii="Times New Roman" w:hAnsi="Times New Roman"/>
    </w:rPr>
  </w:style>
  <w:style w:type="paragraph" w:styleId="Heading1">
    <w:name w:val="heading 1"/>
    <w:basedOn w:val="Normal"/>
    <w:next w:val="Normal"/>
    <w:link w:val="Heading1Char"/>
    <w:uiPriority w:val="9"/>
    <w:qFormat/>
    <w:rsid w:val="009A4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4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D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4D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4D34"/>
    <w:rPr>
      <w:rFonts w:asciiTheme="majorHAnsi" w:eastAsiaTheme="majorEastAsia" w:hAnsiTheme="majorHAnsi" w:cstheme="majorBidi"/>
      <w:b/>
      <w:bCs/>
      <w:color w:val="4F81BD" w:themeColor="accent1"/>
    </w:rPr>
  </w:style>
  <w:style w:type="paragraph" w:styleId="TOCHeading">
    <w:name w:val="TOC Heading"/>
    <w:basedOn w:val="Heading1"/>
    <w:next w:val="Normal"/>
    <w:link w:val="TOCHeadingChar"/>
    <w:uiPriority w:val="39"/>
    <w:unhideWhenUsed/>
    <w:qFormat/>
    <w:rsid w:val="009A4D34"/>
    <w:pPr>
      <w:outlineLvl w:val="9"/>
    </w:pPr>
  </w:style>
  <w:style w:type="paragraph" w:styleId="NoSpacing">
    <w:name w:val="No Spacing"/>
    <w:link w:val="NoSpacingChar"/>
    <w:uiPriority w:val="1"/>
    <w:qFormat/>
    <w:rsid w:val="009A4D34"/>
    <w:pPr>
      <w:spacing w:after="0" w:line="240" w:lineRule="auto"/>
    </w:pPr>
  </w:style>
  <w:style w:type="character" w:customStyle="1" w:styleId="NoSpacingChar">
    <w:name w:val="No Spacing Char"/>
    <w:link w:val="NoSpacing"/>
    <w:uiPriority w:val="1"/>
    <w:rsid w:val="009A4D34"/>
  </w:style>
  <w:style w:type="paragraph" w:styleId="Header">
    <w:name w:val="header"/>
    <w:basedOn w:val="Normal"/>
    <w:link w:val="HeaderChar"/>
    <w:uiPriority w:val="99"/>
    <w:unhideWhenUsed/>
    <w:rsid w:val="009A4D34"/>
    <w:pPr>
      <w:tabs>
        <w:tab w:val="center" w:pos="4513"/>
        <w:tab w:val="right" w:pos="9026"/>
      </w:tabs>
    </w:pPr>
  </w:style>
  <w:style w:type="character" w:customStyle="1" w:styleId="HeaderChar">
    <w:name w:val="Header Char"/>
    <w:basedOn w:val="DefaultParagraphFont"/>
    <w:link w:val="Header"/>
    <w:uiPriority w:val="99"/>
    <w:rsid w:val="009A4D34"/>
    <w:rPr>
      <w:rFonts w:ascii="Times New Roman" w:eastAsia="Times New Roman" w:hAnsi="Times New Roman" w:cs="Times New Roman"/>
      <w:noProof/>
      <w:szCs w:val="20"/>
      <w:lang w:eastAsia="en-GB"/>
    </w:rPr>
  </w:style>
  <w:style w:type="paragraph" w:styleId="Footer">
    <w:name w:val="footer"/>
    <w:basedOn w:val="Normal"/>
    <w:link w:val="FooterChar"/>
    <w:uiPriority w:val="99"/>
    <w:unhideWhenUsed/>
    <w:rsid w:val="009A4D34"/>
    <w:pPr>
      <w:tabs>
        <w:tab w:val="center" w:pos="4513"/>
        <w:tab w:val="right" w:pos="9026"/>
      </w:tabs>
    </w:pPr>
  </w:style>
  <w:style w:type="character" w:customStyle="1" w:styleId="FooterChar">
    <w:name w:val="Footer Char"/>
    <w:basedOn w:val="DefaultParagraphFont"/>
    <w:link w:val="Footer"/>
    <w:uiPriority w:val="99"/>
    <w:rsid w:val="009A4D34"/>
    <w:rPr>
      <w:rFonts w:ascii="Times New Roman" w:eastAsia="Times New Roman" w:hAnsi="Times New Roman" w:cs="Times New Roman"/>
      <w:noProof/>
      <w:szCs w:val="20"/>
      <w:lang w:eastAsia="en-GB"/>
    </w:rPr>
  </w:style>
  <w:style w:type="paragraph" w:styleId="BalloonText">
    <w:name w:val="Balloon Text"/>
    <w:basedOn w:val="Normal"/>
    <w:link w:val="BalloonTextChar"/>
    <w:uiPriority w:val="99"/>
    <w:semiHidden/>
    <w:unhideWhenUsed/>
    <w:rsid w:val="009A4D34"/>
    <w:rPr>
      <w:rFonts w:ascii="Tahoma" w:hAnsi="Tahoma" w:cs="Tahoma"/>
      <w:sz w:val="16"/>
      <w:szCs w:val="16"/>
    </w:rPr>
  </w:style>
  <w:style w:type="character" w:customStyle="1" w:styleId="BalloonTextChar">
    <w:name w:val="Balloon Text Char"/>
    <w:basedOn w:val="DefaultParagraphFont"/>
    <w:link w:val="BalloonText"/>
    <w:uiPriority w:val="99"/>
    <w:semiHidden/>
    <w:rsid w:val="009A4D34"/>
    <w:rPr>
      <w:rFonts w:ascii="Tahoma" w:eastAsia="Times New Roman" w:hAnsi="Tahoma" w:cs="Tahoma"/>
      <w:noProof/>
      <w:sz w:val="16"/>
      <w:szCs w:val="16"/>
      <w:lang w:eastAsia="en-GB"/>
    </w:rPr>
  </w:style>
  <w:style w:type="paragraph" w:customStyle="1" w:styleId="Style1">
    <w:name w:val="Style1"/>
    <w:basedOn w:val="Heading1"/>
    <w:link w:val="Style1Char"/>
    <w:qFormat/>
    <w:rsid w:val="001338B3"/>
    <w:pPr>
      <w:jc w:val="center"/>
    </w:pPr>
    <w:rPr>
      <w:rFonts w:ascii="Times New Roman" w:hAnsi="Times New Roman"/>
      <w:color w:val="auto"/>
    </w:rPr>
  </w:style>
  <w:style w:type="paragraph" w:customStyle="1" w:styleId="Style2">
    <w:name w:val="Style2"/>
    <w:basedOn w:val="Style1"/>
    <w:link w:val="Style2Char"/>
    <w:qFormat/>
    <w:rsid w:val="001338B3"/>
    <w:pPr>
      <w:spacing w:line="480" w:lineRule="auto"/>
    </w:pPr>
  </w:style>
  <w:style w:type="character" w:customStyle="1" w:styleId="Style1Char">
    <w:name w:val="Style1 Char"/>
    <w:basedOn w:val="Heading1Char"/>
    <w:link w:val="Style1"/>
    <w:rsid w:val="001338B3"/>
    <w:rPr>
      <w:rFonts w:ascii="Times New Roman" w:eastAsiaTheme="majorEastAsia" w:hAnsi="Times New Roman" w:cstheme="majorBidi"/>
      <w:b/>
      <w:bCs/>
      <w:color w:val="365F91" w:themeColor="accent1" w:themeShade="BF"/>
      <w:sz w:val="28"/>
      <w:szCs w:val="28"/>
    </w:rPr>
  </w:style>
  <w:style w:type="paragraph" w:customStyle="1" w:styleId="Style3">
    <w:name w:val="Style3"/>
    <w:basedOn w:val="Heading2"/>
    <w:link w:val="Style3Char"/>
    <w:qFormat/>
    <w:rsid w:val="001338B3"/>
    <w:pPr>
      <w:spacing w:line="360" w:lineRule="auto"/>
    </w:pPr>
    <w:rPr>
      <w:rFonts w:ascii="Times New Roman" w:hAnsi="Times New Roman"/>
      <w:color w:val="auto"/>
      <w:sz w:val="22"/>
    </w:rPr>
  </w:style>
  <w:style w:type="character" w:customStyle="1" w:styleId="Style2Char">
    <w:name w:val="Style2 Char"/>
    <w:basedOn w:val="Style1Char"/>
    <w:link w:val="Style2"/>
    <w:rsid w:val="001338B3"/>
    <w:rPr>
      <w:rFonts w:ascii="Times New Roman" w:eastAsiaTheme="majorEastAsia" w:hAnsi="Times New Roman" w:cstheme="majorBidi"/>
      <w:b/>
      <w:bCs/>
      <w:color w:val="365F91" w:themeColor="accent1" w:themeShade="BF"/>
      <w:sz w:val="28"/>
      <w:szCs w:val="28"/>
    </w:rPr>
  </w:style>
  <w:style w:type="paragraph" w:customStyle="1" w:styleId="Style4">
    <w:name w:val="Style4"/>
    <w:basedOn w:val="Style2"/>
    <w:link w:val="Style4Char"/>
    <w:qFormat/>
    <w:rsid w:val="001338B3"/>
    <w:pPr>
      <w:numPr>
        <w:numId w:val="1"/>
      </w:numPr>
    </w:pPr>
  </w:style>
  <w:style w:type="character" w:customStyle="1" w:styleId="Style3Char">
    <w:name w:val="Style3 Char"/>
    <w:basedOn w:val="Heading2Char"/>
    <w:link w:val="Style3"/>
    <w:rsid w:val="001338B3"/>
    <w:rPr>
      <w:rFonts w:ascii="Times New Roman" w:eastAsiaTheme="majorEastAsia" w:hAnsi="Times New Roman" w:cstheme="majorBidi"/>
      <w:b/>
      <w:bCs/>
      <w:color w:val="4F81BD" w:themeColor="accent1"/>
      <w:sz w:val="26"/>
      <w:szCs w:val="26"/>
    </w:rPr>
  </w:style>
  <w:style w:type="paragraph" w:customStyle="1" w:styleId="Style5">
    <w:name w:val="Style5"/>
    <w:basedOn w:val="Style3"/>
    <w:link w:val="Style5Char"/>
    <w:qFormat/>
    <w:rsid w:val="001338B3"/>
    <w:pPr>
      <w:numPr>
        <w:numId w:val="2"/>
      </w:numPr>
    </w:pPr>
  </w:style>
  <w:style w:type="character" w:customStyle="1" w:styleId="Style4Char">
    <w:name w:val="Style4 Char"/>
    <w:basedOn w:val="Style2Char"/>
    <w:link w:val="Style4"/>
    <w:rsid w:val="001338B3"/>
    <w:rPr>
      <w:rFonts w:ascii="Times New Roman" w:eastAsiaTheme="majorEastAsia" w:hAnsi="Times New Roman" w:cstheme="majorBidi"/>
      <w:b/>
      <w:bCs/>
      <w:color w:val="365F91" w:themeColor="accent1" w:themeShade="BF"/>
      <w:sz w:val="28"/>
      <w:szCs w:val="28"/>
    </w:rPr>
  </w:style>
  <w:style w:type="paragraph" w:customStyle="1" w:styleId="Style6">
    <w:name w:val="Style6"/>
    <w:basedOn w:val="Style5"/>
    <w:link w:val="Style6Char"/>
    <w:qFormat/>
    <w:rsid w:val="001338B3"/>
    <w:pPr>
      <w:ind w:left="360"/>
    </w:pPr>
  </w:style>
  <w:style w:type="character" w:customStyle="1" w:styleId="Style5Char">
    <w:name w:val="Style5 Char"/>
    <w:basedOn w:val="Style3Char"/>
    <w:link w:val="Style5"/>
    <w:rsid w:val="001338B3"/>
    <w:rPr>
      <w:rFonts w:ascii="Times New Roman" w:eastAsiaTheme="majorEastAsia" w:hAnsi="Times New Roman" w:cstheme="majorBidi"/>
      <w:b/>
      <w:bCs/>
      <w:color w:val="4F81BD" w:themeColor="accent1"/>
      <w:sz w:val="26"/>
      <w:szCs w:val="26"/>
    </w:rPr>
  </w:style>
  <w:style w:type="paragraph" w:customStyle="1" w:styleId="Style7">
    <w:name w:val="Style7"/>
    <w:basedOn w:val="TOCHeading"/>
    <w:link w:val="Style7Char"/>
    <w:qFormat/>
    <w:rsid w:val="001338B3"/>
    <w:pPr>
      <w:spacing w:line="480" w:lineRule="auto"/>
    </w:pPr>
    <w:rPr>
      <w:color w:val="auto"/>
    </w:rPr>
  </w:style>
  <w:style w:type="character" w:customStyle="1" w:styleId="Style6Char">
    <w:name w:val="Style6 Char"/>
    <w:basedOn w:val="Style5Char"/>
    <w:link w:val="Style6"/>
    <w:rsid w:val="001338B3"/>
    <w:rPr>
      <w:rFonts w:ascii="Times New Roman" w:eastAsiaTheme="majorEastAsia" w:hAnsi="Times New Roman" w:cstheme="majorBidi"/>
      <w:b/>
      <w:bCs/>
      <w:color w:val="4F81BD" w:themeColor="accent1"/>
      <w:sz w:val="26"/>
      <w:szCs w:val="26"/>
    </w:rPr>
  </w:style>
  <w:style w:type="paragraph" w:styleId="TOC1">
    <w:name w:val="toc 1"/>
    <w:basedOn w:val="Normal"/>
    <w:next w:val="Normal"/>
    <w:autoRedefine/>
    <w:uiPriority w:val="39"/>
    <w:unhideWhenUsed/>
    <w:rsid w:val="001B237A"/>
    <w:pPr>
      <w:spacing w:before="240"/>
    </w:pPr>
    <w:rPr>
      <w:rFonts w:cstheme="minorHAnsi"/>
      <w:b/>
      <w:bCs/>
      <w:sz w:val="28"/>
      <w:szCs w:val="20"/>
    </w:rPr>
  </w:style>
  <w:style w:type="character" w:customStyle="1" w:styleId="TOCHeadingChar">
    <w:name w:val="TOC Heading Char"/>
    <w:basedOn w:val="Heading1Char"/>
    <w:link w:val="TOCHeading"/>
    <w:uiPriority w:val="39"/>
    <w:rsid w:val="001338B3"/>
    <w:rPr>
      <w:rFonts w:asciiTheme="majorHAnsi" w:eastAsiaTheme="majorEastAsia" w:hAnsiTheme="majorHAnsi" w:cstheme="majorBidi"/>
      <w:b/>
      <w:bCs/>
      <w:color w:val="365F91" w:themeColor="accent1" w:themeShade="BF"/>
      <w:sz w:val="28"/>
      <w:szCs w:val="28"/>
    </w:rPr>
  </w:style>
  <w:style w:type="character" w:customStyle="1" w:styleId="Style7Char">
    <w:name w:val="Style7 Char"/>
    <w:basedOn w:val="TOCHeadingChar"/>
    <w:link w:val="Style7"/>
    <w:rsid w:val="001338B3"/>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1B237A"/>
    <w:pPr>
      <w:spacing w:after="0"/>
      <w:ind w:left="220"/>
    </w:pPr>
    <w:rPr>
      <w:rFonts w:cstheme="minorHAnsi"/>
      <w:i/>
      <w:iCs/>
      <w:sz w:val="24"/>
      <w:szCs w:val="20"/>
    </w:rPr>
  </w:style>
  <w:style w:type="paragraph" w:styleId="TOC3">
    <w:name w:val="toc 3"/>
    <w:basedOn w:val="Normal"/>
    <w:next w:val="Normal"/>
    <w:autoRedefine/>
    <w:uiPriority w:val="39"/>
    <w:unhideWhenUsed/>
    <w:rsid w:val="001B11E8"/>
    <w:pPr>
      <w:spacing w:after="0"/>
      <w:ind w:left="440"/>
    </w:pPr>
    <w:rPr>
      <w:rFonts w:cstheme="minorHAnsi"/>
      <w:sz w:val="20"/>
      <w:szCs w:val="20"/>
    </w:rPr>
  </w:style>
  <w:style w:type="paragraph" w:styleId="TOC4">
    <w:name w:val="toc 4"/>
    <w:basedOn w:val="Normal"/>
    <w:next w:val="Normal"/>
    <w:autoRedefine/>
    <w:uiPriority w:val="39"/>
    <w:unhideWhenUsed/>
    <w:rsid w:val="001B11E8"/>
    <w:pPr>
      <w:spacing w:after="0"/>
      <w:ind w:left="660"/>
    </w:pPr>
    <w:rPr>
      <w:rFonts w:cstheme="minorHAnsi"/>
      <w:sz w:val="20"/>
      <w:szCs w:val="20"/>
    </w:rPr>
  </w:style>
  <w:style w:type="paragraph" w:styleId="TOC5">
    <w:name w:val="toc 5"/>
    <w:basedOn w:val="Normal"/>
    <w:next w:val="Normal"/>
    <w:autoRedefine/>
    <w:uiPriority w:val="39"/>
    <w:unhideWhenUsed/>
    <w:rsid w:val="001B11E8"/>
    <w:pPr>
      <w:spacing w:after="0"/>
      <w:ind w:left="880"/>
    </w:pPr>
    <w:rPr>
      <w:rFonts w:cstheme="minorHAnsi"/>
      <w:sz w:val="20"/>
      <w:szCs w:val="20"/>
    </w:rPr>
  </w:style>
  <w:style w:type="paragraph" w:styleId="TOC6">
    <w:name w:val="toc 6"/>
    <w:basedOn w:val="Normal"/>
    <w:next w:val="Normal"/>
    <w:autoRedefine/>
    <w:uiPriority w:val="39"/>
    <w:unhideWhenUsed/>
    <w:rsid w:val="001B11E8"/>
    <w:pPr>
      <w:spacing w:after="0"/>
      <w:ind w:left="1100"/>
    </w:pPr>
    <w:rPr>
      <w:rFonts w:cstheme="minorHAnsi"/>
      <w:sz w:val="20"/>
      <w:szCs w:val="20"/>
    </w:rPr>
  </w:style>
  <w:style w:type="paragraph" w:styleId="TOC7">
    <w:name w:val="toc 7"/>
    <w:basedOn w:val="Normal"/>
    <w:next w:val="Normal"/>
    <w:autoRedefine/>
    <w:uiPriority w:val="39"/>
    <w:unhideWhenUsed/>
    <w:rsid w:val="001B11E8"/>
    <w:pPr>
      <w:spacing w:after="0"/>
      <w:ind w:left="1320"/>
    </w:pPr>
    <w:rPr>
      <w:rFonts w:cstheme="minorHAnsi"/>
      <w:sz w:val="20"/>
      <w:szCs w:val="20"/>
    </w:rPr>
  </w:style>
  <w:style w:type="paragraph" w:styleId="TOC8">
    <w:name w:val="toc 8"/>
    <w:basedOn w:val="Normal"/>
    <w:next w:val="Normal"/>
    <w:autoRedefine/>
    <w:uiPriority w:val="39"/>
    <w:unhideWhenUsed/>
    <w:rsid w:val="001B11E8"/>
    <w:pPr>
      <w:spacing w:after="0"/>
      <w:ind w:left="1540"/>
    </w:pPr>
    <w:rPr>
      <w:rFonts w:cstheme="minorHAnsi"/>
      <w:sz w:val="20"/>
      <w:szCs w:val="20"/>
    </w:rPr>
  </w:style>
  <w:style w:type="paragraph" w:styleId="TOC9">
    <w:name w:val="toc 9"/>
    <w:basedOn w:val="Normal"/>
    <w:next w:val="Normal"/>
    <w:autoRedefine/>
    <w:uiPriority w:val="39"/>
    <w:unhideWhenUsed/>
    <w:rsid w:val="001B11E8"/>
    <w:pPr>
      <w:spacing w:after="0"/>
      <w:ind w:left="1760"/>
    </w:pPr>
    <w:rPr>
      <w:rFonts w:cstheme="minorHAnsi"/>
      <w:sz w:val="20"/>
      <w:szCs w:val="20"/>
    </w:rPr>
  </w:style>
  <w:style w:type="character" w:styleId="Hyperlink">
    <w:name w:val="Hyperlink"/>
    <w:basedOn w:val="DefaultParagraphFont"/>
    <w:uiPriority w:val="99"/>
    <w:unhideWhenUsed/>
    <w:rsid w:val="001B11E8"/>
    <w:rPr>
      <w:color w:val="0000FF" w:themeColor="hyperlink"/>
      <w:u w:val="single"/>
    </w:rPr>
  </w:style>
  <w:style w:type="table" w:styleId="TableGrid">
    <w:name w:val="Table Grid"/>
    <w:basedOn w:val="TableNormal"/>
    <w:uiPriority w:val="59"/>
    <w:rsid w:val="0057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E74EE"/>
    <w:pPr>
      <w:spacing w:before="0" w:after="200"/>
    </w:pPr>
    <w:rPr>
      <w:rFonts w:asciiTheme="minorHAnsi" w:eastAsiaTheme="minorEastAsia" w:hAnsiTheme="minorHAnsi"/>
      <w:i/>
      <w:iCs/>
      <w:color w:val="000000" w:themeColor="text1"/>
      <w:lang w:val="en-US" w:eastAsia="ja-JP"/>
    </w:rPr>
  </w:style>
  <w:style w:type="character" w:customStyle="1" w:styleId="QuoteChar">
    <w:name w:val="Quote Char"/>
    <w:basedOn w:val="DefaultParagraphFont"/>
    <w:link w:val="Quote"/>
    <w:uiPriority w:val="29"/>
    <w:rsid w:val="00BE74EE"/>
    <w:rPr>
      <w:rFonts w:eastAsiaTheme="minorEastAsia"/>
      <w:i/>
      <w:iCs/>
      <w:color w:val="000000" w:themeColor="text1"/>
      <w:lang w:val="en-US" w:eastAsia="ja-JP"/>
    </w:rPr>
  </w:style>
  <w:style w:type="paragraph" w:styleId="NormalWeb">
    <w:name w:val="Normal (Web)"/>
    <w:basedOn w:val="Normal"/>
    <w:uiPriority w:val="99"/>
    <w:unhideWhenUsed/>
    <w:rsid w:val="009A23B6"/>
    <w:pPr>
      <w:spacing w:before="100" w:beforeAutospacing="1" w:after="100" w:afterAutospacing="1" w:line="240" w:lineRule="auto"/>
    </w:pPr>
    <w:rPr>
      <w:rFonts w:eastAsia="Times New Roman" w:cs="Times New Roman"/>
      <w:sz w:val="24"/>
      <w:szCs w:val="24"/>
      <w:lang w:eastAsia="en-GB"/>
    </w:rPr>
  </w:style>
  <w:style w:type="character" w:styleId="FollowedHyperlink">
    <w:name w:val="FollowedHyperlink"/>
    <w:basedOn w:val="DefaultParagraphFont"/>
    <w:uiPriority w:val="99"/>
    <w:semiHidden/>
    <w:unhideWhenUsed/>
    <w:rsid w:val="00660713"/>
    <w:rPr>
      <w:color w:val="800080" w:themeColor="followedHyperlink"/>
      <w:u w:val="single"/>
    </w:rPr>
  </w:style>
  <w:style w:type="paragraph" w:styleId="Index1">
    <w:name w:val="index 1"/>
    <w:basedOn w:val="Normal"/>
    <w:next w:val="Normal"/>
    <w:autoRedefine/>
    <w:uiPriority w:val="99"/>
    <w:semiHidden/>
    <w:unhideWhenUsed/>
    <w:rsid w:val="001C50CB"/>
    <w:pPr>
      <w:spacing w:before="0" w:after="0" w:line="240" w:lineRule="auto"/>
      <w:ind w:left="220" w:hanging="220"/>
    </w:pPr>
  </w:style>
  <w:style w:type="character" w:styleId="CommentReference">
    <w:name w:val="annotation reference"/>
    <w:basedOn w:val="DefaultParagraphFont"/>
    <w:uiPriority w:val="99"/>
    <w:semiHidden/>
    <w:unhideWhenUsed/>
    <w:rsid w:val="00A4523D"/>
    <w:rPr>
      <w:sz w:val="16"/>
      <w:szCs w:val="16"/>
    </w:rPr>
  </w:style>
  <w:style w:type="paragraph" w:styleId="CommentText">
    <w:name w:val="annotation text"/>
    <w:basedOn w:val="Normal"/>
    <w:link w:val="CommentTextChar"/>
    <w:uiPriority w:val="99"/>
    <w:semiHidden/>
    <w:unhideWhenUsed/>
    <w:rsid w:val="00A4523D"/>
    <w:pPr>
      <w:spacing w:line="240" w:lineRule="auto"/>
    </w:pPr>
    <w:rPr>
      <w:sz w:val="20"/>
      <w:szCs w:val="20"/>
    </w:rPr>
  </w:style>
  <w:style w:type="character" w:customStyle="1" w:styleId="CommentTextChar">
    <w:name w:val="Comment Text Char"/>
    <w:basedOn w:val="DefaultParagraphFont"/>
    <w:link w:val="CommentText"/>
    <w:uiPriority w:val="99"/>
    <w:semiHidden/>
    <w:rsid w:val="00A452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523D"/>
    <w:rPr>
      <w:b/>
      <w:bCs/>
    </w:rPr>
  </w:style>
  <w:style w:type="character" w:customStyle="1" w:styleId="CommentSubjectChar">
    <w:name w:val="Comment Subject Char"/>
    <w:basedOn w:val="CommentTextChar"/>
    <w:link w:val="CommentSubject"/>
    <w:uiPriority w:val="99"/>
    <w:semiHidden/>
    <w:rsid w:val="00A4523D"/>
    <w:rPr>
      <w:rFonts w:ascii="Times New Roman" w:hAnsi="Times New Roman"/>
      <w:b/>
      <w:bCs/>
      <w:sz w:val="20"/>
      <w:szCs w:val="20"/>
    </w:rPr>
  </w:style>
  <w:style w:type="paragraph" w:styleId="ListParagraph">
    <w:name w:val="List Paragraph"/>
    <w:basedOn w:val="Normal"/>
    <w:uiPriority w:val="34"/>
    <w:qFormat/>
    <w:rsid w:val="00EC2242"/>
    <w:pPr>
      <w:ind w:left="720"/>
      <w:contextualSpacing/>
    </w:pPr>
  </w:style>
  <w:style w:type="paragraph" w:customStyle="1" w:styleId="IPPNormal">
    <w:name w:val="IPP Normal"/>
    <w:basedOn w:val="Normal"/>
    <w:qFormat/>
    <w:rsid w:val="00100350"/>
    <w:pPr>
      <w:spacing w:before="0" w:after="180" w:line="240" w:lineRule="auto"/>
      <w:jc w:val="both"/>
    </w:pPr>
    <w:rPr>
      <w:rFonts w:eastAsia="Times" w:cs="Times New Roman"/>
      <w:szCs w:val="24"/>
    </w:rPr>
  </w:style>
  <w:style w:type="paragraph" w:customStyle="1" w:styleId="Default">
    <w:name w:val="Default"/>
    <w:rsid w:val="00DB52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4205">
      <w:bodyDiv w:val="1"/>
      <w:marLeft w:val="0"/>
      <w:marRight w:val="0"/>
      <w:marTop w:val="0"/>
      <w:marBottom w:val="0"/>
      <w:divBdr>
        <w:top w:val="none" w:sz="0" w:space="0" w:color="auto"/>
        <w:left w:val="none" w:sz="0" w:space="0" w:color="auto"/>
        <w:bottom w:val="none" w:sz="0" w:space="0" w:color="auto"/>
        <w:right w:val="none" w:sz="0" w:space="0" w:color="auto"/>
      </w:divBdr>
      <w:divsChild>
        <w:div w:id="315183500">
          <w:marLeft w:val="0"/>
          <w:marRight w:val="0"/>
          <w:marTop w:val="0"/>
          <w:marBottom w:val="0"/>
          <w:divBdr>
            <w:top w:val="none" w:sz="0" w:space="0" w:color="auto"/>
            <w:left w:val="none" w:sz="0" w:space="0" w:color="auto"/>
            <w:bottom w:val="none" w:sz="0" w:space="0" w:color="auto"/>
            <w:right w:val="none" w:sz="0" w:space="0" w:color="auto"/>
          </w:divBdr>
          <w:divsChild>
            <w:div w:id="2094164253">
              <w:marLeft w:val="0"/>
              <w:marRight w:val="0"/>
              <w:marTop w:val="0"/>
              <w:marBottom w:val="0"/>
              <w:divBdr>
                <w:top w:val="none" w:sz="0" w:space="0" w:color="auto"/>
                <w:left w:val="none" w:sz="0" w:space="0" w:color="auto"/>
                <w:bottom w:val="none" w:sz="0" w:space="0" w:color="auto"/>
                <w:right w:val="none" w:sz="0" w:space="0" w:color="auto"/>
              </w:divBdr>
              <w:divsChild>
                <w:div w:id="1695883740">
                  <w:marLeft w:val="0"/>
                  <w:marRight w:val="0"/>
                  <w:marTop w:val="0"/>
                  <w:marBottom w:val="0"/>
                  <w:divBdr>
                    <w:top w:val="none" w:sz="0" w:space="0" w:color="auto"/>
                    <w:left w:val="none" w:sz="0" w:space="0" w:color="auto"/>
                    <w:bottom w:val="none" w:sz="0" w:space="0" w:color="auto"/>
                    <w:right w:val="none" w:sz="0" w:space="0" w:color="auto"/>
                  </w:divBdr>
                  <w:divsChild>
                    <w:div w:id="2037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6000">
          <w:marLeft w:val="0"/>
          <w:marRight w:val="0"/>
          <w:marTop w:val="0"/>
          <w:marBottom w:val="0"/>
          <w:divBdr>
            <w:top w:val="none" w:sz="0" w:space="0" w:color="auto"/>
            <w:left w:val="none" w:sz="0" w:space="0" w:color="auto"/>
            <w:bottom w:val="none" w:sz="0" w:space="0" w:color="auto"/>
            <w:right w:val="none" w:sz="0" w:space="0" w:color="auto"/>
          </w:divBdr>
          <w:divsChild>
            <w:div w:id="1166364170">
              <w:marLeft w:val="0"/>
              <w:marRight w:val="0"/>
              <w:marTop w:val="0"/>
              <w:marBottom w:val="0"/>
              <w:divBdr>
                <w:top w:val="none" w:sz="0" w:space="0" w:color="auto"/>
                <w:left w:val="none" w:sz="0" w:space="0" w:color="auto"/>
                <w:bottom w:val="none" w:sz="0" w:space="0" w:color="auto"/>
                <w:right w:val="none" w:sz="0" w:space="0" w:color="auto"/>
              </w:divBdr>
              <w:divsChild>
                <w:div w:id="1613395277">
                  <w:marLeft w:val="0"/>
                  <w:marRight w:val="0"/>
                  <w:marTop w:val="0"/>
                  <w:marBottom w:val="0"/>
                  <w:divBdr>
                    <w:top w:val="none" w:sz="0" w:space="0" w:color="auto"/>
                    <w:left w:val="none" w:sz="0" w:space="0" w:color="auto"/>
                    <w:bottom w:val="none" w:sz="0" w:space="0" w:color="auto"/>
                    <w:right w:val="none" w:sz="0" w:space="0" w:color="auto"/>
                  </w:divBdr>
                  <w:divsChild>
                    <w:div w:id="2105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551">
          <w:marLeft w:val="0"/>
          <w:marRight w:val="0"/>
          <w:marTop w:val="0"/>
          <w:marBottom w:val="0"/>
          <w:divBdr>
            <w:top w:val="none" w:sz="0" w:space="0" w:color="auto"/>
            <w:left w:val="none" w:sz="0" w:space="0" w:color="auto"/>
            <w:bottom w:val="none" w:sz="0" w:space="0" w:color="auto"/>
            <w:right w:val="none" w:sz="0" w:space="0" w:color="auto"/>
          </w:divBdr>
          <w:divsChild>
            <w:div w:id="1503397804">
              <w:marLeft w:val="0"/>
              <w:marRight w:val="0"/>
              <w:marTop w:val="0"/>
              <w:marBottom w:val="0"/>
              <w:divBdr>
                <w:top w:val="none" w:sz="0" w:space="0" w:color="auto"/>
                <w:left w:val="none" w:sz="0" w:space="0" w:color="auto"/>
                <w:bottom w:val="none" w:sz="0" w:space="0" w:color="auto"/>
                <w:right w:val="none" w:sz="0" w:space="0" w:color="auto"/>
              </w:divBdr>
              <w:divsChild>
                <w:div w:id="1714576609">
                  <w:marLeft w:val="0"/>
                  <w:marRight w:val="0"/>
                  <w:marTop w:val="0"/>
                  <w:marBottom w:val="0"/>
                  <w:divBdr>
                    <w:top w:val="none" w:sz="0" w:space="0" w:color="auto"/>
                    <w:left w:val="none" w:sz="0" w:space="0" w:color="auto"/>
                    <w:bottom w:val="none" w:sz="0" w:space="0" w:color="auto"/>
                    <w:right w:val="none" w:sz="0" w:space="0" w:color="auto"/>
                  </w:divBdr>
                  <w:divsChild>
                    <w:div w:id="797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43245">
      <w:bodyDiv w:val="1"/>
      <w:marLeft w:val="0"/>
      <w:marRight w:val="0"/>
      <w:marTop w:val="0"/>
      <w:marBottom w:val="0"/>
      <w:divBdr>
        <w:top w:val="none" w:sz="0" w:space="0" w:color="auto"/>
        <w:left w:val="none" w:sz="0" w:space="0" w:color="auto"/>
        <w:bottom w:val="none" w:sz="0" w:space="0" w:color="auto"/>
        <w:right w:val="none" w:sz="0" w:space="0" w:color="auto"/>
      </w:divBdr>
      <w:divsChild>
        <w:div w:id="745229712">
          <w:marLeft w:val="0"/>
          <w:marRight w:val="0"/>
          <w:marTop w:val="0"/>
          <w:marBottom w:val="0"/>
          <w:divBdr>
            <w:top w:val="none" w:sz="0" w:space="0" w:color="auto"/>
            <w:left w:val="none" w:sz="0" w:space="0" w:color="auto"/>
            <w:bottom w:val="none" w:sz="0" w:space="0" w:color="auto"/>
            <w:right w:val="none" w:sz="0" w:space="0" w:color="auto"/>
          </w:divBdr>
          <w:divsChild>
            <w:div w:id="263809056">
              <w:marLeft w:val="0"/>
              <w:marRight w:val="0"/>
              <w:marTop w:val="0"/>
              <w:marBottom w:val="0"/>
              <w:divBdr>
                <w:top w:val="none" w:sz="0" w:space="0" w:color="auto"/>
                <w:left w:val="none" w:sz="0" w:space="0" w:color="auto"/>
                <w:bottom w:val="none" w:sz="0" w:space="0" w:color="auto"/>
                <w:right w:val="none" w:sz="0" w:space="0" w:color="auto"/>
              </w:divBdr>
              <w:divsChild>
                <w:div w:id="1595437855">
                  <w:marLeft w:val="0"/>
                  <w:marRight w:val="0"/>
                  <w:marTop w:val="0"/>
                  <w:marBottom w:val="0"/>
                  <w:divBdr>
                    <w:top w:val="none" w:sz="0" w:space="0" w:color="auto"/>
                    <w:left w:val="none" w:sz="0" w:space="0" w:color="auto"/>
                    <w:bottom w:val="none" w:sz="0" w:space="0" w:color="auto"/>
                    <w:right w:val="none" w:sz="0" w:space="0" w:color="auto"/>
                  </w:divBdr>
                  <w:divsChild>
                    <w:div w:id="11291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7596">
          <w:marLeft w:val="0"/>
          <w:marRight w:val="0"/>
          <w:marTop w:val="0"/>
          <w:marBottom w:val="0"/>
          <w:divBdr>
            <w:top w:val="none" w:sz="0" w:space="0" w:color="auto"/>
            <w:left w:val="none" w:sz="0" w:space="0" w:color="auto"/>
            <w:bottom w:val="none" w:sz="0" w:space="0" w:color="auto"/>
            <w:right w:val="none" w:sz="0" w:space="0" w:color="auto"/>
          </w:divBdr>
          <w:divsChild>
            <w:div w:id="958099349">
              <w:marLeft w:val="0"/>
              <w:marRight w:val="0"/>
              <w:marTop w:val="0"/>
              <w:marBottom w:val="0"/>
              <w:divBdr>
                <w:top w:val="none" w:sz="0" w:space="0" w:color="auto"/>
                <w:left w:val="none" w:sz="0" w:space="0" w:color="auto"/>
                <w:bottom w:val="none" w:sz="0" w:space="0" w:color="auto"/>
                <w:right w:val="none" w:sz="0" w:space="0" w:color="auto"/>
              </w:divBdr>
              <w:divsChild>
                <w:div w:id="547960100">
                  <w:marLeft w:val="0"/>
                  <w:marRight w:val="0"/>
                  <w:marTop w:val="0"/>
                  <w:marBottom w:val="0"/>
                  <w:divBdr>
                    <w:top w:val="none" w:sz="0" w:space="0" w:color="auto"/>
                    <w:left w:val="none" w:sz="0" w:space="0" w:color="auto"/>
                    <w:bottom w:val="none" w:sz="0" w:space="0" w:color="auto"/>
                    <w:right w:val="none" w:sz="0" w:space="0" w:color="auto"/>
                  </w:divBdr>
                  <w:divsChild>
                    <w:div w:id="554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6660">
          <w:marLeft w:val="0"/>
          <w:marRight w:val="0"/>
          <w:marTop w:val="0"/>
          <w:marBottom w:val="0"/>
          <w:divBdr>
            <w:top w:val="none" w:sz="0" w:space="0" w:color="auto"/>
            <w:left w:val="none" w:sz="0" w:space="0" w:color="auto"/>
            <w:bottom w:val="none" w:sz="0" w:space="0" w:color="auto"/>
            <w:right w:val="none" w:sz="0" w:space="0" w:color="auto"/>
          </w:divBdr>
          <w:divsChild>
            <w:div w:id="1318148486">
              <w:marLeft w:val="0"/>
              <w:marRight w:val="0"/>
              <w:marTop w:val="0"/>
              <w:marBottom w:val="0"/>
              <w:divBdr>
                <w:top w:val="none" w:sz="0" w:space="0" w:color="auto"/>
                <w:left w:val="none" w:sz="0" w:space="0" w:color="auto"/>
                <w:bottom w:val="none" w:sz="0" w:space="0" w:color="auto"/>
                <w:right w:val="none" w:sz="0" w:space="0" w:color="auto"/>
              </w:divBdr>
              <w:divsChild>
                <w:div w:id="312418061">
                  <w:marLeft w:val="0"/>
                  <w:marRight w:val="0"/>
                  <w:marTop w:val="0"/>
                  <w:marBottom w:val="0"/>
                  <w:divBdr>
                    <w:top w:val="none" w:sz="0" w:space="0" w:color="auto"/>
                    <w:left w:val="none" w:sz="0" w:space="0" w:color="auto"/>
                    <w:bottom w:val="none" w:sz="0" w:space="0" w:color="auto"/>
                    <w:right w:val="none" w:sz="0" w:space="0" w:color="auto"/>
                  </w:divBdr>
                  <w:divsChild>
                    <w:div w:id="35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po.org/QUARANTINE/insects/Anoplophora_glabripennis/ANOLGL_ds.pdf" TargetMode="External"/><Relationship Id="rId18" Type="http://schemas.openxmlformats.org/officeDocument/2006/relationships/hyperlink" Target="https://www.ippc.int/file_uploaded/1110538735517_Chapter_01_IFQRG_ISPM_15_Q_As_E.doc" TargetMode="External"/><Relationship Id="rId26" Type="http://schemas.openxmlformats.org/officeDocument/2006/relationships/hyperlink" Target="http://www.ars.usda.gov/is/np/mba/jan97/secure.htm" TargetMode="External"/><Relationship Id="rId3" Type="http://schemas.openxmlformats.org/officeDocument/2006/relationships/numbering" Target="numbering.xml"/><Relationship Id="rId21" Type="http://schemas.openxmlformats.org/officeDocument/2006/relationships/hyperlink" Target="https://www.ippc.int/index.php?id=1110637&amp;L=0"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inspection.gc.ca/english/plaveg/hort/d-04-01qae.shtml" TargetMode="External"/><Relationship Id="rId17" Type="http://schemas.openxmlformats.org/officeDocument/2006/relationships/hyperlink" Target="mailto:ISPM-15-L@mailserv.fao.org" TargetMode="External"/><Relationship Id="rId25" Type="http://schemas.openxmlformats.org/officeDocument/2006/relationships/hyperlink" Target="http://www.weibull.com/hotwire/issue88/relbasics88.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world/agreements/prepareCreateTreatiesWorkspace/treatiesGeneralData.do?step=0&amp;redirect=true&amp;treatyId=534" TargetMode="External"/><Relationship Id="rId20" Type="http://schemas.openxmlformats.org/officeDocument/2006/relationships/hyperlink" Target="http://www.iancas.org/rediation.asp" TargetMode="External"/><Relationship Id="rId29" Type="http://schemas.openxmlformats.org/officeDocument/2006/relationships/hyperlink" Target="http://www.wto.org/english/thewto_e/coher_e/mdg_e/global_partnership_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mesticquarantine.org.au/go/dqmawg/issues-and-decisions/apvma-reviews-of-dimethoate-and-fenthion" TargetMode="External"/><Relationship Id="rId24" Type="http://schemas.openxmlformats.org/officeDocument/2006/relationships/hyperlink" Target="http://www.mango.org/media/46334/irradiation%20plants%20in%20mango%20producing%20countries%20eng.pdf" TargetMode="External"/><Relationship Id="rId32" Type="http://schemas.openxmlformats.org/officeDocument/2006/relationships/footer" Target="footer1.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eur-lex.europa.eu/JOIndex.do?year=2002&amp;serie=L&amp;textfield2=352&amp;Submit=Search&amp;ihmlang=en" TargetMode="External"/><Relationship Id="rId23" Type="http://schemas.openxmlformats.org/officeDocument/2006/relationships/hyperlink" Target="http://www.fao.org/ag/againfo/programmes/en/pplpi/docarc/LL24.pdf" TargetMode="External"/><Relationship Id="rId28" Type="http://schemas.openxmlformats.org/officeDocument/2006/relationships/hyperlink" Target="http://www.wto.org/english/tratop_e/sps_e/sps_handbook_cbt_e/c4s1p1_e.htm" TargetMode="External"/><Relationship Id="rId36" Type="http://schemas.openxmlformats.org/officeDocument/2006/relationships/fontTable" Target="fontTable.xml"/><Relationship Id="rId10" Type="http://schemas.openxmlformats.org/officeDocument/2006/relationships/hyperlink" Target="http://www.federalregister.gov/articles/2002/03/15/02-6267/irradiation-phytosanitary-treatment-of-imported-fruits-and-vegetables" TargetMode="External"/><Relationship Id="rId19" Type="http://schemas.openxmlformats.org/officeDocument/2006/relationships/hyperlink" Target="http://ecfr.gpoaccess.gov/cgi/t/text/text-idx?c=ecfr&amp;rgn=div5&amp;view=text&amp;node=7:5.1.1.1.6&amp;idno=7"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rchives.eppo.org/WORLDWIDE/2003/wgequivalence_2003.htm" TargetMode="External"/><Relationship Id="rId22" Type="http://schemas.openxmlformats.org/officeDocument/2006/relationships/hyperlink" Target="http://www.fao.org/docrep/007/y5507e/y5507e09.htm" TargetMode="External"/><Relationship Id="rId27" Type="http://schemas.openxmlformats.org/officeDocument/2006/relationships/hyperlink" Target="http://www.wto.org/english/news_e/news11_e/sps_30mar11_e.ht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5D742-B0AB-43C6-84F9-E4CB8D1B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Manual on Equivalence between pest risk management measures</vt:lpstr>
    </vt:vector>
  </TitlesOfParts>
  <Company>Imperial College London</Company>
  <LinksUpToDate>false</LinksUpToDate>
  <CharactersWithSpaces>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Equivalence between pest risk management measures</dc:title>
  <dc:creator>Quinlan, Megan M</dc:creator>
  <cp:lastModifiedBy>Florence Chege</cp:lastModifiedBy>
  <cp:revision>2</cp:revision>
  <dcterms:created xsi:type="dcterms:W3CDTF">2012-04-30T18:16:00Z</dcterms:created>
  <dcterms:modified xsi:type="dcterms:W3CDTF">2012-04-30T18:16:00Z</dcterms:modified>
</cp:coreProperties>
</file>