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65E" w:rsidRDefault="00E1365E" w:rsidP="004D40EC">
      <w:pPr>
        <w:jc w:val="center"/>
        <w:rPr>
          <w:b/>
          <w:lang w:val="en-US"/>
        </w:rPr>
      </w:pPr>
      <w:r>
        <w:rPr>
          <w:b/>
          <w:lang w:val="en-US"/>
        </w:rPr>
        <w:t>IPPC Core</w:t>
      </w:r>
      <w:r w:rsidR="004D40EC" w:rsidRPr="004D40EC">
        <w:rPr>
          <w:b/>
          <w:lang w:val="en-US"/>
        </w:rPr>
        <w:t xml:space="preserve"> </w:t>
      </w:r>
      <w:r>
        <w:rPr>
          <w:b/>
          <w:lang w:val="en-US"/>
        </w:rPr>
        <w:t xml:space="preserve">Training Materials </w:t>
      </w:r>
    </w:p>
    <w:p w:rsidR="004D40EC" w:rsidRPr="004D40EC" w:rsidRDefault="004D40EC" w:rsidP="004D40EC">
      <w:pPr>
        <w:jc w:val="center"/>
        <w:rPr>
          <w:b/>
          <w:lang w:val="en-US"/>
        </w:rPr>
      </w:pPr>
      <w:r w:rsidRPr="004D40EC">
        <w:rPr>
          <w:b/>
          <w:lang w:val="en-US"/>
        </w:rPr>
        <w:t>t</w:t>
      </w:r>
      <w:r w:rsidR="00E1365E">
        <w:rPr>
          <w:b/>
          <w:lang w:val="en-US"/>
        </w:rPr>
        <w:t>alking points for TC-RPPOs</w:t>
      </w:r>
    </w:p>
    <w:p w:rsidR="004D40EC" w:rsidRDefault="004D40EC" w:rsidP="004D40EC">
      <w:pPr>
        <w:rPr>
          <w:lang w:val="en-US"/>
        </w:rPr>
      </w:pPr>
    </w:p>
    <w:p w:rsidR="00B452E7" w:rsidRDefault="00FF12F6">
      <w:pPr>
        <w:rPr>
          <w:lang w:val="en-US"/>
        </w:rPr>
      </w:pPr>
      <w:r w:rsidRPr="004D40EC">
        <w:rPr>
          <w:b/>
          <w:lang w:val="en-US"/>
        </w:rPr>
        <w:t xml:space="preserve">What </w:t>
      </w:r>
      <w:r w:rsidR="0077220F">
        <w:rPr>
          <w:b/>
          <w:lang w:val="en-US"/>
        </w:rPr>
        <w:t>are the core training materials</w:t>
      </w:r>
      <w:r w:rsidRPr="004D40EC">
        <w:rPr>
          <w:b/>
          <w:lang w:val="en-US"/>
        </w:rPr>
        <w:t>?</w:t>
      </w:r>
      <w:r w:rsidR="004D40EC" w:rsidRPr="004D40EC">
        <w:rPr>
          <w:b/>
          <w:lang w:val="en-US"/>
        </w:rPr>
        <w:br/>
      </w:r>
      <w:r w:rsidR="0077220F">
        <w:rPr>
          <w:lang w:val="en-US"/>
        </w:rPr>
        <w:t>These materials are</w:t>
      </w:r>
      <w:r w:rsidR="00B452E7">
        <w:rPr>
          <w:lang w:val="en-US"/>
        </w:rPr>
        <w:t xml:space="preserve"> key </w:t>
      </w:r>
      <w:r w:rsidR="0077220F">
        <w:rPr>
          <w:lang w:val="en-US"/>
        </w:rPr>
        <w:t>to advancing</w:t>
      </w:r>
      <w:r w:rsidR="00B452E7">
        <w:rPr>
          <w:lang w:val="en-US"/>
        </w:rPr>
        <w:t xml:space="preserve"> the IPPC capacity development strategy. A range of training materials </w:t>
      </w:r>
      <w:r w:rsidR="0077220F">
        <w:rPr>
          <w:lang w:val="en-US"/>
        </w:rPr>
        <w:t xml:space="preserve">are being developed </w:t>
      </w:r>
      <w:r w:rsidR="00B452E7">
        <w:rPr>
          <w:lang w:val="en-US"/>
        </w:rPr>
        <w:t xml:space="preserve">on core IPPC themes such as NPPO management, import/export systems, and stakeholder management. </w:t>
      </w:r>
      <w:r w:rsidR="0077220F">
        <w:rPr>
          <w:lang w:val="en-US"/>
        </w:rPr>
        <w:t xml:space="preserve"> A full list is provided below</w:t>
      </w:r>
    </w:p>
    <w:p w:rsidR="00C561B2" w:rsidRDefault="00B452E7">
      <w:pPr>
        <w:rPr>
          <w:lang w:val="en-US"/>
        </w:rPr>
      </w:pPr>
      <w:r>
        <w:rPr>
          <w:lang w:val="en-US"/>
        </w:rPr>
        <w:t>One of the several avenues for development these materials is t</w:t>
      </w:r>
      <w:r w:rsidR="004D40EC">
        <w:rPr>
          <w:lang w:val="en-US"/>
        </w:rPr>
        <w:t>he “</w:t>
      </w:r>
      <w:r w:rsidR="004D40EC" w:rsidRPr="004D40EC">
        <w:rPr>
          <w:lang w:val="en-US"/>
        </w:rPr>
        <w:t>Global Phytosanitary Manuals, Standard Operating Procedures and Training Kits Project</w:t>
      </w:r>
      <w:r w:rsidR="0077220F">
        <w:rPr>
          <w:lang w:val="en-US"/>
        </w:rPr>
        <w:t>” funded by the STDF</w:t>
      </w:r>
      <w:r>
        <w:rPr>
          <w:lang w:val="en-US"/>
        </w:rPr>
        <w:t xml:space="preserve">. This is </w:t>
      </w:r>
      <w:r w:rsidR="004D40EC">
        <w:rPr>
          <w:lang w:val="en-US"/>
        </w:rPr>
        <w:t>a global-level project to build a base of globally relevant resources to strengthen NPPO capacities to implement key elements of their roles and responsibilities under the IPPC. The project was submitted to the STDF by four countries, is implemented by the IPPC Secretariat, and the CDC is the steering committee.</w:t>
      </w:r>
      <w:r w:rsidR="003B0CAF">
        <w:rPr>
          <w:lang w:val="en-US"/>
        </w:rPr>
        <w:t xml:space="preserve"> This two year project began in Feb 2012 and will conclude in Feb 2014. We plan to request a one-year extension</w:t>
      </w:r>
      <w:r>
        <w:rPr>
          <w:lang w:val="en-US"/>
        </w:rPr>
        <w:t xml:space="preserve"> to allow time for additional peer review and pilot-testing</w:t>
      </w:r>
      <w:r w:rsidR="003B0CAF">
        <w:rPr>
          <w:lang w:val="en-US"/>
        </w:rPr>
        <w:t>.</w:t>
      </w:r>
      <w:r w:rsidR="0077220F">
        <w:rPr>
          <w:lang w:val="en-US"/>
        </w:rPr>
        <w:t xml:space="preserve"> Additional materials are being developed through IPPC Secretariat resources.</w:t>
      </w:r>
    </w:p>
    <w:p w:rsidR="0077220F" w:rsidRDefault="0077220F">
      <w:pPr>
        <w:rPr>
          <w:lang w:val="en-US"/>
        </w:rPr>
      </w:pPr>
      <w:r>
        <w:rPr>
          <w:lang w:val="en-US"/>
        </w:rPr>
        <w:t>These materials will serve as a foundation for many future activities including national and regional-level capacity development workshops, training PCE facilitators, training of trainers in phytosanitary capacity development, and providing materials that can be used by technical development agencies to ensure that projects related to phytosanitary issues are consistent with the IPPC and ISPMs.</w:t>
      </w:r>
    </w:p>
    <w:p w:rsidR="00FF12F6" w:rsidRPr="004D40EC" w:rsidRDefault="00FF12F6">
      <w:pPr>
        <w:rPr>
          <w:b/>
          <w:lang w:val="en-US"/>
        </w:rPr>
      </w:pPr>
      <w:r w:rsidRPr="004D40EC">
        <w:rPr>
          <w:b/>
          <w:lang w:val="en-US"/>
        </w:rPr>
        <w:t>What materials will be developed?</w:t>
      </w:r>
    </w:p>
    <w:p w:rsidR="003B0CAF" w:rsidRDefault="00B452E7" w:rsidP="003B0CAF">
      <w:r>
        <w:t>Over</w:t>
      </w:r>
      <w:r w:rsidR="003B0CAF">
        <w:t xml:space="preserve"> 20 practical products to support implementation of the IPPC and ISPMs, including:</w:t>
      </w:r>
    </w:p>
    <w:p w:rsidR="004D40EC" w:rsidRDefault="004D40EC" w:rsidP="004D40EC">
      <w:pPr>
        <w:pStyle w:val="ListParagraph"/>
        <w:numPr>
          <w:ilvl w:val="0"/>
          <w:numId w:val="1"/>
        </w:numPr>
      </w:pPr>
      <w:r>
        <w:t>NPPO management (manual and training kit on establishing an NPPO; manual, SOP and training kit on operating an NPPO)</w:t>
      </w:r>
    </w:p>
    <w:p w:rsidR="004D40EC" w:rsidRDefault="004D40EC" w:rsidP="004D40EC">
      <w:pPr>
        <w:pStyle w:val="ListParagraph"/>
        <w:numPr>
          <w:ilvl w:val="0"/>
          <w:numId w:val="1"/>
        </w:numPr>
      </w:pPr>
      <w:r>
        <w:t>NPPO external/internal relations (manual)</w:t>
      </w:r>
    </w:p>
    <w:p w:rsidR="004D40EC" w:rsidRDefault="004D40EC" w:rsidP="004D40EC">
      <w:pPr>
        <w:pStyle w:val="ListParagraph"/>
        <w:numPr>
          <w:ilvl w:val="0"/>
          <w:numId w:val="1"/>
        </w:numPr>
      </w:pPr>
      <w:r>
        <w:t>Import verification procedures, export certification procedures and phytosanitary measures for export (manual, SOP and training kit for each)</w:t>
      </w:r>
    </w:p>
    <w:p w:rsidR="004D40EC" w:rsidRDefault="004D40EC" w:rsidP="004D40EC">
      <w:pPr>
        <w:pStyle w:val="ListParagraph"/>
        <w:numPr>
          <w:ilvl w:val="0"/>
          <w:numId w:val="1"/>
        </w:numPr>
      </w:pPr>
      <w:r>
        <w:t>Surveillance (manual)</w:t>
      </w:r>
    </w:p>
    <w:p w:rsidR="004D40EC" w:rsidRDefault="004D40EC" w:rsidP="004D40EC">
      <w:pPr>
        <w:pStyle w:val="ListParagraph"/>
        <w:numPr>
          <w:ilvl w:val="0"/>
          <w:numId w:val="1"/>
        </w:numPr>
      </w:pPr>
      <w:r>
        <w:t>Pest risk analysis awareness (information/training kit)</w:t>
      </w:r>
    </w:p>
    <w:p w:rsidR="004D40EC" w:rsidRDefault="004D40EC" w:rsidP="004D40EC">
      <w:pPr>
        <w:pStyle w:val="ListParagraph"/>
        <w:numPr>
          <w:ilvl w:val="0"/>
          <w:numId w:val="1"/>
        </w:numPr>
      </w:pPr>
      <w:r>
        <w:t>Export and import</w:t>
      </w:r>
      <w:r w:rsidRPr="00FB4BB7">
        <w:t xml:space="preserve"> </w:t>
      </w:r>
      <w:r>
        <w:t>of forestry products (e-learning)</w:t>
      </w:r>
    </w:p>
    <w:p w:rsidR="004D40EC" w:rsidRDefault="004D40EC" w:rsidP="004D40EC">
      <w:pPr>
        <w:pStyle w:val="ListParagraph"/>
        <w:numPr>
          <w:ilvl w:val="0"/>
          <w:numId w:val="1"/>
        </w:numPr>
      </w:pPr>
      <w:r>
        <w:t>Participation in the IPPC (manual and e-learning)</w:t>
      </w:r>
    </w:p>
    <w:p w:rsidR="004D40EC" w:rsidRDefault="004D40EC" w:rsidP="004D40EC">
      <w:pPr>
        <w:pStyle w:val="ListParagraph"/>
        <w:numPr>
          <w:ilvl w:val="0"/>
          <w:numId w:val="1"/>
        </w:numPr>
      </w:pPr>
      <w:r>
        <w:t>Dielectric heating (manual, fact sheet)</w:t>
      </w:r>
    </w:p>
    <w:p w:rsidR="00B452E7" w:rsidRDefault="00B452E7" w:rsidP="004D40EC">
      <w:pPr>
        <w:pStyle w:val="ListParagraph"/>
        <w:numPr>
          <w:ilvl w:val="0"/>
          <w:numId w:val="1"/>
        </w:numPr>
      </w:pPr>
      <w:r>
        <w:t>Equivalence (manual)</w:t>
      </w:r>
    </w:p>
    <w:p w:rsidR="00B452E7" w:rsidRDefault="00B452E7" w:rsidP="004D40EC">
      <w:pPr>
        <w:pStyle w:val="ListParagraph"/>
        <w:numPr>
          <w:ilvl w:val="0"/>
          <w:numId w:val="1"/>
        </w:numPr>
      </w:pPr>
      <w:r>
        <w:t>Market access (manual)</w:t>
      </w:r>
    </w:p>
    <w:p w:rsidR="00B452E7" w:rsidRDefault="00B452E7" w:rsidP="004D40EC">
      <w:pPr>
        <w:pStyle w:val="ListParagraph"/>
        <w:numPr>
          <w:ilvl w:val="0"/>
          <w:numId w:val="1"/>
        </w:numPr>
      </w:pPr>
      <w:r>
        <w:lastRenderedPageBreak/>
        <w:t>Transit (manual)</w:t>
      </w:r>
    </w:p>
    <w:p w:rsidR="00FF12F6" w:rsidRPr="004D40EC" w:rsidRDefault="00FF12F6">
      <w:pPr>
        <w:rPr>
          <w:b/>
          <w:lang w:val="en-US"/>
        </w:rPr>
      </w:pPr>
      <w:r w:rsidRPr="004D40EC">
        <w:rPr>
          <w:b/>
          <w:lang w:val="en-US"/>
        </w:rPr>
        <w:t>How were topics selected?</w:t>
      </w:r>
    </w:p>
    <w:p w:rsidR="004D40EC" w:rsidRDefault="004D40EC">
      <w:pPr>
        <w:rPr>
          <w:lang w:val="en-US"/>
        </w:rPr>
      </w:pPr>
      <w:r>
        <w:rPr>
          <w:lang w:val="en-US"/>
        </w:rPr>
        <w:t>1. Analysis of needs based on experiences with PCE application in over 70 countries as well as gaps identified through IRSS review.</w:t>
      </w:r>
    </w:p>
    <w:p w:rsidR="004D40EC" w:rsidRDefault="004D40EC">
      <w:pPr>
        <w:rPr>
          <w:lang w:val="en-US"/>
        </w:rPr>
      </w:pPr>
      <w:r>
        <w:rPr>
          <w:lang w:val="en-US"/>
        </w:rPr>
        <w:t>2. Collection of existing resources through an open (and ongoing) call for materials in any language.</w:t>
      </w:r>
    </w:p>
    <w:p w:rsidR="004D40EC" w:rsidRDefault="004D40EC">
      <w:pPr>
        <w:rPr>
          <w:lang w:val="en-US"/>
        </w:rPr>
      </w:pPr>
      <w:r>
        <w:rPr>
          <w:lang w:val="en-US"/>
        </w:rPr>
        <w:t>3. The CDC set criteria to select the topics, keeping in mind the gaps and existing resources that were identified. The criteria are:</w:t>
      </w:r>
    </w:p>
    <w:p w:rsidR="004D40EC" w:rsidRPr="00E31FDB" w:rsidRDefault="004D40EC" w:rsidP="004D40EC">
      <w:pPr>
        <w:numPr>
          <w:ilvl w:val="0"/>
          <w:numId w:val="2"/>
        </w:numPr>
        <w:ind w:left="1434" w:hanging="357"/>
        <w:contextualSpacing/>
        <w:rPr>
          <w:rFonts w:cs="Times New Roman"/>
        </w:rPr>
      </w:pPr>
      <w:r w:rsidRPr="00E31FDB">
        <w:rPr>
          <w:rFonts w:cs="Times New Roman"/>
        </w:rPr>
        <w:t>Whether the product addresses core functions of the IPPC.</w:t>
      </w:r>
    </w:p>
    <w:p w:rsidR="004D40EC" w:rsidRPr="00E31FDB" w:rsidRDefault="004D40EC" w:rsidP="004D40EC">
      <w:pPr>
        <w:numPr>
          <w:ilvl w:val="0"/>
          <w:numId w:val="2"/>
        </w:numPr>
        <w:ind w:left="1434" w:hanging="357"/>
        <w:contextualSpacing/>
        <w:rPr>
          <w:rFonts w:cs="Times New Roman"/>
        </w:rPr>
      </w:pPr>
      <w:r w:rsidRPr="00E31FDB">
        <w:rPr>
          <w:rFonts w:cs="Times New Roman"/>
        </w:rPr>
        <w:t>Whether the product relates to NPPO management.</w:t>
      </w:r>
    </w:p>
    <w:p w:rsidR="004D40EC" w:rsidRPr="00E31FDB" w:rsidRDefault="004D40EC" w:rsidP="004D40EC">
      <w:pPr>
        <w:numPr>
          <w:ilvl w:val="0"/>
          <w:numId w:val="2"/>
        </w:numPr>
        <w:ind w:left="1434" w:hanging="357"/>
        <w:contextualSpacing/>
        <w:rPr>
          <w:rFonts w:cs="Times New Roman"/>
        </w:rPr>
      </w:pPr>
      <w:r w:rsidRPr="00E31FDB">
        <w:rPr>
          <w:rFonts w:cs="Times New Roman"/>
        </w:rPr>
        <w:t>Global applicability of the resource.</w:t>
      </w:r>
    </w:p>
    <w:p w:rsidR="004D40EC" w:rsidRPr="00E31FDB" w:rsidRDefault="004D40EC" w:rsidP="004D40EC">
      <w:pPr>
        <w:numPr>
          <w:ilvl w:val="0"/>
          <w:numId w:val="2"/>
        </w:numPr>
        <w:ind w:left="1434" w:hanging="357"/>
        <w:contextualSpacing/>
        <w:rPr>
          <w:rFonts w:cs="Times New Roman"/>
        </w:rPr>
      </w:pPr>
      <w:r w:rsidRPr="00E31FDB">
        <w:rPr>
          <w:rFonts w:cs="Times New Roman"/>
        </w:rPr>
        <w:t xml:space="preserve">Whether the product addresses emerging and urgent topics. </w:t>
      </w:r>
    </w:p>
    <w:p w:rsidR="004D40EC" w:rsidRPr="00E31FDB" w:rsidRDefault="004D40EC" w:rsidP="004D40EC">
      <w:pPr>
        <w:numPr>
          <w:ilvl w:val="0"/>
          <w:numId w:val="2"/>
        </w:numPr>
        <w:ind w:left="1434" w:hanging="357"/>
        <w:contextualSpacing/>
        <w:rPr>
          <w:rFonts w:cs="Times New Roman"/>
        </w:rPr>
      </w:pPr>
      <w:r w:rsidRPr="00E31FDB">
        <w:rPr>
          <w:rFonts w:cs="Times New Roman"/>
        </w:rPr>
        <w:t>Whether the product can be considered a general manual.</w:t>
      </w:r>
    </w:p>
    <w:p w:rsidR="004D40EC" w:rsidRPr="00E31FDB" w:rsidRDefault="004D40EC" w:rsidP="004D40EC">
      <w:pPr>
        <w:numPr>
          <w:ilvl w:val="0"/>
          <w:numId w:val="2"/>
        </w:numPr>
        <w:ind w:left="1434" w:hanging="357"/>
        <w:contextualSpacing/>
        <w:rPr>
          <w:rFonts w:cs="Times New Roman"/>
        </w:rPr>
      </w:pPr>
      <w:r w:rsidRPr="00E31FDB">
        <w:rPr>
          <w:rFonts w:cs="Times New Roman"/>
        </w:rPr>
        <w:t>Wheth</w:t>
      </w:r>
      <w:r>
        <w:rPr>
          <w:rFonts w:cs="Times New Roman"/>
        </w:rPr>
        <w:t xml:space="preserve">er the product </w:t>
      </w:r>
      <w:r w:rsidRPr="00E31FDB">
        <w:rPr>
          <w:rFonts w:cs="Times New Roman"/>
        </w:rPr>
        <w:t>address multiple areas of interest or activities.</w:t>
      </w:r>
    </w:p>
    <w:p w:rsidR="004D40EC" w:rsidRDefault="004D40EC" w:rsidP="004D40EC">
      <w:pPr>
        <w:numPr>
          <w:ilvl w:val="0"/>
          <w:numId w:val="2"/>
        </w:numPr>
        <w:ind w:left="1434" w:hanging="357"/>
        <w:contextualSpacing/>
        <w:rPr>
          <w:rFonts w:cs="Times New Roman"/>
        </w:rPr>
      </w:pPr>
      <w:r w:rsidRPr="00E31FDB">
        <w:rPr>
          <w:rFonts w:cs="Times New Roman"/>
        </w:rPr>
        <w:t xml:space="preserve">Whether other options of related technical resource are not available.  </w:t>
      </w:r>
    </w:p>
    <w:p w:rsidR="004D40EC" w:rsidRPr="004D40EC" w:rsidRDefault="004D40EC" w:rsidP="004D40EC">
      <w:pPr>
        <w:numPr>
          <w:ilvl w:val="0"/>
          <w:numId w:val="2"/>
        </w:numPr>
        <w:ind w:left="1434" w:hanging="357"/>
        <w:contextualSpacing/>
        <w:rPr>
          <w:rFonts w:cs="Times New Roman"/>
        </w:rPr>
      </w:pPr>
      <w:r w:rsidRPr="004D40EC">
        <w:rPr>
          <w:rFonts w:cs="Times New Roman"/>
        </w:rPr>
        <w:t>Whether there is very little or no material available to address urgent topics</w:t>
      </w:r>
    </w:p>
    <w:p w:rsidR="004D40EC" w:rsidRDefault="004D40EC">
      <w:pPr>
        <w:rPr>
          <w:lang w:val="en-US"/>
        </w:rPr>
      </w:pPr>
    </w:p>
    <w:p w:rsidR="00FF12F6" w:rsidRPr="004D40EC" w:rsidRDefault="00FF12F6">
      <w:pPr>
        <w:rPr>
          <w:b/>
          <w:lang w:val="en-US"/>
        </w:rPr>
      </w:pPr>
      <w:r w:rsidRPr="004D40EC">
        <w:rPr>
          <w:b/>
          <w:lang w:val="en-US"/>
        </w:rPr>
        <w:t>Who is developing the materials?</w:t>
      </w:r>
    </w:p>
    <w:p w:rsidR="0077220F" w:rsidRDefault="004D40EC">
      <w:pPr>
        <w:rPr>
          <w:lang w:val="en-US"/>
        </w:rPr>
      </w:pPr>
      <w:r>
        <w:rPr>
          <w:lang w:val="en-US"/>
        </w:rPr>
        <w:t xml:space="preserve">Each product is being developed through a different approach to best address the specific content. This includes the use of partnerships </w:t>
      </w:r>
      <w:r w:rsidR="00B452E7">
        <w:rPr>
          <w:lang w:val="en-US"/>
        </w:rPr>
        <w:t>, consultants</w:t>
      </w:r>
      <w:r>
        <w:rPr>
          <w:lang w:val="en-US"/>
        </w:rPr>
        <w:t>, in-kind contributions of experts supported by NPPOs, and partnerships with host institutions</w:t>
      </w:r>
      <w:r w:rsidR="0077220F">
        <w:rPr>
          <w:lang w:val="en-US"/>
        </w:rPr>
        <w:t>.</w:t>
      </w:r>
    </w:p>
    <w:p w:rsidR="0077220F" w:rsidRDefault="0077220F">
      <w:pPr>
        <w:rPr>
          <w:lang w:val="en-US"/>
        </w:rPr>
      </w:pPr>
      <w:r>
        <w:rPr>
          <w:lang w:val="en-US"/>
        </w:rPr>
        <w:t>We appreciate the contributions of partners</w:t>
      </w:r>
      <w:r w:rsidR="004D40EC">
        <w:rPr>
          <w:lang w:val="en-US"/>
        </w:rPr>
        <w:t xml:space="preserve"> (such as OIRSA, which has committed to translate and field-test selected materials</w:t>
      </w:r>
      <w:r>
        <w:rPr>
          <w:lang w:val="en-US"/>
        </w:rPr>
        <w:t xml:space="preserve">; USDA-APHIS-PERAL whose experts are developing some content; Republic of Korea, UK and Vietnam for hosting meetings and committing to future use of materials). </w:t>
      </w:r>
    </w:p>
    <w:p w:rsidR="0077220F" w:rsidRDefault="0077220F">
      <w:pPr>
        <w:rPr>
          <w:lang w:val="en-US"/>
        </w:rPr>
      </w:pPr>
      <w:r>
        <w:rPr>
          <w:lang w:val="en-US"/>
        </w:rPr>
        <w:t>We have selected the top expertise in the world, and the new roster of phytosanitary capacity development consultants provides an opportunity for additional experts to signal their expertise that we can draw upon.</w:t>
      </w:r>
    </w:p>
    <w:p w:rsidR="004D40EC" w:rsidRDefault="0077220F">
      <w:pPr>
        <w:rPr>
          <w:lang w:val="en-US"/>
        </w:rPr>
      </w:pPr>
      <w:r>
        <w:rPr>
          <w:lang w:val="en-US"/>
        </w:rPr>
        <w:t>We actively seek additional partners to facilitate use, feedback and translation/printing of the materials</w:t>
      </w:r>
      <w:r w:rsidR="004D40EC">
        <w:rPr>
          <w:lang w:val="en-US"/>
        </w:rPr>
        <w:t xml:space="preserve">. </w:t>
      </w:r>
      <w:r w:rsidR="00B452E7">
        <w:rPr>
          <w:lang w:val="en-US"/>
        </w:rPr>
        <w:t xml:space="preserve"> </w:t>
      </w:r>
    </w:p>
    <w:p w:rsidR="00FF12F6" w:rsidRPr="003B0CAF" w:rsidRDefault="00FF12F6">
      <w:pPr>
        <w:rPr>
          <w:b/>
          <w:lang w:val="en-US"/>
        </w:rPr>
      </w:pPr>
      <w:r w:rsidRPr="003B0CAF">
        <w:rPr>
          <w:b/>
          <w:lang w:val="en-US"/>
        </w:rPr>
        <w:t>What is the plan for the materials when they are developed?</w:t>
      </w:r>
    </w:p>
    <w:p w:rsidR="0077220F" w:rsidRDefault="0077220F">
      <w:pPr>
        <w:rPr>
          <w:lang w:val="en-US"/>
        </w:rPr>
      </w:pPr>
      <w:r>
        <w:rPr>
          <w:lang w:val="en-US"/>
        </w:rPr>
        <w:lastRenderedPageBreak/>
        <w:t>The materials will be published o</w:t>
      </w:r>
      <w:r w:rsidR="003B0CAF">
        <w:rPr>
          <w:lang w:val="en-US"/>
        </w:rPr>
        <w:t xml:space="preserve">nline publication  on the phytosanitary resources </w:t>
      </w:r>
      <w:r>
        <w:rPr>
          <w:lang w:val="en-US"/>
        </w:rPr>
        <w:t xml:space="preserve">page </w:t>
      </w:r>
      <w:hyperlink r:id="rId8" w:history="1">
        <w:r w:rsidRPr="007B04E8">
          <w:rPr>
            <w:rStyle w:val="Hyperlink"/>
            <w:lang w:val="en-US"/>
          </w:rPr>
          <w:t>www.phytosanitary.info</w:t>
        </w:r>
      </w:hyperlink>
      <w:r>
        <w:rPr>
          <w:lang w:val="en-US"/>
        </w:rPr>
        <w:t xml:space="preserve">. These are intended to be an initial base that will continue to grow based on feedback. </w:t>
      </w:r>
    </w:p>
    <w:p w:rsidR="003B0CAF" w:rsidRDefault="0077220F">
      <w:pPr>
        <w:rPr>
          <w:lang w:val="en-US"/>
        </w:rPr>
      </w:pPr>
      <w:r>
        <w:rPr>
          <w:lang w:val="en-US"/>
        </w:rPr>
        <w:t xml:space="preserve">We encourage </w:t>
      </w:r>
      <w:r w:rsidR="003B0CAF">
        <w:rPr>
          <w:lang w:val="en-US"/>
        </w:rPr>
        <w:t>use of the products in future capacity development activities at national and regional levels</w:t>
      </w:r>
      <w:r>
        <w:rPr>
          <w:lang w:val="en-US"/>
        </w:rPr>
        <w:t xml:space="preserve"> and encourage printing and translation of the materials to be considered as potential project activities</w:t>
      </w:r>
      <w:r w:rsidR="003B0CAF">
        <w:rPr>
          <w:lang w:val="en-US"/>
        </w:rPr>
        <w:t xml:space="preserve">. </w:t>
      </w:r>
    </w:p>
    <w:sectPr w:rsidR="003B0CAF" w:rsidSect="00BA12BD">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328" w:rsidRDefault="002F5328" w:rsidP="001D5420">
      <w:pPr>
        <w:spacing w:after="0" w:line="240" w:lineRule="auto"/>
      </w:pPr>
      <w:r>
        <w:separator/>
      </w:r>
    </w:p>
  </w:endnote>
  <w:endnote w:type="continuationSeparator" w:id="0">
    <w:p w:rsidR="002F5328" w:rsidRDefault="002F5328" w:rsidP="001D54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A2" w:rsidRDefault="009F2B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A2" w:rsidRDefault="009F2BA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A2" w:rsidRDefault="009F2B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328" w:rsidRDefault="002F5328" w:rsidP="001D5420">
      <w:pPr>
        <w:spacing w:after="0" w:line="240" w:lineRule="auto"/>
      </w:pPr>
      <w:r>
        <w:separator/>
      </w:r>
    </w:p>
  </w:footnote>
  <w:footnote w:type="continuationSeparator" w:id="0">
    <w:p w:rsidR="002F5328" w:rsidRDefault="002F5328" w:rsidP="001D54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A2" w:rsidRDefault="009F2B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420" w:rsidRDefault="001D5420" w:rsidP="001D5420">
    <w:pPr>
      <w:pStyle w:val="IPPHeader"/>
      <w:ind w:right="-46"/>
      <w:rPr>
        <w:lang w:val="fr-FR"/>
      </w:rPr>
    </w:pPr>
    <w:r>
      <w:rPr>
        <w:noProof/>
      </w:rPr>
      <w:drawing>
        <wp:inline distT="0" distB="0" distL="0" distR="0">
          <wp:extent cx="5827395" cy="36195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27395" cy="361950"/>
                  </a:xfrm>
                  <a:prstGeom prst="rect">
                    <a:avLst/>
                  </a:prstGeom>
                  <a:noFill/>
                  <a:ln w="9525">
                    <a:noFill/>
                    <a:miter lim="800000"/>
                    <a:headEnd/>
                    <a:tailEnd/>
                  </a:ln>
                </pic:spPr>
              </pic:pic>
            </a:graphicData>
          </a:graphic>
        </wp:inline>
      </w:drawing>
    </w:r>
  </w:p>
  <w:p w:rsidR="001D5420" w:rsidRPr="00DF3744" w:rsidRDefault="001D5420" w:rsidP="001D5420">
    <w:pPr>
      <w:pStyle w:val="IPPHeader"/>
      <w:spacing w:before="120"/>
      <w:ind w:right="-46"/>
      <w:rPr>
        <w:rFonts w:cs="Arial"/>
        <w:i/>
        <w:iCs/>
        <w:szCs w:val="18"/>
      </w:rPr>
    </w:pPr>
    <w:r w:rsidRPr="00867F6F">
      <w:tab/>
    </w:r>
    <w:r w:rsidRPr="00DF3744">
      <w:rPr>
        <w:szCs w:val="18"/>
      </w:rPr>
      <w:t>International Plant Protection Convention</w:t>
    </w:r>
    <w:r w:rsidRPr="00DF3744">
      <w:rPr>
        <w:szCs w:val="18"/>
      </w:rPr>
      <w:tab/>
    </w:r>
    <w:r w:rsidRPr="00DF3744">
      <w:rPr>
        <w:rFonts w:cs="Arial"/>
        <w:szCs w:val="18"/>
      </w:rPr>
      <w:t>TC-RPPOs_2013</w:t>
    </w:r>
    <w:r w:rsidRPr="00DF3744">
      <w:rPr>
        <w:szCs w:val="18"/>
      </w:rPr>
      <w:br/>
    </w:r>
    <w:r w:rsidRPr="00DF3744">
      <w:rPr>
        <w:szCs w:val="18"/>
      </w:rPr>
      <w:tab/>
    </w:r>
    <w:r>
      <w:rPr>
        <w:i/>
        <w:szCs w:val="18"/>
      </w:rPr>
      <w:t xml:space="preserve">IPPC Core Training Material </w:t>
    </w:r>
    <w:r w:rsidRPr="00DF3744">
      <w:rPr>
        <w:szCs w:val="18"/>
      </w:rPr>
      <w:tab/>
    </w:r>
    <w:r>
      <w:rPr>
        <w:rFonts w:cs="Arial"/>
        <w:i/>
        <w:iCs/>
        <w:szCs w:val="18"/>
      </w:rPr>
      <w:t>Agenda item 7</w:t>
    </w:r>
    <w:r w:rsidR="009F2BA2">
      <w:rPr>
        <w:rFonts w:cs="Arial"/>
        <w:i/>
        <w:iCs/>
        <w:szCs w:val="18"/>
      </w:rPr>
      <w:t>.5</w:t>
    </w:r>
  </w:p>
  <w:p w:rsidR="001D5420" w:rsidRPr="001D5420" w:rsidRDefault="001D5420">
    <w:pPr>
      <w:pStyle w:val="Header"/>
      <w:rPr>
        <w:lang w:val="en-US"/>
      </w:rPr>
    </w:pPr>
  </w:p>
  <w:p w:rsidR="001D5420" w:rsidRDefault="001D54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BA2" w:rsidRDefault="009F2B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FD5"/>
    <w:multiLevelType w:val="hybridMultilevel"/>
    <w:tmpl w:val="438EF4DE"/>
    <w:lvl w:ilvl="0" w:tplc="77964D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733165C"/>
    <w:multiLevelType w:val="hybridMultilevel"/>
    <w:tmpl w:val="B4B052B2"/>
    <w:lvl w:ilvl="0" w:tplc="510212F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D41CD0"/>
    <w:multiLevelType w:val="hybridMultilevel"/>
    <w:tmpl w:val="2D080E78"/>
    <w:lvl w:ilvl="0" w:tplc="DB2830E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F12F6"/>
    <w:rsid w:val="00022943"/>
    <w:rsid w:val="000A2570"/>
    <w:rsid w:val="000E2210"/>
    <w:rsid w:val="00153FF6"/>
    <w:rsid w:val="001D5420"/>
    <w:rsid w:val="001F35C3"/>
    <w:rsid w:val="00213F98"/>
    <w:rsid w:val="002F5328"/>
    <w:rsid w:val="00327E3E"/>
    <w:rsid w:val="003A7148"/>
    <w:rsid w:val="003B0CAF"/>
    <w:rsid w:val="003B2D03"/>
    <w:rsid w:val="00404716"/>
    <w:rsid w:val="004A7636"/>
    <w:rsid w:val="004D40EC"/>
    <w:rsid w:val="00675714"/>
    <w:rsid w:val="006C3DDD"/>
    <w:rsid w:val="00707E0F"/>
    <w:rsid w:val="0077220F"/>
    <w:rsid w:val="007E7F85"/>
    <w:rsid w:val="00855261"/>
    <w:rsid w:val="008B6953"/>
    <w:rsid w:val="00906F8A"/>
    <w:rsid w:val="009271B9"/>
    <w:rsid w:val="009738C6"/>
    <w:rsid w:val="009F2BA2"/>
    <w:rsid w:val="00B452E7"/>
    <w:rsid w:val="00B51EFF"/>
    <w:rsid w:val="00BA12BD"/>
    <w:rsid w:val="00BB2518"/>
    <w:rsid w:val="00BF4E67"/>
    <w:rsid w:val="00C03CED"/>
    <w:rsid w:val="00D25274"/>
    <w:rsid w:val="00D36F20"/>
    <w:rsid w:val="00E1365E"/>
    <w:rsid w:val="00F21E28"/>
    <w:rsid w:val="00F35759"/>
    <w:rsid w:val="00FF12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F98"/>
    <w:rPr>
      <w:rFonts w:ascii="Times New Roman" w:hAnsi="Times New Roman"/>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F98"/>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3F98"/>
    <w:rPr>
      <w:rFonts w:ascii="Times New Roman" w:hAnsi="Times New Roman"/>
      <w:sz w:val="24"/>
      <w:lang w:val="en-GB"/>
    </w:rPr>
  </w:style>
  <w:style w:type="paragraph" w:styleId="Footer">
    <w:name w:val="footer"/>
    <w:basedOn w:val="Normal"/>
    <w:link w:val="FooterChar"/>
    <w:uiPriority w:val="99"/>
    <w:semiHidden/>
    <w:unhideWhenUsed/>
    <w:rsid w:val="00213F9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13F98"/>
    <w:rPr>
      <w:rFonts w:ascii="Times New Roman" w:hAnsi="Times New Roman"/>
      <w:sz w:val="24"/>
      <w:lang w:val="en-GB"/>
    </w:rPr>
  </w:style>
  <w:style w:type="paragraph" w:styleId="ListParagraph">
    <w:name w:val="List Paragraph"/>
    <w:basedOn w:val="Normal"/>
    <w:uiPriority w:val="34"/>
    <w:qFormat/>
    <w:rsid w:val="004D40EC"/>
    <w:pPr>
      <w:ind w:left="720"/>
      <w:contextualSpacing/>
    </w:pPr>
  </w:style>
  <w:style w:type="character" w:styleId="Hyperlink">
    <w:name w:val="Hyperlink"/>
    <w:basedOn w:val="DefaultParagraphFont"/>
    <w:uiPriority w:val="99"/>
    <w:unhideWhenUsed/>
    <w:rsid w:val="0077220F"/>
    <w:rPr>
      <w:color w:val="0000FF" w:themeColor="hyperlink"/>
      <w:u w:val="single"/>
    </w:rPr>
  </w:style>
  <w:style w:type="paragraph" w:styleId="BalloonText">
    <w:name w:val="Balloon Text"/>
    <w:basedOn w:val="Normal"/>
    <w:link w:val="BalloonTextChar"/>
    <w:uiPriority w:val="99"/>
    <w:semiHidden/>
    <w:unhideWhenUsed/>
    <w:rsid w:val="001D5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420"/>
    <w:rPr>
      <w:rFonts w:ascii="Tahoma" w:hAnsi="Tahoma" w:cs="Tahoma"/>
      <w:sz w:val="16"/>
      <w:szCs w:val="16"/>
      <w:lang w:val="en-GB"/>
    </w:rPr>
  </w:style>
  <w:style w:type="paragraph" w:customStyle="1" w:styleId="IPPHeader">
    <w:name w:val="IPP Header"/>
    <w:basedOn w:val="Normal"/>
    <w:qFormat/>
    <w:rsid w:val="001D5420"/>
    <w:pPr>
      <w:pBdr>
        <w:bottom w:val="single" w:sz="4" w:space="4" w:color="auto"/>
      </w:pBdr>
      <w:tabs>
        <w:tab w:val="left" w:pos="1134"/>
        <w:tab w:val="right" w:pos="9072"/>
      </w:tabs>
      <w:spacing w:after="120" w:line="240" w:lineRule="auto"/>
    </w:pPr>
    <w:rPr>
      <w:rFonts w:ascii="Arial" w:eastAsia="Times New Roman" w:hAnsi="Arial" w:cs="Times New Roman"/>
      <w:sz w:val="18"/>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ytosanitary.inf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5C4115-69BB-4F8F-874B-FCDB7890C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Hammons (AGPM)</dc:creator>
  <cp:lastModifiedBy>Johanna Gardesten (AGPM)</cp:lastModifiedBy>
  <cp:revision>7</cp:revision>
  <cp:lastPrinted>2013-06-19T13:27:00Z</cp:lastPrinted>
  <dcterms:created xsi:type="dcterms:W3CDTF">2013-08-14T06:51:00Z</dcterms:created>
  <dcterms:modified xsi:type="dcterms:W3CDTF">2013-08-14T15:51:00Z</dcterms:modified>
</cp:coreProperties>
</file>