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5E" w:rsidRDefault="00ED4E5E" w:rsidP="00CD6709">
      <w:pPr>
        <w:jc w:val="center"/>
        <w:rPr>
          <w:b/>
          <w:bCs/>
        </w:rPr>
      </w:pPr>
      <w:r>
        <w:rPr>
          <w:rFonts w:hint="eastAsia"/>
          <w:b/>
          <w:bCs/>
        </w:rPr>
        <w:t>APPPC u</w:t>
      </w:r>
      <w:r w:rsidRPr="001B57B6">
        <w:rPr>
          <w:rFonts w:hint="eastAsia"/>
          <w:b/>
          <w:bCs/>
        </w:rPr>
        <w:t>pdate</w:t>
      </w:r>
      <w:r w:rsidR="008420DF">
        <w:rPr>
          <w:rFonts w:hint="eastAsia"/>
          <w:b/>
          <w:bCs/>
        </w:rPr>
        <w:t xml:space="preserve"> summary for the 2</w:t>
      </w:r>
      <w:r w:rsidR="00CD6709">
        <w:rPr>
          <w:b/>
          <w:bCs/>
        </w:rPr>
        <w:t>5</w:t>
      </w:r>
      <w:r w:rsidR="008420DF">
        <w:rPr>
          <w:b/>
          <w:bCs/>
        </w:rPr>
        <w:t>th</w:t>
      </w:r>
      <w:r>
        <w:rPr>
          <w:rFonts w:hint="eastAsia"/>
          <w:b/>
          <w:bCs/>
        </w:rPr>
        <w:t xml:space="preserve"> TC-RPPOs</w:t>
      </w:r>
    </w:p>
    <w:p w:rsidR="00A7411B" w:rsidRDefault="00A7411B" w:rsidP="00ED4E5E">
      <w:pPr>
        <w:jc w:val="center"/>
        <w:rPr>
          <w:b/>
          <w:bCs/>
        </w:rPr>
      </w:pPr>
    </w:p>
    <w:p w:rsidR="00A7411B" w:rsidRPr="00A7411B" w:rsidRDefault="00A7411B" w:rsidP="00ED4E5E">
      <w:pPr>
        <w:jc w:val="center"/>
      </w:pPr>
      <w:r w:rsidRPr="00A7411B">
        <w:t>By</w:t>
      </w:r>
    </w:p>
    <w:p w:rsidR="00A7411B" w:rsidRPr="001B57B6" w:rsidRDefault="00A7411B" w:rsidP="00ED4E5E">
      <w:pPr>
        <w:jc w:val="center"/>
        <w:rPr>
          <w:b/>
          <w:bCs/>
        </w:rPr>
      </w:pPr>
    </w:p>
    <w:p w:rsidR="00A7411B" w:rsidRDefault="00ED4E5E" w:rsidP="00ED4E5E">
      <w:pPr>
        <w:jc w:val="center"/>
      </w:pPr>
      <w:r>
        <w:rPr>
          <w:rFonts w:hint="eastAsia"/>
        </w:rPr>
        <w:t>Yongfan Pia</w:t>
      </w:r>
      <w:r w:rsidR="00A7411B">
        <w:rPr>
          <w:rFonts w:hint="eastAsia"/>
        </w:rPr>
        <w:t>o</w:t>
      </w:r>
    </w:p>
    <w:p w:rsidR="00ED4E5E" w:rsidRDefault="00A7411B" w:rsidP="00ED4E5E">
      <w:pPr>
        <w:jc w:val="center"/>
      </w:pPr>
      <w:r>
        <w:rPr>
          <w:rFonts w:hint="eastAsia"/>
        </w:rPr>
        <w:t>Executive Secretary of APPPC</w:t>
      </w:r>
    </w:p>
    <w:p w:rsidR="00A7411B" w:rsidRDefault="00A7411B" w:rsidP="00ED4E5E">
      <w:pPr>
        <w:jc w:val="center"/>
      </w:pPr>
    </w:p>
    <w:p w:rsidR="00D70AC8" w:rsidRDefault="00D70AC8" w:rsidP="00124472">
      <w:pPr>
        <w:autoSpaceDE w:val="0"/>
        <w:autoSpaceDN w:val="0"/>
        <w:adjustRightInd w:val="0"/>
        <w:jc w:val="both"/>
      </w:pPr>
    </w:p>
    <w:p w:rsidR="0026486A" w:rsidRPr="0026486A" w:rsidRDefault="0026486A" w:rsidP="004518AA">
      <w:pPr>
        <w:jc w:val="both"/>
        <w:rPr>
          <w:i/>
          <w:iCs/>
          <w:color w:val="FF0000"/>
        </w:rPr>
      </w:pPr>
      <w:r w:rsidRPr="00F50158">
        <w:t>Timor-Leste has endorsed the Agreement by accepting</w:t>
      </w:r>
      <w:r>
        <w:t xml:space="preserve"> all amendments (</w:t>
      </w:r>
      <w:r w:rsidRPr="00F50158">
        <w:t xml:space="preserve">1983/1999) and become </w:t>
      </w:r>
      <w:r>
        <w:t>m</w:t>
      </w:r>
      <w:r w:rsidRPr="00F50158">
        <w:t xml:space="preserve">ember of APPPC since 20 April 2012. Bhutan, Japan and Singapore </w:t>
      </w:r>
      <w:r>
        <w:t xml:space="preserve">had </w:t>
      </w:r>
      <w:r w:rsidRPr="00F50158">
        <w:t>expressed their intention of membership and the Secretariat and Legal Service of FAO</w:t>
      </w:r>
      <w:r>
        <w:t xml:space="preserve"> provided some essential advice</w:t>
      </w:r>
      <w:r w:rsidRPr="00F50158">
        <w:t xml:space="preserve"> to these countries. Now Twenty-five countries are contracting parties to the Plant Protection Agreement for Asia and the Pacific at present. </w:t>
      </w:r>
    </w:p>
    <w:p w:rsidR="0026486A" w:rsidRDefault="0026486A" w:rsidP="00124472">
      <w:pPr>
        <w:autoSpaceDE w:val="0"/>
        <w:autoSpaceDN w:val="0"/>
        <w:adjustRightInd w:val="0"/>
        <w:jc w:val="both"/>
      </w:pPr>
    </w:p>
    <w:p w:rsidR="0026486A" w:rsidRDefault="0026486A" w:rsidP="00444CB2">
      <w:pPr>
        <w:autoSpaceDE w:val="0"/>
        <w:autoSpaceDN w:val="0"/>
        <w:adjustRightInd w:val="0"/>
        <w:jc w:val="both"/>
      </w:pPr>
      <w:r w:rsidRPr="00F50158">
        <w:t xml:space="preserve">The </w:t>
      </w:r>
      <w:r w:rsidRPr="0025001C">
        <w:rPr>
          <w:color w:val="000000"/>
        </w:rPr>
        <w:t>26</w:t>
      </w:r>
      <w:r w:rsidRPr="0025001C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Pr="00F50158">
        <w:t xml:space="preserve">Session proposed that a working group be established to investigate how the Commission members can assist in the implementation of standards. The working group would select an ISPM or ISPMs and, if deemed appropriate, </w:t>
      </w:r>
      <w:r w:rsidRPr="0025001C">
        <w:rPr>
          <w:color w:val="000000"/>
        </w:rPr>
        <w:t xml:space="preserve">examine </w:t>
      </w:r>
      <w:r w:rsidRPr="00F50158">
        <w:t xml:space="preserve">the development of training materials. The working group on the </w:t>
      </w:r>
      <w:r w:rsidR="008F329B">
        <w:t xml:space="preserve">ISPM15 </w:t>
      </w:r>
      <w:r w:rsidRPr="00F50158">
        <w:t>investigate</w:t>
      </w:r>
      <w:r w:rsidR="008F329B">
        <w:t>d</w:t>
      </w:r>
      <w:r w:rsidRPr="00F50158">
        <w:t xml:space="preserve"> how the Commission members can assist in the implementation of the ISPM No.15.  The </w:t>
      </w:r>
      <w:r w:rsidR="008F329B">
        <w:t>feedbacks</w:t>
      </w:r>
      <w:r w:rsidRPr="00F50158">
        <w:t xml:space="preserve"> </w:t>
      </w:r>
      <w:r w:rsidR="008F329B" w:rsidRPr="00F50158">
        <w:t xml:space="preserve">to questionnaires </w:t>
      </w:r>
      <w:r w:rsidR="008F329B">
        <w:t xml:space="preserve">from countries </w:t>
      </w:r>
      <w:r w:rsidRPr="00F50158">
        <w:t>ha</w:t>
      </w:r>
      <w:r w:rsidR="008F329B">
        <w:t>ve</w:t>
      </w:r>
      <w:r w:rsidRPr="00F50158">
        <w:t xml:space="preserve"> </w:t>
      </w:r>
      <w:r w:rsidR="008F329B">
        <w:t xml:space="preserve">been </w:t>
      </w:r>
      <w:r w:rsidRPr="00F50158">
        <w:t>collected and analyzed preliminary</w:t>
      </w:r>
      <w:r>
        <w:t>.</w:t>
      </w:r>
      <w:r w:rsidRPr="00F50158">
        <w:t xml:space="preserve"> </w:t>
      </w:r>
    </w:p>
    <w:p w:rsidR="0026486A" w:rsidRDefault="0026486A" w:rsidP="00124472">
      <w:pPr>
        <w:autoSpaceDE w:val="0"/>
        <w:autoSpaceDN w:val="0"/>
        <w:adjustRightInd w:val="0"/>
        <w:jc w:val="both"/>
      </w:pPr>
    </w:p>
    <w:p w:rsidR="00D544D5" w:rsidRDefault="00D544D5" w:rsidP="001C0330">
      <w:pPr>
        <w:autoSpaceDE w:val="0"/>
        <w:autoSpaceDN w:val="0"/>
        <w:adjustRightInd w:val="0"/>
        <w:jc w:val="both"/>
      </w:pPr>
      <w:r>
        <w:t>A</w:t>
      </w:r>
      <w:r w:rsidRPr="00F50158">
        <w:t xml:space="preserve"> global symposium on pest surveillance</w:t>
      </w:r>
      <w:r>
        <w:t xml:space="preserve"> was</w:t>
      </w:r>
      <w:r w:rsidRPr="00F50158">
        <w:t xml:space="preserve"> held from 29 October to 2 November 2012 in Korea in collaboration with IPPC Secretariat. A</w:t>
      </w:r>
      <w:r w:rsidRPr="00F50158">
        <w:rPr>
          <w:rFonts w:eastAsia="Times New Roman"/>
        </w:rPr>
        <w:t>bout 50 experts from 28 countries including delegates from FAO</w:t>
      </w:r>
      <w:r w:rsidR="001C0330">
        <w:rPr>
          <w:rFonts w:eastAsia="Times New Roman"/>
        </w:rPr>
        <w:t xml:space="preserve"> Severn</w:t>
      </w:r>
      <w:r w:rsidRPr="00F50158">
        <w:rPr>
          <w:rFonts w:eastAsia="Times New Roman"/>
        </w:rPr>
        <w:t xml:space="preserve"> Regions participated in the symposium. </w:t>
      </w:r>
      <w:r w:rsidRPr="00F50158">
        <w:t>The symposium ca</w:t>
      </w:r>
      <w:r>
        <w:t>me up</w:t>
      </w:r>
      <w:r w:rsidRPr="00F50158">
        <w:t xml:space="preserve"> wi</w:t>
      </w:r>
      <w:r>
        <w:t xml:space="preserve">th the framework of manuals as </w:t>
      </w:r>
      <w:r w:rsidRPr="00F50158">
        <w:t>base materials for development of manual guides for implementation of ISPM6, and t</w:t>
      </w:r>
      <w:r w:rsidRPr="00F50158">
        <w:rPr>
          <w:rFonts w:eastAsia="Times New Roman"/>
        </w:rPr>
        <w:t xml:space="preserve">hese frameworks contained chapter headings with additional outline material included as appropriate. </w:t>
      </w:r>
      <w:r w:rsidR="001C0330">
        <w:rPr>
          <w:rFonts w:eastAsia="Times New Roman"/>
        </w:rPr>
        <w:t>It was hoped that the proposals</w:t>
      </w:r>
      <w:r w:rsidRPr="00F50158">
        <w:rPr>
          <w:rFonts w:eastAsia="Times New Roman"/>
        </w:rPr>
        <w:t xml:space="preserve"> </w:t>
      </w:r>
      <w:r w:rsidRPr="00F50158">
        <w:t xml:space="preserve">would </w:t>
      </w:r>
      <w:r>
        <w:t>also contribute</w:t>
      </w:r>
      <w:r w:rsidRPr="00F50158">
        <w:t xml:space="preserve"> to IRSS implementation programmes.</w:t>
      </w:r>
    </w:p>
    <w:p w:rsidR="00D544D5" w:rsidRDefault="00D544D5" w:rsidP="00124472">
      <w:pPr>
        <w:autoSpaceDE w:val="0"/>
        <w:autoSpaceDN w:val="0"/>
        <w:adjustRightInd w:val="0"/>
        <w:jc w:val="both"/>
      </w:pPr>
    </w:p>
    <w:p w:rsidR="00E666E2" w:rsidRPr="00F50158" w:rsidRDefault="00ED4E5E" w:rsidP="005E40A3">
      <w:pPr>
        <w:autoSpaceDE w:val="0"/>
        <w:autoSpaceDN w:val="0"/>
        <w:adjustRightInd w:val="0"/>
        <w:jc w:val="both"/>
      </w:pPr>
      <w:r>
        <w:rPr>
          <w:rFonts w:hint="eastAsia"/>
        </w:rPr>
        <w:t>T</w:t>
      </w:r>
      <w:r>
        <w:t xml:space="preserve">he </w:t>
      </w:r>
      <w:r w:rsidR="00763315" w:rsidRPr="00814B14">
        <w:t>1</w:t>
      </w:r>
      <w:r w:rsidR="00E666E2">
        <w:t>3</w:t>
      </w:r>
      <w:r w:rsidR="00763315" w:rsidRPr="00814B14">
        <w:rPr>
          <w:vertAlign w:val="superscript"/>
        </w:rPr>
        <w:t>th</w:t>
      </w:r>
      <w:r w:rsidR="00763315" w:rsidRPr="00814B14">
        <w:t xml:space="preserve"> APPPC/Asia Regional Workshop </w:t>
      </w:r>
      <w:r w:rsidR="00763315" w:rsidRPr="00814B14">
        <w:rPr>
          <w:rFonts w:eastAsia="Batang"/>
          <w:lang w:eastAsia="ko-KR"/>
        </w:rPr>
        <w:t>on</w:t>
      </w:r>
      <w:r w:rsidR="00763315" w:rsidRPr="00814B14">
        <w:t xml:space="preserve"> </w:t>
      </w:r>
      <w:r w:rsidR="00763315" w:rsidRPr="00814B14">
        <w:rPr>
          <w:rFonts w:eastAsia="Batang"/>
          <w:lang w:eastAsia="ko-KR"/>
        </w:rPr>
        <w:t>the</w:t>
      </w:r>
      <w:r w:rsidR="00763315" w:rsidRPr="00814B14">
        <w:t xml:space="preserve"> review of draft ISPMs </w:t>
      </w:r>
      <w:r w:rsidR="00763315" w:rsidRPr="00814B14">
        <w:rPr>
          <w:rFonts w:eastAsia="Batang"/>
          <w:lang w:eastAsia="ko-KR"/>
        </w:rPr>
        <w:t>was</w:t>
      </w:r>
      <w:r w:rsidR="00763315" w:rsidRPr="00814B14">
        <w:t xml:space="preserve"> held in </w:t>
      </w:r>
      <w:proofErr w:type="spellStart"/>
      <w:r w:rsidR="00E666E2">
        <w:t>Gyeong</w:t>
      </w:r>
      <w:proofErr w:type="spellEnd"/>
      <w:r w:rsidR="00E666E2">
        <w:t xml:space="preserve"> </w:t>
      </w:r>
      <w:proofErr w:type="spellStart"/>
      <w:r w:rsidR="00E666E2">
        <w:t>Ju</w:t>
      </w:r>
      <w:proofErr w:type="spellEnd"/>
      <w:r w:rsidR="00E666E2">
        <w:t>, Rep</w:t>
      </w:r>
      <w:r w:rsidR="00763315" w:rsidRPr="00814B14">
        <w:t xml:space="preserve">ublic of </w:t>
      </w:r>
      <w:smartTag w:uri="urn:schemas-microsoft-com:office:smarttags" w:element="PlaceName">
        <w:r w:rsidR="00763315" w:rsidRPr="00814B14">
          <w:t>Korea</w:t>
        </w:r>
      </w:smartTag>
      <w:r w:rsidR="00763315" w:rsidRPr="00814B14">
        <w:t xml:space="preserve"> </w:t>
      </w:r>
      <w:r w:rsidR="00124472">
        <w:t xml:space="preserve">on </w:t>
      </w:r>
      <w:r w:rsidR="00E666E2">
        <w:t xml:space="preserve">3-7 </w:t>
      </w:r>
      <w:r w:rsidR="00763315" w:rsidRPr="00814B14">
        <w:t>September</w:t>
      </w:r>
      <w:r w:rsidR="00763315">
        <w:t xml:space="preserve"> 20</w:t>
      </w:r>
      <w:r w:rsidR="00763315">
        <w:rPr>
          <w:rFonts w:hint="eastAsia"/>
        </w:rPr>
        <w:t>1</w:t>
      </w:r>
      <w:r w:rsidR="00E666E2">
        <w:t>2</w:t>
      </w:r>
      <w:r>
        <w:rPr>
          <w:rFonts w:hint="eastAsia"/>
        </w:rPr>
        <w:t>.</w:t>
      </w:r>
      <w:r w:rsidR="00763315">
        <w:t xml:space="preserve"> </w:t>
      </w:r>
      <w:r w:rsidR="00E666E2">
        <w:t>T</w:t>
      </w:r>
      <w:r w:rsidR="00E666E2" w:rsidRPr="00F50158">
        <w:t>he regional comments</w:t>
      </w:r>
      <w:r w:rsidR="00E666E2">
        <w:t>,</w:t>
      </w:r>
      <w:r w:rsidR="00E666E2" w:rsidRPr="00F50158">
        <w:t xml:space="preserve"> prepared by the workshop were distributed to all NPPO focal points of participating countries as well as to all participants immediately</w:t>
      </w:r>
      <w:r w:rsidR="00E666E2">
        <w:t>,</w:t>
      </w:r>
      <w:r w:rsidR="00E666E2" w:rsidRPr="00F50158">
        <w:t xml:space="preserve"> together with operational</w:t>
      </w:r>
      <w:r w:rsidR="00E666E2" w:rsidRPr="003F720B">
        <w:t xml:space="preserve"> instructions on how to share/incorporate regional comments with country comments on draft ISPMs. In addition to a review of draft ISPMs, there was a series of discussions on implementation review and support system (IRSS), provision of technical resources, reporting obligations, information exchange through IPP/APPPC website, capacity development, etc. The 14th</w:t>
      </w:r>
      <w:r w:rsidR="00E666E2" w:rsidRPr="003F720B">
        <w:rPr>
          <w:vertAlign w:val="superscript"/>
        </w:rPr>
        <w:t xml:space="preserve"> </w:t>
      </w:r>
      <w:r w:rsidR="00E666E2" w:rsidRPr="003F720B">
        <w:t xml:space="preserve"> regional workshop on review of draft ISPMs will be held from 28 October-1 Nov.</w:t>
      </w:r>
      <w:r w:rsidR="00E666E2" w:rsidRPr="00F50158">
        <w:t xml:space="preserve"> 2013 in Seoul, Korea.</w:t>
      </w:r>
    </w:p>
    <w:p w:rsidR="00ED4E5E" w:rsidRDefault="00ED4E5E" w:rsidP="00E666E2">
      <w:pPr>
        <w:autoSpaceDE w:val="0"/>
        <w:autoSpaceDN w:val="0"/>
        <w:adjustRightInd w:val="0"/>
        <w:jc w:val="both"/>
      </w:pPr>
    </w:p>
    <w:p w:rsidR="005E40A3" w:rsidRPr="00F50158" w:rsidRDefault="005E40A3" w:rsidP="00ED7782">
      <w:pPr>
        <w:autoSpaceDE w:val="0"/>
        <w:autoSpaceDN w:val="0"/>
        <w:adjustRightInd w:val="0"/>
        <w:jc w:val="both"/>
      </w:pPr>
      <w:r w:rsidRPr="00F50158">
        <w:t xml:space="preserve">The </w:t>
      </w:r>
      <w:r>
        <w:t xml:space="preserve">APPPC </w:t>
      </w:r>
      <w:r w:rsidRPr="00F50158">
        <w:t>pre-CPM8 meetings w</w:t>
      </w:r>
      <w:r>
        <w:t>as</w:t>
      </w:r>
      <w:r w:rsidRPr="00F50158">
        <w:t xml:space="preserve"> organized in Rome on 18 March 2012 and on 7 April 2013. The meeting </w:t>
      </w:r>
      <w:r>
        <w:t>provided</w:t>
      </w:r>
      <w:r w:rsidRPr="00F50158">
        <w:t xml:space="preserve"> a</w:t>
      </w:r>
      <w:r w:rsidR="00ED7782">
        <w:t>n opportunity to member countries have</w:t>
      </w:r>
      <w:r w:rsidRPr="00F50158">
        <w:t xml:space="preserve"> better understanding of specific </w:t>
      </w:r>
      <w:r w:rsidR="00ED7782">
        <w:t>subjects of agenda through sharing their views and stands</w:t>
      </w:r>
      <w:r w:rsidRPr="00F50158">
        <w:t>.</w:t>
      </w:r>
    </w:p>
    <w:p w:rsidR="005E58D0" w:rsidRDefault="005E58D0" w:rsidP="001D2624">
      <w:pPr>
        <w:autoSpaceDE w:val="0"/>
        <w:autoSpaceDN w:val="0"/>
        <w:adjustRightInd w:val="0"/>
        <w:jc w:val="both"/>
      </w:pPr>
    </w:p>
    <w:p w:rsidR="005E40A3" w:rsidRDefault="005E40A3" w:rsidP="001D2624">
      <w:pPr>
        <w:autoSpaceDE w:val="0"/>
        <w:autoSpaceDN w:val="0"/>
        <w:adjustRightInd w:val="0"/>
        <w:jc w:val="both"/>
      </w:pPr>
    </w:p>
    <w:p w:rsidR="00550FA0" w:rsidRDefault="00550FA0" w:rsidP="00550FA0">
      <w:pPr>
        <w:jc w:val="both"/>
      </w:pPr>
      <w:bookmarkStart w:id="0" w:name="OLE_LINK1"/>
      <w:bookmarkStart w:id="1" w:name="OLE_LINK2"/>
      <w:r>
        <w:rPr>
          <w:rFonts w:hint="eastAsia"/>
        </w:rPr>
        <w:t xml:space="preserve">In order to enhance information exchange </w:t>
      </w:r>
      <w:r>
        <w:t xml:space="preserve">with IPP/APPPC website </w:t>
      </w:r>
      <w:r>
        <w:rPr>
          <w:rFonts w:hint="eastAsia"/>
        </w:rPr>
        <w:t>among member countries</w:t>
      </w:r>
      <w:r>
        <w:t>,</w:t>
      </w:r>
      <w:r>
        <w:rPr>
          <w:rFonts w:hint="eastAsia"/>
        </w:rPr>
        <w:t xml:space="preserve"> </w:t>
      </w:r>
      <w:r>
        <w:t xml:space="preserve">regular monitoring of country updates are being made at quarterly basis and summary of update status of each country were sent to members for their reference and reminder to </w:t>
      </w:r>
      <w:r>
        <w:lastRenderedPageBreak/>
        <w:t xml:space="preserve">accelerate follow up actions for update countries’ web pages in IPP/APPPC website where the section of </w:t>
      </w:r>
      <w:proofErr w:type="spellStart"/>
      <w:r>
        <w:t>phytosanitary</w:t>
      </w:r>
      <w:proofErr w:type="spellEnd"/>
      <w:r>
        <w:t xml:space="preserve"> measures is automatically cross linked.</w:t>
      </w:r>
      <w:r w:rsidRPr="00B412C6">
        <w:rPr>
          <w:rFonts w:hint="eastAsia"/>
        </w:rPr>
        <w:t xml:space="preserve"> </w:t>
      </w:r>
    </w:p>
    <w:p w:rsidR="009E1804" w:rsidRDefault="009E1804" w:rsidP="00550FA0">
      <w:pPr>
        <w:jc w:val="both"/>
      </w:pPr>
    </w:p>
    <w:p w:rsidR="009E1804" w:rsidRDefault="009E1804" w:rsidP="00EE7107">
      <w:pPr>
        <w:jc w:val="both"/>
      </w:pPr>
      <w:r>
        <w:t xml:space="preserve">In </w:t>
      </w:r>
      <w:r w:rsidRPr="00F50158">
        <w:t xml:space="preserve">collaboration </w:t>
      </w:r>
      <w:r>
        <w:t>with t</w:t>
      </w:r>
      <w:r w:rsidRPr="00F50158">
        <w:t>he Brazil NPPO</w:t>
      </w:r>
      <w:r>
        <w:t xml:space="preserve">, </w:t>
      </w:r>
      <w:r w:rsidR="00272318">
        <w:t xml:space="preserve">a </w:t>
      </w:r>
      <w:r w:rsidR="00272318" w:rsidRPr="00F50158">
        <w:t>training workshop on diagnostics</w:t>
      </w:r>
      <w:r w:rsidR="00272318">
        <w:t xml:space="preserve"> of SALB for development of the capacity concerned was identified</w:t>
      </w:r>
      <w:r w:rsidR="008629F6">
        <w:t xml:space="preserve"> based on the proposed training program which was developed during the regional workshop before</w:t>
      </w:r>
      <w:r w:rsidR="00272318">
        <w:t xml:space="preserve">. </w:t>
      </w:r>
      <w:r>
        <w:t xml:space="preserve">APPPC sent </w:t>
      </w:r>
      <w:r w:rsidR="00EE7107">
        <w:t>13</w:t>
      </w:r>
      <w:r w:rsidR="00972C25">
        <w:t xml:space="preserve"> delegates from </w:t>
      </w:r>
      <w:r w:rsidR="00EE7107">
        <w:t>4</w:t>
      </w:r>
      <w:r w:rsidR="00972C25">
        <w:t xml:space="preserve"> countries to Brail for participate in </w:t>
      </w:r>
      <w:r w:rsidR="008629F6">
        <w:t>the training.</w:t>
      </w:r>
      <w:r w:rsidR="007A00C2">
        <w:t xml:space="preserve"> Brazil NPPO </w:t>
      </w:r>
      <w:r w:rsidR="008629F6">
        <w:t>facilitated the training and provided invaluable</w:t>
      </w:r>
      <w:r w:rsidRPr="00F50158">
        <w:t xml:space="preserve"> assistance</w:t>
      </w:r>
      <w:r w:rsidR="008629F6">
        <w:t xml:space="preserve"> and support to the participants</w:t>
      </w:r>
      <w:r w:rsidRPr="00F50158">
        <w:t xml:space="preserve">. </w:t>
      </w:r>
      <w:r w:rsidR="007C3CC4">
        <w:t>In collaboration with NAPPO, a joint workshop on ISPM15 will be organized in 2014, prearrangements are under discussion.</w:t>
      </w:r>
    </w:p>
    <w:p w:rsidR="009E1804" w:rsidRDefault="009E1804" w:rsidP="00550FA0">
      <w:pPr>
        <w:jc w:val="both"/>
      </w:pPr>
    </w:p>
    <w:p w:rsidR="008C0C94" w:rsidRPr="00F50158" w:rsidRDefault="008C0C94" w:rsidP="003F720B">
      <w:pPr>
        <w:spacing w:before="100" w:beforeAutospacing="1" w:after="100" w:afterAutospacing="1"/>
        <w:jc w:val="both"/>
        <w:rPr>
          <w:rFonts w:eastAsia="Times New Roman"/>
        </w:rPr>
      </w:pPr>
      <w:r w:rsidRPr="00F50158">
        <w:rPr>
          <w:rFonts w:eastAsia="Times New Roman"/>
        </w:rPr>
        <w:t>The apple snail (</w:t>
      </w:r>
      <w:proofErr w:type="spellStart"/>
      <w:r w:rsidRPr="00F50158">
        <w:rPr>
          <w:rFonts w:eastAsia="Times New Roman"/>
          <w:i/>
          <w:iCs/>
        </w:rPr>
        <w:t>Pomacea</w:t>
      </w:r>
      <w:proofErr w:type="spellEnd"/>
      <w:r w:rsidRPr="00F50158">
        <w:rPr>
          <w:rFonts w:eastAsia="Times New Roman"/>
          <w:i/>
          <w:iCs/>
        </w:rPr>
        <w:t xml:space="preserve"> spp.</w:t>
      </w:r>
      <w:r w:rsidRPr="00F50158">
        <w:rPr>
          <w:rFonts w:eastAsia="Times New Roman"/>
        </w:rPr>
        <w:t xml:space="preserve">) has become a serious pest of rice in Asia and the Pacific region in the past few years. A regional workshop on spread prevention and control of apple snail in rice was convened from 3-7 December 2012 in Malaysia with kind assistance of Malaysia NPPO. The workshop programme discussed the biology and ecology of the pest </w:t>
      </w:r>
      <w:proofErr w:type="spellStart"/>
      <w:r w:rsidRPr="00F50158">
        <w:rPr>
          <w:rFonts w:eastAsia="Times New Roman"/>
          <w:i/>
          <w:iCs/>
        </w:rPr>
        <w:t>Pomacea</w:t>
      </w:r>
      <w:proofErr w:type="spellEnd"/>
      <w:r w:rsidRPr="00F50158">
        <w:rPr>
          <w:rFonts w:eastAsia="Times New Roman"/>
          <w:i/>
          <w:iCs/>
        </w:rPr>
        <w:t xml:space="preserve"> spp.</w:t>
      </w:r>
      <w:r w:rsidRPr="00F50158">
        <w:rPr>
          <w:rFonts w:eastAsia="Times New Roman"/>
        </w:rPr>
        <w:t xml:space="preserve"> and control strategies. Participants shared their experiences and gained expertise in the field from the experts. The workshop presented the various methods to control </w:t>
      </w:r>
      <w:proofErr w:type="spellStart"/>
      <w:r w:rsidRPr="00F50158">
        <w:rPr>
          <w:rFonts w:eastAsia="Times New Roman"/>
        </w:rPr>
        <w:t>Pomacea</w:t>
      </w:r>
      <w:proofErr w:type="spellEnd"/>
      <w:r w:rsidRPr="00F50158">
        <w:rPr>
          <w:rFonts w:eastAsia="Times New Roman"/>
        </w:rPr>
        <w:t xml:space="preserve"> spp. i.e. physical control, cultural control, biological </w:t>
      </w:r>
      <w:proofErr w:type="spellStart"/>
      <w:r w:rsidRPr="00F50158">
        <w:rPr>
          <w:rFonts w:eastAsia="Times New Roman"/>
        </w:rPr>
        <w:t>molluscicides</w:t>
      </w:r>
      <w:proofErr w:type="spellEnd"/>
      <w:r w:rsidRPr="00F50158">
        <w:rPr>
          <w:rFonts w:eastAsia="Times New Roman"/>
        </w:rPr>
        <w:t xml:space="preserve">, habitat modification, and chemical control. </w:t>
      </w:r>
    </w:p>
    <w:bookmarkEnd w:id="0"/>
    <w:bookmarkEnd w:id="1"/>
    <w:p w:rsidR="00550FA0" w:rsidRDefault="00550FA0" w:rsidP="00ED4E5E">
      <w:pPr>
        <w:autoSpaceDE w:val="0"/>
        <w:autoSpaceDN w:val="0"/>
        <w:adjustRightInd w:val="0"/>
        <w:jc w:val="both"/>
      </w:pPr>
    </w:p>
    <w:p w:rsidR="00ED4E5E" w:rsidRPr="008C0C94" w:rsidRDefault="00653E3C" w:rsidP="006A368E">
      <w:pPr>
        <w:jc w:val="both"/>
        <w:rPr>
          <w:i/>
          <w:iCs/>
          <w:color w:val="FF0000"/>
        </w:rPr>
      </w:pPr>
      <w:r>
        <w:t>A</w:t>
      </w:r>
      <w:r w:rsidR="00130355">
        <w:t>n</w:t>
      </w:r>
      <w:r w:rsidR="00ED4E5E" w:rsidRPr="00B412C6">
        <w:rPr>
          <w:rFonts w:hint="eastAsia"/>
        </w:rPr>
        <w:t xml:space="preserve"> </w:t>
      </w:r>
      <w:r w:rsidR="00ED4E5E">
        <w:rPr>
          <w:rFonts w:hint="eastAsia"/>
        </w:rPr>
        <w:t>STDF project (</w:t>
      </w:r>
      <w:r w:rsidR="00ED4E5E" w:rsidRPr="00FF53BA">
        <w:t>STDF/PG/329</w:t>
      </w:r>
      <w:r w:rsidR="00ED4E5E">
        <w:rPr>
          <w:rFonts w:hint="eastAsia"/>
        </w:rPr>
        <w:t>)-</w:t>
      </w:r>
      <w:r w:rsidR="00ED4E5E" w:rsidRPr="00FF53BA">
        <w:t>Beyond compliance: on an integrated systems approach for pest risk management</w:t>
      </w:r>
      <w:r>
        <w:t xml:space="preserve"> made some progress</w:t>
      </w:r>
      <w:r w:rsidR="00ED4E5E">
        <w:rPr>
          <w:rFonts w:hint="eastAsia"/>
        </w:rPr>
        <w:t xml:space="preserve">. </w:t>
      </w:r>
      <w:r w:rsidR="0065173D">
        <w:t xml:space="preserve">Participating countries improved some capacity in identifying critical control points in production chains, which may </w:t>
      </w:r>
      <w:r w:rsidR="003500AC">
        <w:t xml:space="preserve">more relevant for system approach for risk management, through exercises of </w:t>
      </w:r>
      <w:r w:rsidR="006A368E">
        <w:t>using Bayesian Network modelling approach during the implementation of the project.</w:t>
      </w:r>
      <w:r w:rsidR="00ED4E5E" w:rsidRPr="008C0C94">
        <w:rPr>
          <w:color w:val="FF0000"/>
        </w:rPr>
        <w:t xml:space="preserve"> </w:t>
      </w:r>
    </w:p>
    <w:p w:rsidR="00ED4E5E" w:rsidRPr="00B412C6" w:rsidRDefault="00ED4E5E" w:rsidP="00ED4E5E">
      <w:pPr>
        <w:jc w:val="both"/>
      </w:pPr>
    </w:p>
    <w:p w:rsidR="00AB2271" w:rsidRPr="0025001C" w:rsidRDefault="00AB2271" w:rsidP="00AB2271">
      <w:pPr>
        <w:jc w:val="both"/>
        <w:rPr>
          <w:color w:val="000000"/>
        </w:rPr>
      </w:pPr>
      <w:r w:rsidRPr="00462043">
        <w:t>An APPPC planning workshop was held in Bangkok, Thailand, from 13-15 May 2013</w:t>
      </w:r>
      <w:r>
        <w:t xml:space="preserve"> to </w:t>
      </w:r>
      <w:r w:rsidRPr="00462043">
        <w:t>review</w:t>
      </w:r>
      <w:r>
        <w:t xml:space="preserve"> </w:t>
      </w:r>
      <w:r w:rsidRPr="00462043">
        <w:t>the status of the implementation of the work plan adopted by the 27</w:t>
      </w:r>
      <w:r>
        <w:t>th Session and to</w:t>
      </w:r>
      <w:r w:rsidRPr="00462043">
        <w:t xml:space="preserve"> prepar</w:t>
      </w:r>
      <w:r>
        <w:t>e</w:t>
      </w:r>
      <w:r w:rsidRPr="00462043">
        <w:t xml:space="preserve"> recommendations for the 2014-2015 biennium work programme. The recommendations were prepared by the meeting and will be presented to this Session for further discussion and adoption</w:t>
      </w:r>
      <w:r w:rsidRPr="00462043">
        <w:rPr>
          <w:color w:val="FF0000"/>
        </w:rPr>
        <w:t>.</w:t>
      </w:r>
      <w:r w:rsidRPr="00462043">
        <w:t xml:space="preserve"> </w:t>
      </w:r>
      <w:r>
        <w:t>The 28</w:t>
      </w:r>
      <w:r w:rsidRPr="00AB2271">
        <w:rPr>
          <w:vertAlign w:val="superscript"/>
        </w:rPr>
        <w:t>th</w:t>
      </w:r>
      <w:r>
        <w:t xml:space="preserve"> Session will be convened from 23-27 September 2013 in </w:t>
      </w:r>
      <w:proofErr w:type="spellStart"/>
      <w:r>
        <w:t>Jeju</w:t>
      </w:r>
      <w:proofErr w:type="spellEnd"/>
      <w:r>
        <w:t xml:space="preserve"> Island, Republic of Korea.</w:t>
      </w:r>
    </w:p>
    <w:p w:rsidR="00AB2271" w:rsidRDefault="00AB2271" w:rsidP="00DE3ABE">
      <w:pPr>
        <w:jc w:val="both"/>
      </w:pPr>
    </w:p>
    <w:p w:rsidR="00AB2271" w:rsidRDefault="00AB2271" w:rsidP="00DE3ABE">
      <w:pPr>
        <w:jc w:val="both"/>
      </w:pPr>
    </w:p>
    <w:sectPr w:rsidR="00AB2271" w:rsidSect="00985AAB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D6" w:rsidRDefault="00E00FD6">
      <w:r>
        <w:separator/>
      </w:r>
    </w:p>
  </w:endnote>
  <w:endnote w:type="continuationSeparator" w:id="0">
    <w:p w:rsidR="00E00FD6" w:rsidRDefault="00E0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5E" w:rsidRDefault="002A7CA9" w:rsidP="00ED4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D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D5E" w:rsidRDefault="008F0D5E" w:rsidP="00ED4E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5E" w:rsidRDefault="002A7CA9" w:rsidP="00ED4E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0D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6A9F">
      <w:rPr>
        <w:rStyle w:val="PageNumber"/>
        <w:noProof/>
      </w:rPr>
      <w:t>1</w:t>
    </w:r>
    <w:r>
      <w:rPr>
        <w:rStyle w:val="PageNumber"/>
      </w:rPr>
      <w:fldChar w:fldCharType="end"/>
    </w:r>
  </w:p>
  <w:p w:rsidR="008F0D5E" w:rsidRDefault="008F0D5E" w:rsidP="00ED4E5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D6" w:rsidRDefault="00E00FD6">
      <w:r>
        <w:separator/>
      </w:r>
    </w:p>
  </w:footnote>
  <w:footnote w:type="continuationSeparator" w:id="0">
    <w:p w:rsidR="00E00FD6" w:rsidRDefault="00E0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9F" w:rsidRDefault="00E16A9F" w:rsidP="00E16A9F">
    <w:pPr>
      <w:pBdr>
        <w:bottom w:val="single" w:sz="4" w:space="0" w:color="auto"/>
      </w:pBdr>
      <w:tabs>
        <w:tab w:val="left" w:pos="1134"/>
        <w:tab w:val="right" w:pos="9072"/>
      </w:tabs>
      <w:spacing w:before="120"/>
    </w:pPr>
    <w:r>
      <w:rPr>
        <w:noProof/>
        <w:lang w:val="en-US" w:eastAsia="en-US"/>
      </w:rPr>
      <w:drawing>
        <wp:inline distT="0" distB="0" distL="0" distR="0">
          <wp:extent cx="5762625" cy="3238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A9F" w:rsidRPr="0061028F" w:rsidRDefault="00E16A9F" w:rsidP="00E16A9F">
    <w:pPr>
      <w:pBdr>
        <w:bottom w:val="single" w:sz="4" w:space="0" w:color="auto"/>
      </w:pBdr>
      <w:tabs>
        <w:tab w:val="left" w:pos="1134"/>
        <w:tab w:val="right" w:pos="9072"/>
      </w:tabs>
      <w:spacing w:before="120"/>
      <w:rPr>
        <w:rFonts w:ascii="Arial" w:hAnsi="Arial" w:cs="Arial"/>
        <w:i/>
        <w:sz w:val="18"/>
        <w:szCs w:val="1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-12700</wp:posOffset>
          </wp:positionV>
          <wp:extent cx="632460" cy="324485"/>
          <wp:effectExtent l="19050" t="0" r="0" b="0"/>
          <wp:wrapSquare wrapText="bothSides"/>
          <wp:docPr id="2" name="Picture 1" descr="Description: 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sz w:val="18"/>
        <w:szCs w:val="18"/>
      </w:rPr>
      <w:t xml:space="preserve">International Plant Protection Convention                                   </w:t>
    </w:r>
    <w:r>
      <w:rPr>
        <w:rFonts w:ascii="Arial" w:hAnsi="Arial" w:cs="Arial"/>
        <w:sz w:val="18"/>
        <w:szCs w:val="18"/>
      </w:rPr>
      <w:tab/>
      <w:t>TC-RPPOs_2013</w:t>
    </w:r>
  </w:p>
  <w:p w:rsidR="00E16A9F" w:rsidRPr="00620F60" w:rsidRDefault="00E16A9F" w:rsidP="00E16A9F">
    <w:pPr>
      <w:pStyle w:val="IPPArial"/>
      <w:pBdr>
        <w:bottom w:val="single" w:sz="4" w:space="0" w:color="auto"/>
      </w:pBdr>
      <w:tabs>
        <w:tab w:val="left" w:pos="1134"/>
        <w:tab w:val="right" w:pos="9072"/>
      </w:tabs>
      <w:rPr>
        <w:lang w:val="en-US"/>
      </w:rPr>
    </w:pPr>
    <w:r>
      <w:rPr>
        <w:i/>
        <w:lang w:val="en-US"/>
      </w:rPr>
      <w:tab/>
    </w:r>
    <w:r>
      <w:rPr>
        <w:i/>
        <w:lang w:val="en-US"/>
      </w:rPr>
      <w:t>APPPC</w:t>
    </w:r>
    <w:r w:rsidRPr="0061028F">
      <w:rPr>
        <w:rFonts w:cs="Arial"/>
        <w:szCs w:val="18"/>
        <w:lang w:val="en-US"/>
      </w:rPr>
      <w:tab/>
    </w:r>
    <w:r w:rsidRPr="0061028F">
      <w:rPr>
        <w:rFonts w:cs="Arial"/>
        <w:i/>
        <w:iCs/>
        <w:szCs w:val="18"/>
        <w:lang w:val="en-US"/>
      </w:rPr>
      <w:t xml:space="preserve">Agenda item </w:t>
    </w:r>
    <w:r>
      <w:rPr>
        <w:rFonts w:cs="Arial"/>
        <w:i/>
        <w:iCs/>
        <w:szCs w:val="18"/>
        <w:lang w:val="en-US"/>
      </w:rPr>
      <w:t>5.1</w:t>
    </w:r>
  </w:p>
  <w:p w:rsidR="00E16A9F" w:rsidRDefault="00E16A9F">
    <w:pPr>
      <w:pStyle w:val="Header"/>
    </w:pPr>
  </w:p>
  <w:p w:rsidR="00E16A9F" w:rsidRDefault="00E16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8D5"/>
    <w:multiLevelType w:val="hybridMultilevel"/>
    <w:tmpl w:val="F25C5AB0"/>
    <w:lvl w:ilvl="0" w:tplc="68FC00E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E0165"/>
    <w:multiLevelType w:val="hybridMultilevel"/>
    <w:tmpl w:val="D0E8E2A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D95"/>
    <w:multiLevelType w:val="hybridMultilevel"/>
    <w:tmpl w:val="348094B6"/>
    <w:lvl w:ilvl="0" w:tplc="68FC00EE">
      <w:start w:val="1"/>
      <w:numFmt w:val="lowerRoman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468C6"/>
    <w:multiLevelType w:val="hybridMultilevel"/>
    <w:tmpl w:val="348094B6"/>
    <w:lvl w:ilvl="0" w:tplc="68FC00EE">
      <w:start w:val="1"/>
      <w:numFmt w:val="lowerRoman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E36CA"/>
    <w:multiLevelType w:val="hybridMultilevel"/>
    <w:tmpl w:val="C7F22C94"/>
    <w:lvl w:ilvl="0" w:tplc="2F1C8D5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Batang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4E5E"/>
    <w:rsid w:val="000717C9"/>
    <w:rsid w:val="000C69B4"/>
    <w:rsid w:val="000E41B3"/>
    <w:rsid w:val="00124472"/>
    <w:rsid w:val="00130355"/>
    <w:rsid w:val="001350D2"/>
    <w:rsid w:val="00150965"/>
    <w:rsid w:val="00153419"/>
    <w:rsid w:val="001661DF"/>
    <w:rsid w:val="00181E06"/>
    <w:rsid w:val="001A490B"/>
    <w:rsid w:val="001C0330"/>
    <w:rsid w:val="001C6DC3"/>
    <w:rsid w:val="001D1975"/>
    <w:rsid w:val="001D23F0"/>
    <w:rsid w:val="001D2624"/>
    <w:rsid w:val="001E6F5C"/>
    <w:rsid w:val="00242ABE"/>
    <w:rsid w:val="0024552E"/>
    <w:rsid w:val="0026486A"/>
    <w:rsid w:val="00272318"/>
    <w:rsid w:val="00291D15"/>
    <w:rsid w:val="002A4CCF"/>
    <w:rsid w:val="002A7CA9"/>
    <w:rsid w:val="002E10A9"/>
    <w:rsid w:val="00307390"/>
    <w:rsid w:val="0031787E"/>
    <w:rsid w:val="00320BFC"/>
    <w:rsid w:val="00336E20"/>
    <w:rsid w:val="003500AC"/>
    <w:rsid w:val="0037530E"/>
    <w:rsid w:val="003875C5"/>
    <w:rsid w:val="003F2A17"/>
    <w:rsid w:val="003F720B"/>
    <w:rsid w:val="004358D5"/>
    <w:rsid w:val="00444CB2"/>
    <w:rsid w:val="004508C0"/>
    <w:rsid w:val="004518AA"/>
    <w:rsid w:val="00472A31"/>
    <w:rsid w:val="00477E68"/>
    <w:rsid w:val="004B0E1D"/>
    <w:rsid w:val="004B76D0"/>
    <w:rsid w:val="004B7717"/>
    <w:rsid w:val="004F4818"/>
    <w:rsid w:val="005222B6"/>
    <w:rsid w:val="00535949"/>
    <w:rsid w:val="00543FCC"/>
    <w:rsid w:val="00550FA0"/>
    <w:rsid w:val="005615DB"/>
    <w:rsid w:val="00592F4C"/>
    <w:rsid w:val="005B1606"/>
    <w:rsid w:val="005E349A"/>
    <w:rsid w:val="005E40A3"/>
    <w:rsid w:val="005E58D0"/>
    <w:rsid w:val="00627255"/>
    <w:rsid w:val="0065173D"/>
    <w:rsid w:val="00653E3C"/>
    <w:rsid w:val="006A368E"/>
    <w:rsid w:val="006B59DE"/>
    <w:rsid w:val="006F1271"/>
    <w:rsid w:val="00715812"/>
    <w:rsid w:val="007455C8"/>
    <w:rsid w:val="00763315"/>
    <w:rsid w:val="007A00C2"/>
    <w:rsid w:val="007C3CC4"/>
    <w:rsid w:val="007C51A3"/>
    <w:rsid w:val="007D6F3A"/>
    <w:rsid w:val="00823858"/>
    <w:rsid w:val="0082490D"/>
    <w:rsid w:val="008420DF"/>
    <w:rsid w:val="0086005C"/>
    <w:rsid w:val="008629F6"/>
    <w:rsid w:val="00887100"/>
    <w:rsid w:val="008C0C94"/>
    <w:rsid w:val="008D67D9"/>
    <w:rsid w:val="008D7B0D"/>
    <w:rsid w:val="008F0D5E"/>
    <w:rsid w:val="008F2123"/>
    <w:rsid w:val="008F329B"/>
    <w:rsid w:val="00907E88"/>
    <w:rsid w:val="00942561"/>
    <w:rsid w:val="00972C25"/>
    <w:rsid w:val="00985AAB"/>
    <w:rsid w:val="009A3C4D"/>
    <w:rsid w:val="009E1804"/>
    <w:rsid w:val="009E1DFF"/>
    <w:rsid w:val="00A0429A"/>
    <w:rsid w:val="00A730D4"/>
    <w:rsid w:val="00A7411B"/>
    <w:rsid w:val="00A75A1E"/>
    <w:rsid w:val="00AA7BE7"/>
    <w:rsid w:val="00AB2271"/>
    <w:rsid w:val="00AD4E8F"/>
    <w:rsid w:val="00AD6EAA"/>
    <w:rsid w:val="00B40C63"/>
    <w:rsid w:val="00B47FF5"/>
    <w:rsid w:val="00B90431"/>
    <w:rsid w:val="00BC29A4"/>
    <w:rsid w:val="00BE1822"/>
    <w:rsid w:val="00C053A1"/>
    <w:rsid w:val="00CA4B07"/>
    <w:rsid w:val="00CB173A"/>
    <w:rsid w:val="00CC09D6"/>
    <w:rsid w:val="00CC42E4"/>
    <w:rsid w:val="00CD6709"/>
    <w:rsid w:val="00D452E3"/>
    <w:rsid w:val="00D544D5"/>
    <w:rsid w:val="00D55B40"/>
    <w:rsid w:val="00D56824"/>
    <w:rsid w:val="00D70AC8"/>
    <w:rsid w:val="00D80625"/>
    <w:rsid w:val="00D85F8E"/>
    <w:rsid w:val="00D90900"/>
    <w:rsid w:val="00D92E29"/>
    <w:rsid w:val="00D97A68"/>
    <w:rsid w:val="00DA3440"/>
    <w:rsid w:val="00DB4E3A"/>
    <w:rsid w:val="00DD2918"/>
    <w:rsid w:val="00DE3ABE"/>
    <w:rsid w:val="00E00FD6"/>
    <w:rsid w:val="00E06086"/>
    <w:rsid w:val="00E068B4"/>
    <w:rsid w:val="00E16A9F"/>
    <w:rsid w:val="00E172FC"/>
    <w:rsid w:val="00E666E2"/>
    <w:rsid w:val="00ED4E5E"/>
    <w:rsid w:val="00ED7782"/>
    <w:rsid w:val="00EE7107"/>
    <w:rsid w:val="00F0618E"/>
    <w:rsid w:val="00F31A41"/>
    <w:rsid w:val="00F372AD"/>
    <w:rsid w:val="00F433CA"/>
    <w:rsid w:val="00F477E5"/>
    <w:rsid w:val="00FA2C27"/>
    <w:rsid w:val="00FA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5E"/>
    <w:rPr>
      <w:rFonts w:eastAsia="SimSu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985AA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4E5E"/>
  </w:style>
  <w:style w:type="paragraph" w:styleId="NoSpacing">
    <w:name w:val="No Spacing"/>
    <w:link w:val="NoSpacingChar"/>
    <w:qFormat/>
    <w:rsid w:val="0086005C"/>
    <w:rPr>
      <w:rFonts w:eastAsia="SimSu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86005C"/>
    <w:rPr>
      <w:rFonts w:eastAsia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965"/>
    <w:pPr>
      <w:spacing w:after="200" w:line="276" w:lineRule="auto"/>
      <w:ind w:left="720"/>
    </w:pPr>
    <w:rPr>
      <w:rFonts w:ascii="Calibri" w:eastAsia="Calibri" w:hAnsi="Calibri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6A9F"/>
    <w:rPr>
      <w:rFonts w:eastAsia="SimSu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6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A9F"/>
    <w:rPr>
      <w:rFonts w:ascii="Tahoma" w:eastAsia="SimSun" w:hAnsi="Tahoma" w:cs="Tahoma"/>
      <w:sz w:val="16"/>
      <w:szCs w:val="16"/>
      <w:lang w:val="en-GB"/>
    </w:rPr>
  </w:style>
  <w:style w:type="paragraph" w:customStyle="1" w:styleId="IPPArial">
    <w:name w:val="IPP Arial"/>
    <w:basedOn w:val="Normal"/>
    <w:qFormat/>
    <w:rsid w:val="00E16A9F"/>
    <w:pPr>
      <w:jc w:val="both"/>
    </w:pPr>
    <w:rPr>
      <w:rFonts w:ascii="Arial" w:eastAsia="Times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70F63-D76B-4264-85E8-8DA65BB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APPPC update summary for the 23rd TC-RPPOs</vt:lpstr>
    </vt:vector>
  </TitlesOfParts>
  <Company>FAO of the UN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APPPC update summary for the 23rd TC-RPPOs</dc:title>
  <dc:creator>Ruenglertpanya</dc:creator>
  <cp:lastModifiedBy>Johanna Gardesten (AGPM)</cp:lastModifiedBy>
  <cp:revision>9</cp:revision>
  <cp:lastPrinted>2013-07-23T06:57:00Z</cp:lastPrinted>
  <dcterms:created xsi:type="dcterms:W3CDTF">2013-07-16T01:45:00Z</dcterms:created>
  <dcterms:modified xsi:type="dcterms:W3CDTF">2013-08-21T09:06:00Z</dcterms:modified>
</cp:coreProperties>
</file>