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FF" w:rsidRPr="004E0667" w:rsidRDefault="009845FF" w:rsidP="009845FF">
      <w:pPr>
        <w:pStyle w:val="IPPHeadSection"/>
        <w:tabs>
          <w:tab w:val="clear" w:pos="851"/>
          <w:tab w:val="left" w:pos="0"/>
        </w:tabs>
        <w:ind w:left="0" w:firstLine="0"/>
        <w:jc w:val="center"/>
      </w:pPr>
      <w:r w:rsidRPr="004E0667">
        <w:t>CONSULTA DE LOS MIEMBROS, 1</w:t>
      </w:r>
      <w:proofErr w:type="gramStart"/>
      <w:r w:rsidR="0049666E" w:rsidRPr="004E0667">
        <w:t>.</w:t>
      </w:r>
      <w:r w:rsidR="0055578E" w:rsidRPr="004E0667">
        <w:t>º</w:t>
      </w:r>
      <w:proofErr w:type="gramEnd"/>
      <w:r w:rsidRPr="004E0667">
        <w:t xml:space="preserve"> DE JULIO-1</w:t>
      </w:r>
      <w:r w:rsidR="0049666E" w:rsidRPr="004E0667">
        <w:t>.º</w:t>
      </w:r>
      <w:r w:rsidRPr="004E0667">
        <w:t xml:space="preserve"> DE DICIEMBRE DE 2013</w:t>
      </w:r>
      <w:r w:rsidRPr="004E0667">
        <w:br/>
        <w:t>DOCUMENTO DE ANTECEDENTES</w:t>
      </w:r>
    </w:p>
    <w:p w:rsidR="009845FF" w:rsidRPr="004E0667" w:rsidRDefault="009845FF" w:rsidP="009845FF">
      <w:pPr>
        <w:spacing w:after="180"/>
        <w:jc w:val="center"/>
        <w:rPr>
          <w:b/>
        </w:rPr>
      </w:pPr>
      <w:r w:rsidRPr="004E0667">
        <w:rPr>
          <w:b/>
        </w:rPr>
        <w:t xml:space="preserve">Proyecto de Anexo a la NIMF 28:2007 </w:t>
      </w:r>
      <w:r w:rsidR="0049666E" w:rsidRPr="004E0667">
        <w:rPr>
          <w:b/>
        </w:rPr>
        <w:t>sobre “</w:t>
      </w:r>
      <w:r w:rsidRPr="004E0667">
        <w:rPr>
          <w:b/>
        </w:rPr>
        <w:t xml:space="preserve">Irradiación contra </w:t>
      </w:r>
      <w:proofErr w:type="spellStart"/>
      <w:r w:rsidRPr="004E0667">
        <w:rPr>
          <w:i/>
        </w:rPr>
        <w:t>Dysmicoccus</w:t>
      </w:r>
      <w:proofErr w:type="spellEnd"/>
      <w:r w:rsidRPr="004E0667">
        <w:rPr>
          <w:i/>
        </w:rPr>
        <w:t xml:space="preserve"> </w:t>
      </w:r>
      <w:proofErr w:type="spellStart"/>
      <w:r w:rsidRPr="004E0667">
        <w:rPr>
          <w:i/>
        </w:rPr>
        <w:t>neobrevipes</w:t>
      </w:r>
      <w:proofErr w:type="spellEnd"/>
      <w:r w:rsidRPr="004E0667">
        <w:rPr>
          <w:b/>
        </w:rPr>
        <w:t xml:space="preserve"> </w:t>
      </w:r>
      <w:r w:rsidR="0055578E" w:rsidRPr="004E0667">
        <w:rPr>
          <w:b/>
        </w:rPr>
        <w:t>(</w:t>
      </w:r>
      <w:r w:rsidRPr="004E0667">
        <w:rPr>
          <w:b/>
        </w:rPr>
        <w:t>BEARDSLEY</w:t>
      </w:r>
      <w:r w:rsidR="0055578E" w:rsidRPr="004E0667">
        <w:rPr>
          <w:b/>
        </w:rPr>
        <w:t>)</w:t>
      </w:r>
      <w:r w:rsidRPr="004E0667">
        <w:rPr>
          <w:b/>
        </w:rPr>
        <w:t xml:space="preserve">, </w:t>
      </w:r>
      <w:proofErr w:type="spellStart"/>
      <w:r w:rsidRPr="004E0667">
        <w:rPr>
          <w:b/>
          <w:i/>
        </w:rPr>
        <w:t>Planococcus</w:t>
      </w:r>
      <w:proofErr w:type="spellEnd"/>
      <w:r w:rsidRPr="004E0667">
        <w:rPr>
          <w:b/>
          <w:i/>
        </w:rPr>
        <w:t xml:space="preserve"> </w:t>
      </w:r>
      <w:proofErr w:type="spellStart"/>
      <w:r w:rsidRPr="004E0667">
        <w:rPr>
          <w:b/>
          <w:i/>
        </w:rPr>
        <w:t>lilacinus</w:t>
      </w:r>
      <w:proofErr w:type="spellEnd"/>
      <w:r w:rsidRPr="004E0667">
        <w:rPr>
          <w:b/>
        </w:rPr>
        <w:t xml:space="preserve"> (COCKERELL) y </w:t>
      </w:r>
      <w:proofErr w:type="spellStart"/>
      <w:r w:rsidRPr="004E0667">
        <w:rPr>
          <w:b/>
          <w:i/>
        </w:rPr>
        <w:t>Planococcus</w:t>
      </w:r>
      <w:proofErr w:type="spellEnd"/>
      <w:r w:rsidRPr="004E0667">
        <w:rPr>
          <w:b/>
          <w:i/>
        </w:rPr>
        <w:t xml:space="preserve"> </w:t>
      </w:r>
      <w:proofErr w:type="spellStart"/>
      <w:r w:rsidRPr="004E0667">
        <w:rPr>
          <w:b/>
          <w:i/>
        </w:rPr>
        <w:t>minor</w:t>
      </w:r>
      <w:proofErr w:type="spellEnd"/>
      <w:r w:rsidRPr="004E0667">
        <w:rPr>
          <w:b/>
        </w:rPr>
        <w:t xml:space="preserve"> (MASKELL) (HEMIPTERA: PSEUDOCOCCIDAE)</w:t>
      </w:r>
      <w:r w:rsidR="0049666E" w:rsidRPr="004E0667">
        <w:rPr>
          <w:b/>
        </w:rPr>
        <w:t>”</w:t>
      </w:r>
    </w:p>
    <w:p w:rsidR="009845FF" w:rsidRPr="004E0667" w:rsidRDefault="009845FF" w:rsidP="009845FF">
      <w:pPr>
        <w:pStyle w:val="IPPNormal"/>
        <w:rPr>
          <w:rStyle w:val="IPPNormalunderlined"/>
          <w:szCs w:val="22"/>
          <w:lang w:val="es-ES_tradnl"/>
        </w:rPr>
      </w:pPr>
      <w:r w:rsidRPr="004E0667">
        <w:rPr>
          <w:szCs w:val="22"/>
        </w:rPr>
        <w:t xml:space="preserve">En respuesta a la Convocatoria para </w:t>
      </w:r>
      <w:r w:rsidR="00F519B3" w:rsidRPr="004E0667">
        <w:rPr>
          <w:szCs w:val="22"/>
        </w:rPr>
        <w:t xml:space="preserve">la propuesta de </w:t>
      </w:r>
      <w:r w:rsidRPr="004E0667">
        <w:rPr>
          <w:szCs w:val="22"/>
        </w:rPr>
        <w:t xml:space="preserve">tratamientos de 2012, en relación con el tema </w:t>
      </w:r>
      <w:r w:rsidRPr="004E0667">
        <w:rPr>
          <w:i/>
          <w:szCs w:val="22"/>
        </w:rPr>
        <w:t>Tratamientos de irradiación</w:t>
      </w:r>
      <w:r w:rsidRPr="004E0667">
        <w:rPr>
          <w:szCs w:val="22"/>
        </w:rPr>
        <w:t xml:space="preserve"> </w:t>
      </w:r>
      <w:r w:rsidRPr="004E0667">
        <w:rPr>
          <w:rStyle w:val="IPPNormalunderlined"/>
          <w:szCs w:val="22"/>
          <w:u w:val="none"/>
          <w:lang w:val="es-ES_tradnl"/>
        </w:rPr>
        <w:t>(2006-014), se presentó a la Secretaría de la CIPF un</w:t>
      </w:r>
      <w:r w:rsidR="00F519B3" w:rsidRPr="004E0667">
        <w:rPr>
          <w:rStyle w:val="IPPNormalunderlined"/>
          <w:szCs w:val="22"/>
          <w:u w:val="none"/>
          <w:lang w:val="es-ES_tradnl"/>
        </w:rPr>
        <w:t>a propuesta de</w:t>
      </w:r>
      <w:r w:rsidRPr="004E0667">
        <w:rPr>
          <w:rStyle w:val="IPPNormalunderlined"/>
          <w:szCs w:val="22"/>
          <w:u w:val="none"/>
          <w:lang w:val="es-ES_tradnl"/>
        </w:rPr>
        <w:t xml:space="preserve"> tratamiento </w:t>
      </w:r>
      <w:r w:rsidR="00F519B3" w:rsidRPr="004E0667">
        <w:rPr>
          <w:rStyle w:val="IPPNormalunderlined"/>
          <w:szCs w:val="22"/>
          <w:u w:val="none"/>
          <w:lang w:val="es-ES_tradnl"/>
        </w:rPr>
        <w:t xml:space="preserve">titulada </w:t>
      </w:r>
      <w:r w:rsidR="00A66FE1" w:rsidRPr="004E0667">
        <w:rPr>
          <w:rStyle w:val="IPPNormalunderlined"/>
          <w:szCs w:val="22"/>
          <w:u w:val="none"/>
          <w:lang w:val="es-ES_tradnl"/>
        </w:rPr>
        <w:t>“</w:t>
      </w:r>
      <w:r w:rsidRPr="004E0667">
        <w:rPr>
          <w:rStyle w:val="IPPNormalunderlined"/>
          <w:szCs w:val="22"/>
          <w:u w:val="none"/>
          <w:lang w:val="es-ES_tradnl"/>
        </w:rPr>
        <w:t xml:space="preserve">Irradiación contra </w:t>
      </w:r>
      <w:proofErr w:type="spellStart"/>
      <w:r w:rsidRPr="004E0667">
        <w:rPr>
          <w:i/>
          <w:szCs w:val="22"/>
        </w:rPr>
        <w:t>Dysmicoccus</w:t>
      </w:r>
      <w:proofErr w:type="spellEnd"/>
      <w:r w:rsidRPr="004E0667">
        <w:rPr>
          <w:i/>
          <w:szCs w:val="22"/>
        </w:rPr>
        <w:t xml:space="preserve"> </w:t>
      </w:r>
      <w:proofErr w:type="spellStart"/>
      <w:r w:rsidRPr="004E0667">
        <w:rPr>
          <w:i/>
          <w:szCs w:val="22"/>
        </w:rPr>
        <w:t>neobrevipes</w:t>
      </w:r>
      <w:proofErr w:type="spellEnd"/>
      <w:r w:rsidRPr="004E0667">
        <w:rPr>
          <w:szCs w:val="22"/>
        </w:rPr>
        <w:t xml:space="preserve"> </w:t>
      </w:r>
      <w:r w:rsidR="00F519B3" w:rsidRPr="004E0667">
        <w:rPr>
          <w:szCs w:val="22"/>
        </w:rPr>
        <w:t>(</w:t>
      </w:r>
      <w:proofErr w:type="spellStart"/>
      <w:r w:rsidRPr="004E0667">
        <w:rPr>
          <w:szCs w:val="22"/>
        </w:rPr>
        <w:t>Beardsley</w:t>
      </w:r>
      <w:proofErr w:type="spellEnd"/>
      <w:r w:rsidR="00F519B3" w:rsidRPr="004E0667">
        <w:rPr>
          <w:szCs w:val="22"/>
        </w:rPr>
        <w:t>)</w:t>
      </w:r>
      <w:r w:rsidRPr="004E0667">
        <w:rPr>
          <w:szCs w:val="22"/>
        </w:rPr>
        <w:t xml:space="preserve">, </w:t>
      </w:r>
      <w:proofErr w:type="spellStart"/>
      <w:r w:rsidRPr="004E0667">
        <w:rPr>
          <w:i/>
          <w:szCs w:val="22"/>
        </w:rPr>
        <w:t>Planococcus</w:t>
      </w:r>
      <w:proofErr w:type="spellEnd"/>
      <w:r w:rsidRPr="004E0667">
        <w:rPr>
          <w:szCs w:val="22"/>
        </w:rPr>
        <w:t xml:space="preserve"> </w:t>
      </w:r>
      <w:proofErr w:type="spellStart"/>
      <w:r w:rsidRPr="004E0667">
        <w:rPr>
          <w:i/>
          <w:szCs w:val="22"/>
        </w:rPr>
        <w:t>lilacinus</w:t>
      </w:r>
      <w:proofErr w:type="spellEnd"/>
      <w:r w:rsidRPr="004E0667">
        <w:rPr>
          <w:szCs w:val="22"/>
        </w:rPr>
        <w:t xml:space="preserve"> (</w:t>
      </w:r>
      <w:proofErr w:type="spellStart"/>
      <w:r w:rsidRPr="004E0667">
        <w:rPr>
          <w:szCs w:val="22"/>
        </w:rPr>
        <w:t>Cockerell</w:t>
      </w:r>
      <w:proofErr w:type="spellEnd"/>
      <w:r w:rsidRPr="004E0667">
        <w:rPr>
          <w:szCs w:val="22"/>
        </w:rPr>
        <w:t xml:space="preserve">) y </w:t>
      </w:r>
      <w:proofErr w:type="spellStart"/>
      <w:r w:rsidRPr="004E0667">
        <w:rPr>
          <w:i/>
          <w:szCs w:val="22"/>
        </w:rPr>
        <w:t>Planococcus</w:t>
      </w:r>
      <w:proofErr w:type="spellEnd"/>
      <w:r w:rsidRPr="004E0667">
        <w:rPr>
          <w:szCs w:val="22"/>
        </w:rPr>
        <w:t xml:space="preserve"> </w:t>
      </w:r>
      <w:proofErr w:type="spellStart"/>
      <w:r w:rsidRPr="004E0667">
        <w:rPr>
          <w:i/>
          <w:szCs w:val="22"/>
        </w:rPr>
        <w:t>min</w:t>
      </w:r>
      <w:r w:rsidRPr="004E0667">
        <w:rPr>
          <w:szCs w:val="22"/>
        </w:rPr>
        <w:t>or</w:t>
      </w:r>
      <w:proofErr w:type="spellEnd"/>
      <w:r w:rsidRPr="004E0667">
        <w:rPr>
          <w:szCs w:val="22"/>
        </w:rPr>
        <w:t xml:space="preserve"> (</w:t>
      </w:r>
      <w:proofErr w:type="spellStart"/>
      <w:r w:rsidRPr="004E0667">
        <w:rPr>
          <w:szCs w:val="22"/>
        </w:rPr>
        <w:t>Maskell</w:t>
      </w:r>
      <w:proofErr w:type="spellEnd"/>
      <w:r w:rsidRPr="004E0667">
        <w:rPr>
          <w:szCs w:val="22"/>
        </w:rPr>
        <w:t>) (</w:t>
      </w:r>
      <w:proofErr w:type="spellStart"/>
      <w:r w:rsidRPr="004E0667">
        <w:rPr>
          <w:szCs w:val="22"/>
        </w:rPr>
        <w:t>Hemiptera</w:t>
      </w:r>
      <w:proofErr w:type="spellEnd"/>
      <w:r w:rsidRPr="004E0667">
        <w:rPr>
          <w:szCs w:val="22"/>
        </w:rPr>
        <w:t xml:space="preserve">: </w:t>
      </w:r>
      <w:proofErr w:type="spellStart"/>
      <w:r w:rsidRPr="004E0667">
        <w:rPr>
          <w:szCs w:val="22"/>
        </w:rPr>
        <w:t>Pseudococcidae</w:t>
      </w:r>
      <w:proofErr w:type="spellEnd"/>
      <w:r w:rsidRPr="004E0667">
        <w:rPr>
          <w:szCs w:val="22"/>
        </w:rPr>
        <w:t>)</w:t>
      </w:r>
      <w:r w:rsidR="00A66FE1" w:rsidRPr="004E0667">
        <w:rPr>
          <w:szCs w:val="22"/>
        </w:rPr>
        <w:t>”</w:t>
      </w:r>
      <w:r w:rsidRPr="004E0667">
        <w:rPr>
          <w:szCs w:val="22"/>
        </w:rPr>
        <w:t xml:space="preserve"> (2012-011)</w:t>
      </w:r>
      <w:r w:rsidR="00F519B3" w:rsidRPr="004E0667">
        <w:rPr>
          <w:szCs w:val="22"/>
        </w:rPr>
        <w:t>.</w:t>
      </w:r>
      <w:r w:rsidRPr="004E0667">
        <w:rPr>
          <w:rStyle w:val="IPPNormalunderlined"/>
          <w:szCs w:val="22"/>
          <w:u w:val="none"/>
          <w:lang w:val="es-ES_tradnl"/>
        </w:rPr>
        <w:t xml:space="preserve"> </w:t>
      </w:r>
    </w:p>
    <w:p w:rsidR="009845FF" w:rsidRPr="004E0667" w:rsidRDefault="009845FF" w:rsidP="009845FF">
      <w:pPr>
        <w:pStyle w:val="IPPNormal"/>
        <w:rPr>
          <w:rStyle w:val="IPPNormalunderlined"/>
          <w:szCs w:val="22"/>
          <w:u w:val="none"/>
          <w:lang w:val="es-ES_tradnl"/>
        </w:rPr>
      </w:pPr>
      <w:r w:rsidRPr="004E0667">
        <w:rPr>
          <w:szCs w:val="22"/>
        </w:rPr>
        <w:t xml:space="preserve">Durante </w:t>
      </w:r>
      <w:r w:rsidR="00C10B2E" w:rsidRPr="004E0667">
        <w:rPr>
          <w:szCs w:val="22"/>
        </w:rPr>
        <w:t>su reunión</w:t>
      </w:r>
      <w:r w:rsidRPr="004E0667">
        <w:rPr>
          <w:szCs w:val="22"/>
        </w:rPr>
        <w:t xml:space="preserve"> de diciembre de </w:t>
      </w:r>
      <w:r w:rsidRPr="004E0667">
        <w:rPr>
          <w:rStyle w:val="IPPNormalunderlined"/>
          <w:szCs w:val="22"/>
          <w:u w:val="none"/>
          <w:lang w:val="es-ES_tradnl"/>
        </w:rPr>
        <w:t>2012</w:t>
      </w:r>
      <w:r w:rsidR="00C10B2E" w:rsidRPr="004E0667">
        <w:rPr>
          <w:rStyle w:val="FootnoteReference"/>
        </w:rPr>
        <w:footnoteReference w:id="1"/>
      </w:r>
      <w:r w:rsidR="00A66FE1" w:rsidRPr="004E0667">
        <w:rPr>
          <w:rStyle w:val="IPPNormalunderlined"/>
          <w:szCs w:val="22"/>
          <w:u w:val="none"/>
          <w:lang w:val="es-ES_tradnl"/>
        </w:rPr>
        <w:t>,</w:t>
      </w:r>
      <w:r w:rsidRPr="004E0667">
        <w:rPr>
          <w:rStyle w:val="IPPNormalunderlined"/>
          <w:szCs w:val="22"/>
          <w:u w:val="none"/>
          <w:lang w:val="es-ES_tradnl"/>
        </w:rPr>
        <w:t xml:space="preserve"> el Grupo técnico</w:t>
      </w:r>
      <w:r w:rsidRPr="004E0667">
        <w:t xml:space="preserve"> sobre tratamientos fitosanitarios (GTTF) realizó una evaluación exhaustiva </w:t>
      </w:r>
      <w:r w:rsidR="00A66FE1" w:rsidRPr="004E0667">
        <w:t>de la propuesta</w:t>
      </w:r>
      <w:r w:rsidRPr="004E0667">
        <w:t xml:space="preserve">, </w:t>
      </w:r>
      <w:r w:rsidR="00C10B2E" w:rsidRPr="004E0667">
        <w:t xml:space="preserve">y señaló </w:t>
      </w:r>
      <w:r w:rsidRPr="004E0667">
        <w:t>que se ha</w:t>
      </w:r>
      <w:r w:rsidR="00A66FE1" w:rsidRPr="004E0667">
        <w:t>bía</w:t>
      </w:r>
      <w:r w:rsidRPr="004E0667">
        <w:t>n adoptado 14 tratamientos de irradiación como anexos a la NIMF</w:t>
      </w:r>
      <w:r w:rsidR="00C10B2E" w:rsidRPr="004E0667">
        <w:t> </w:t>
      </w:r>
      <w:r w:rsidRPr="004E0667">
        <w:rPr>
          <w:rStyle w:val="IPPNormalunderlined"/>
          <w:szCs w:val="22"/>
          <w:u w:val="none"/>
          <w:lang w:val="es-ES_tradnl"/>
        </w:rPr>
        <w:t xml:space="preserve">28:2007. </w:t>
      </w:r>
    </w:p>
    <w:p w:rsidR="009845FF" w:rsidRPr="004E0667" w:rsidRDefault="009845FF" w:rsidP="009845FF">
      <w:pPr>
        <w:pStyle w:val="IPPArialTable"/>
        <w:jc w:val="both"/>
        <w:rPr>
          <w:rFonts w:ascii="Times New Roman" w:hAnsi="Times New Roman"/>
          <w:sz w:val="22"/>
          <w:szCs w:val="22"/>
        </w:rPr>
      </w:pPr>
      <w:r w:rsidRPr="004E0667">
        <w:rPr>
          <w:rStyle w:val="IPPNormalunderlined"/>
          <w:u w:val="none"/>
          <w:lang w:val="es-ES_tradnl"/>
        </w:rPr>
        <w:t xml:space="preserve">Este tratamiento consiste en una dosis absorbida mínima de </w:t>
      </w:r>
      <w:r w:rsidRPr="004E0667">
        <w:rPr>
          <w:rStyle w:val="IPPNormalunderlined"/>
          <w:szCs w:val="22"/>
          <w:u w:val="none"/>
          <w:lang w:val="es-ES_tradnl"/>
        </w:rPr>
        <w:t>231 Gy para evitar la reproducción de las hembras adultas de</w:t>
      </w:r>
      <w:r w:rsidRPr="004E0667">
        <w:t xml:space="preserve"> </w:t>
      </w:r>
      <w:proofErr w:type="spellStart"/>
      <w:r w:rsidRPr="004E0667">
        <w:rPr>
          <w:rStyle w:val="IPPNormalunderlined"/>
          <w:i/>
          <w:szCs w:val="22"/>
          <w:u w:val="none"/>
          <w:lang w:val="es-ES_tradnl"/>
        </w:rPr>
        <w:t>Dysmicoccus</w:t>
      </w:r>
      <w:proofErr w:type="spellEnd"/>
      <w:r w:rsidRPr="004E0667">
        <w:rPr>
          <w:rStyle w:val="IPPNormalunderlined"/>
          <w:i/>
          <w:szCs w:val="22"/>
          <w:u w:val="none"/>
          <w:lang w:val="es-ES_tradnl"/>
        </w:rPr>
        <w:t xml:space="preserve"> </w:t>
      </w:r>
      <w:proofErr w:type="spellStart"/>
      <w:r w:rsidRPr="004E0667">
        <w:rPr>
          <w:rStyle w:val="IPPNormalunderlined"/>
          <w:i/>
          <w:szCs w:val="22"/>
          <w:u w:val="none"/>
          <w:lang w:val="es-ES_tradnl"/>
        </w:rPr>
        <w:t>neobrevipes</w:t>
      </w:r>
      <w:proofErr w:type="spellEnd"/>
      <w:r w:rsidRPr="004E0667">
        <w:t xml:space="preserve"> </w:t>
      </w:r>
      <w:r w:rsidR="00C10B2E" w:rsidRPr="004E0667">
        <w:t>(</w:t>
      </w:r>
      <w:proofErr w:type="spellStart"/>
      <w:r w:rsidRPr="004E0667">
        <w:rPr>
          <w:rStyle w:val="IPPNormalunderlined"/>
          <w:szCs w:val="22"/>
          <w:u w:val="none"/>
          <w:lang w:val="es-ES_tradnl"/>
        </w:rPr>
        <w:t>Beardsley</w:t>
      </w:r>
      <w:proofErr w:type="spellEnd"/>
      <w:r w:rsidR="00C10B2E" w:rsidRPr="004E0667">
        <w:rPr>
          <w:rStyle w:val="IPPNormalunderlined"/>
          <w:szCs w:val="22"/>
          <w:u w:val="none"/>
          <w:lang w:val="es-ES_tradnl"/>
        </w:rPr>
        <w:t>)</w:t>
      </w:r>
      <w:r w:rsidRPr="004E0667">
        <w:t xml:space="preserve">, </w:t>
      </w:r>
      <w:proofErr w:type="spellStart"/>
      <w:r w:rsidRPr="004E0667">
        <w:rPr>
          <w:rStyle w:val="IPPNormalunderlined"/>
          <w:i/>
          <w:szCs w:val="22"/>
          <w:u w:val="none"/>
          <w:lang w:val="es-ES_tradnl"/>
        </w:rPr>
        <w:t>Planococcus</w:t>
      </w:r>
      <w:proofErr w:type="spellEnd"/>
      <w:r w:rsidRPr="004E0667">
        <w:t xml:space="preserve"> </w:t>
      </w:r>
      <w:proofErr w:type="spellStart"/>
      <w:r w:rsidRPr="004E0667">
        <w:rPr>
          <w:rStyle w:val="IPPNormalunderlined"/>
          <w:i/>
          <w:szCs w:val="22"/>
          <w:u w:val="none"/>
          <w:lang w:val="es-ES_tradnl"/>
        </w:rPr>
        <w:t>lilacinaus</w:t>
      </w:r>
      <w:proofErr w:type="spellEnd"/>
      <w:r w:rsidRPr="004E0667">
        <w:t xml:space="preserve"> </w:t>
      </w:r>
      <w:r w:rsidRPr="004E0667">
        <w:rPr>
          <w:rStyle w:val="IPPNormalunderlined"/>
          <w:szCs w:val="22"/>
          <w:u w:val="none"/>
          <w:lang w:val="es-ES_tradnl"/>
        </w:rPr>
        <w:t>(</w:t>
      </w:r>
      <w:proofErr w:type="spellStart"/>
      <w:r w:rsidRPr="004E0667">
        <w:rPr>
          <w:rStyle w:val="IPPNormalunderlined"/>
          <w:szCs w:val="22"/>
          <w:u w:val="none"/>
          <w:lang w:val="es-ES_tradnl"/>
        </w:rPr>
        <w:t>Cockerell</w:t>
      </w:r>
      <w:proofErr w:type="spellEnd"/>
      <w:r w:rsidRPr="004E0667">
        <w:rPr>
          <w:rStyle w:val="IPPNormalunderlined"/>
          <w:szCs w:val="22"/>
          <w:u w:val="none"/>
          <w:lang w:val="es-ES_tradnl"/>
        </w:rPr>
        <w:t>)</w:t>
      </w:r>
      <w:r w:rsidRPr="004E0667">
        <w:t xml:space="preserve"> y </w:t>
      </w:r>
      <w:proofErr w:type="spellStart"/>
      <w:r w:rsidRPr="004E0667">
        <w:rPr>
          <w:rStyle w:val="IPPNormalunderlined"/>
          <w:i/>
          <w:szCs w:val="22"/>
          <w:u w:val="none"/>
          <w:lang w:val="es-ES_tradnl"/>
        </w:rPr>
        <w:t>Planococcus</w:t>
      </w:r>
      <w:proofErr w:type="spellEnd"/>
      <w:r w:rsidRPr="004E0667">
        <w:rPr>
          <w:rStyle w:val="IPPNormalunderlined"/>
          <w:i/>
          <w:szCs w:val="22"/>
          <w:u w:val="none"/>
          <w:lang w:val="es-ES_tradnl"/>
        </w:rPr>
        <w:t xml:space="preserve"> </w:t>
      </w:r>
      <w:proofErr w:type="spellStart"/>
      <w:r w:rsidRPr="004E0667">
        <w:rPr>
          <w:rStyle w:val="IPPNormalunderlined"/>
          <w:i/>
          <w:szCs w:val="22"/>
          <w:u w:val="none"/>
          <w:lang w:val="es-ES_tradnl"/>
        </w:rPr>
        <w:t>minor</w:t>
      </w:r>
      <w:proofErr w:type="spellEnd"/>
      <w:r w:rsidRPr="004E0667">
        <w:rPr>
          <w:rStyle w:val="IPPNormalunderlined"/>
          <w:i/>
          <w:szCs w:val="22"/>
          <w:u w:val="none"/>
          <w:lang w:val="es-ES_tradnl"/>
        </w:rPr>
        <w:t xml:space="preserve"> </w:t>
      </w:r>
      <w:r w:rsidRPr="004E0667">
        <w:rPr>
          <w:rStyle w:val="IPPNormalunderlined"/>
          <w:szCs w:val="22"/>
          <w:u w:val="none"/>
          <w:lang w:val="es-ES_tradnl"/>
        </w:rPr>
        <w:t>(</w:t>
      </w:r>
      <w:proofErr w:type="spellStart"/>
      <w:r w:rsidRPr="004E0667">
        <w:rPr>
          <w:rStyle w:val="IPPNormalunderlined"/>
          <w:szCs w:val="22"/>
          <w:u w:val="none"/>
          <w:lang w:val="es-ES_tradnl"/>
        </w:rPr>
        <w:t>Maskell</w:t>
      </w:r>
      <w:proofErr w:type="spellEnd"/>
      <w:r w:rsidRPr="004E0667">
        <w:rPr>
          <w:rStyle w:val="IPPNormalunderlined"/>
          <w:szCs w:val="22"/>
          <w:u w:val="none"/>
          <w:lang w:val="es-ES_tradnl"/>
        </w:rPr>
        <w:t xml:space="preserve">) en todas las frutas y hortalizas que son hospedantes de las tres especies de cochinillas indicadas. </w:t>
      </w:r>
      <w:r w:rsidRPr="004E0667">
        <w:rPr>
          <w:rFonts w:ascii="Times New Roman" w:hAnsi="Times New Roman"/>
          <w:sz w:val="22"/>
          <w:szCs w:val="22"/>
        </w:rPr>
        <w:t xml:space="preserve">El </w:t>
      </w:r>
      <w:r w:rsidR="001C69D2" w:rsidRPr="004E0667">
        <w:rPr>
          <w:rFonts w:ascii="Times New Roman" w:hAnsi="Times New Roman"/>
          <w:sz w:val="22"/>
          <w:szCs w:val="22"/>
        </w:rPr>
        <w:t>G</w:t>
      </w:r>
      <w:r w:rsidRPr="004E0667">
        <w:rPr>
          <w:rFonts w:ascii="Times New Roman" w:hAnsi="Times New Roman"/>
          <w:sz w:val="22"/>
          <w:szCs w:val="22"/>
        </w:rPr>
        <w:t xml:space="preserve">rupo técnico concluyó que la propuesta </w:t>
      </w:r>
      <w:r w:rsidR="009B0599" w:rsidRPr="004E0667">
        <w:rPr>
          <w:rFonts w:ascii="Times New Roman" w:hAnsi="Times New Roman"/>
          <w:sz w:val="22"/>
          <w:szCs w:val="22"/>
        </w:rPr>
        <w:t xml:space="preserve">es </w:t>
      </w:r>
      <w:r w:rsidRPr="004E0667">
        <w:rPr>
          <w:rFonts w:ascii="Times New Roman" w:hAnsi="Times New Roman"/>
          <w:sz w:val="22"/>
          <w:szCs w:val="22"/>
        </w:rPr>
        <w:t xml:space="preserve">técnicamente </w:t>
      </w:r>
      <w:r w:rsidR="009B0599" w:rsidRPr="004E0667">
        <w:rPr>
          <w:rFonts w:ascii="Times New Roman" w:hAnsi="Times New Roman"/>
          <w:sz w:val="22"/>
          <w:szCs w:val="22"/>
        </w:rPr>
        <w:t xml:space="preserve">correcta </w:t>
      </w:r>
      <w:r w:rsidRPr="004E0667">
        <w:rPr>
          <w:rFonts w:ascii="Times New Roman" w:hAnsi="Times New Roman"/>
          <w:sz w:val="22"/>
          <w:szCs w:val="22"/>
        </w:rPr>
        <w:t xml:space="preserve">y </w:t>
      </w:r>
      <w:r w:rsidR="009B0599" w:rsidRPr="004E0667">
        <w:rPr>
          <w:rFonts w:ascii="Times New Roman" w:hAnsi="Times New Roman"/>
          <w:sz w:val="22"/>
          <w:szCs w:val="22"/>
        </w:rPr>
        <w:t xml:space="preserve">está suficientemente </w:t>
      </w:r>
      <w:r w:rsidRPr="004E0667">
        <w:rPr>
          <w:rFonts w:ascii="Times New Roman" w:hAnsi="Times New Roman"/>
          <w:sz w:val="22"/>
          <w:szCs w:val="22"/>
        </w:rPr>
        <w:t xml:space="preserve">respaldada por los datos aportados. La propuesta </w:t>
      </w:r>
      <w:r w:rsidR="009B0599" w:rsidRPr="004E0667">
        <w:rPr>
          <w:rFonts w:ascii="Times New Roman" w:hAnsi="Times New Roman"/>
          <w:sz w:val="22"/>
          <w:szCs w:val="22"/>
        </w:rPr>
        <w:t xml:space="preserve">consiste </w:t>
      </w:r>
      <w:r w:rsidRPr="004E0667">
        <w:rPr>
          <w:rFonts w:ascii="Times New Roman" w:hAnsi="Times New Roman"/>
          <w:sz w:val="22"/>
          <w:szCs w:val="22"/>
        </w:rPr>
        <w:t xml:space="preserve">en </w:t>
      </w:r>
      <w:r w:rsidR="009B0599" w:rsidRPr="004E0667">
        <w:rPr>
          <w:rFonts w:ascii="Times New Roman" w:hAnsi="Times New Roman"/>
          <w:sz w:val="22"/>
          <w:szCs w:val="22"/>
        </w:rPr>
        <w:t xml:space="preserve">la administración </w:t>
      </w:r>
      <w:r w:rsidR="001C69D2" w:rsidRPr="004E0667">
        <w:rPr>
          <w:rFonts w:ascii="Times New Roman" w:hAnsi="Times New Roman"/>
          <w:sz w:val="22"/>
          <w:szCs w:val="22"/>
        </w:rPr>
        <w:t xml:space="preserve">de </w:t>
      </w:r>
      <w:r w:rsidRPr="004E0667">
        <w:rPr>
          <w:rFonts w:ascii="Times New Roman" w:hAnsi="Times New Roman"/>
          <w:sz w:val="22"/>
          <w:szCs w:val="22"/>
        </w:rPr>
        <w:t xml:space="preserve">una dosis de 231 Gy para evitar la reproducción de las hembras adultas de </w:t>
      </w:r>
      <w:proofErr w:type="spellStart"/>
      <w:r w:rsidRPr="004E0667">
        <w:rPr>
          <w:rFonts w:ascii="Times New Roman" w:hAnsi="Times New Roman"/>
          <w:i/>
          <w:sz w:val="22"/>
          <w:szCs w:val="22"/>
        </w:rPr>
        <w:t>Dysmicoccus</w:t>
      </w:r>
      <w:proofErr w:type="spellEnd"/>
      <w:r w:rsidRPr="004E066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E0667">
        <w:rPr>
          <w:rFonts w:ascii="Times New Roman" w:hAnsi="Times New Roman"/>
          <w:i/>
          <w:sz w:val="22"/>
          <w:szCs w:val="22"/>
        </w:rPr>
        <w:t>neobrevipes</w:t>
      </w:r>
      <w:proofErr w:type="spellEnd"/>
      <w:r w:rsidRPr="004E0667">
        <w:rPr>
          <w:rFonts w:ascii="Times New Roman" w:hAnsi="Times New Roman"/>
          <w:sz w:val="22"/>
          <w:szCs w:val="22"/>
        </w:rPr>
        <w:t xml:space="preserve"> </w:t>
      </w:r>
      <w:r w:rsidR="009B0599" w:rsidRPr="004E0667">
        <w:rPr>
          <w:rFonts w:ascii="Times New Roman" w:hAnsi="Times New Roman"/>
          <w:sz w:val="22"/>
          <w:szCs w:val="22"/>
        </w:rPr>
        <w:t>(</w:t>
      </w:r>
      <w:proofErr w:type="spellStart"/>
      <w:r w:rsidRPr="004E0667">
        <w:rPr>
          <w:rFonts w:ascii="Times New Roman" w:hAnsi="Times New Roman"/>
          <w:sz w:val="22"/>
          <w:szCs w:val="22"/>
        </w:rPr>
        <w:t>Beardsley</w:t>
      </w:r>
      <w:proofErr w:type="spellEnd"/>
      <w:r w:rsidR="009B0599" w:rsidRPr="004E0667">
        <w:rPr>
          <w:rFonts w:ascii="Times New Roman" w:hAnsi="Times New Roman"/>
          <w:sz w:val="22"/>
          <w:szCs w:val="22"/>
        </w:rPr>
        <w:t>)</w:t>
      </w:r>
      <w:r w:rsidR="00F02883" w:rsidRPr="004E0667">
        <w:rPr>
          <w:rFonts w:ascii="Times New Roman" w:hAnsi="Times New Roman"/>
          <w:sz w:val="22"/>
          <w:szCs w:val="22"/>
        </w:rPr>
        <w:t>,</w:t>
      </w:r>
      <w:r w:rsidRPr="004E0667">
        <w:rPr>
          <w:rFonts w:ascii="Times New Roman" w:hAnsi="Times New Roman"/>
          <w:sz w:val="22"/>
          <w:szCs w:val="22"/>
        </w:rPr>
        <w:t xml:space="preserve"> con una DE</w:t>
      </w:r>
      <w:r w:rsidRPr="004E0667">
        <w:rPr>
          <w:rFonts w:ascii="Times New Roman" w:hAnsi="Times New Roman"/>
          <w:sz w:val="22"/>
          <w:szCs w:val="22"/>
          <w:vertAlign w:val="subscript"/>
        </w:rPr>
        <w:t>99</w:t>
      </w:r>
      <w:proofErr w:type="gramStart"/>
      <w:r w:rsidRPr="004E0667">
        <w:rPr>
          <w:rFonts w:ascii="Times New Roman" w:hAnsi="Times New Roman"/>
          <w:sz w:val="22"/>
          <w:szCs w:val="22"/>
          <w:vertAlign w:val="subscript"/>
        </w:rPr>
        <w:t>,9903</w:t>
      </w:r>
      <w:proofErr w:type="gramEnd"/>
      <w:r w:rsidRPr="004E0667">
        <w:rPr>
          <w:rFonts w:ascii="Times New Roman" w:hAnsi="Times New Roman"/>
          <w:sz w:val="22"/>
          <w:szCs w:val="22"/>
        </w:rPr>
        <w:t xml:space="preserve"> a un nivel de confianza del 95</w:t>
      </w:r>
      <w:r w:rsidR="004E0667">
        <w:rPr>
          <w:rFonts w:ascii="Times New Roman" w:hAnsi="Times New Roman"/>
          <w:sz w:val="22"/>
          <w:szCs w:val="22"/>
        </w:rPr>
        <w:t> </w:t>
      </w:r>
      <w:r w:rsidRPr="004E0667">
        <w:rPr>
          <w:rFonts w:ascii="Times New Roman" w:hAnsi="Times New Roman"/>
          <w:sz w:val="22"/>
          <w:szCs w:val="22"/>
        </w:rPr>
        <w:t xml:space="preserve">%. Los datos aportados </w:t>
      </w:r>
      <w:r w:rsidR="00F02883" w:rsidRPr="004E0667">
        <w:rPr>
          <w:rFonts w:ascii="Times New Roman" w:hAnsi="Times New Roman"/>
          <w:sz w:val="22"/>
          <w:szCs w:val="22"/>
        </w:rPr>
        <w:t xml:space="preserve">acreditan </w:t>
      </w:r>
      <w:r w:rsidRPr="004E0667">
        <w:rPr>
          <w:rFonts w:ascii="Times New Roman" w:hAnsi="Times New Roman"/>
          <w:sz w:val="22"/>
          <w:szCs w:val="22"/>
        </w:rPr>
        <w:t xml:space="preserve">también la afirmación de que las otras dos especies no son más difíciles de controlar, por lo que esta dosis podrá </w:t>
      </w:r>
      <w:r w:rsidR="00F02883" w:rsidRPr="004E0667">
        <w:rPr>
          <w:rFonts w:ascii="Times New Roman" w:hAnsi="Times New Roman"/>
          <w:sz w:val="22"/>
          <w:szCs w:val="22"/>
        </w:rPr>
        <w:t xml:space="preserve">aceptarse </w:t>
      </w:r>
      <w:r w:rsidRPr="004E0667">
        <w:rPr>
          <w:rFonts w:ascii="Times New Roman" w:hAnsi="Times New Roman"/>
          <w:sz w:val="22"/>
          <w:szCs w:val="22"/>
        </w:rPr>
        <w:t xml:space="preserve">para las tres especies. </w:t>
      </w:r>
    </w:p>
    <w:p w:rsidR="009845FF" w:rsidRPr="004E0667" w:rsidRDefault="009845FF" w:rsidP="009845FF">
      <w:pPr>
        <w:pStyle w:val="IPPNormal"/>
        <w:rPr>
          <w:szCs w:val="22"/>
        </w:rPr>
      </w:pPr>
      <w:r w:rsidRPr="004E0667">
        <w:rPr>
          <w:szCs w:val="22"/>
        </w:rPr>
        <w:t>En abril de 2013, el Comité de Normas (CN) aprobó</w:t>
      </w:r>
      <w:r w:rsidR="00F02883" w:rsidRPr="004E0667">
        <w:rPr>
          <w:szCs w:val="22"/>
        </w:rPr>
        <w:t>,</w:t>
      </w:r>
      <w:r w:rsidRPr="004E0667">
        <w:rPr>
          <w:szCs w:val="22"/>
        </w:rPr>
        <w:t xml:space="preserve"> </w:t>
      </w:r>
      <w:r w:rsidR="00F02883" w:rsidRPr="004E0667">
        <w:rPr>
          <w:szCs w:val="22"/>
        </w:rPr>
        <w:t xml:space="preserve">mediante una decisión </w:t>
      </w:r>
      <w:r w:rsidR="00F02883" w:rsidRPr="004E0667">
        <w:rPr>
          <w:iCs/>
          <w:szCs w:val="22"/>
        </w:rPr>
        <w:t>por vía electrónica</w:t>
      </w:r>
      <w:r w:rsidR="00F02883" w:rsidRPr="004E0667">
        <w:rPr>
          <w:szCs w:val="22"/>
        </w:rPr>
        <w:t>,</w:t>
      </w:r>
      <w:r w:rsidRPr="004E0667">
        <w:rPr>
          <w:szCs w:val="22"/>
        </w:rPr>
        <w:t xml:space="preserve"> este tratamiento para </w:t>
      </w:r>
      <w:r w:rsidR="001C69D2" w:rsidRPr="004E0667">
        <w:rPr>
          <w:szCs w:val="22"/>
        </w:rPr>
        <w:t xml:space="preserve">someterlo a </w:t>
      </w:r>
      <w:r w:rsidRPr="004E0667">
        <w:rPr>
          <w:szCs w:val="22"/>
        </w:rPr>
        <w:t xml:space="preserve">consulta </w:t>
      </w:r>
      <w:r w:rsidR="00FE331D" w:rsidRPr="004E0667">
        <w:rPr>
          <w:szCs w:val="22"/>
        </w:rPr>
        <w:t xml:space="preserve">con </w:t>
      </w:r>
      <w:r w:rsidRPr="004E0667">
        <w:rPr>
          <w:szCs w:val="22"/>
        </w:rPr>
        <w:t>los miembros</w:t>
      </w:r>
      <w:r w:rsidRPr="004E0667">
        <w:rPr>
          <w:rStyle w:val="FootnoteReference"/>
        </w:rPr>
        <w:footnoteReference w:id="2"/>
      </w:r>
      <w:r w:rsidR="001C69D2" w:rsidRPr="004E0667">
        <w:rPr>
          <w:szCs w:val="22"/>
        </w:rPr>
        <w:t>.</w:t>
      </w:r>
      <w:r w:rsidRPr="004E0667" w:rsidDel="000849E9">
        <w:rPr>
          <w:szCs w:val="22"/>
        </w:rPr>
        <w:t xml:space="preserve"> </w:t>
      </w:r>
    </w:p>
    <w:p w:rsidR="009845FF" w:rsidRPr="004E0667" w:rsidRDefault="009845FF" w:rsidP="009845FF">
      <w:pPr>
        <w:pStyle w:val="IPPNormal"/>
      </w:pPr>
      <w:r w:rsidRPr="004E0667">
        <w:t>La duración de la consulta de los miembros de 2013 para los proyectos de NIMF es de 150 días (del 1</w:t>
      </w:r>
      <w:r w:rsidR="006F6E94" w:rsidRPr="004E0667">
        <w:t>.º</w:t>
      </w:r>
      <w:r w:rsidR="000C6B8D">
        <w:t> </w:t>
      </w:r>
      <w:r w:rsidRPr="004E0667">
        <w:t>de julio de 2013 al 1</w:t>
      </w:r>
      <w:r w:rsidR="006F6E94" w:rsidRPr="004E0667">
        <w:t>.º</w:t>
      </w:r>
      <w:r w:rsidRPr="004E0667">
        <w:t xml:space="preserve"> de diciembre de 2013). Se invita a los miembros de la CIPF</w:t>
      </w:r>
      <w:r w:rsidRPr="004E0667">
        <w:rPr>
          <w:rStyle w:val="FootnoteReference"/>
        </w:rPr>
        <w:footnoteReference w:id="3"/>
      </w:r>
      <w:r w:rsidRPr="004E0667">
        <w:t xml:space="preserve"> a </w:t>
      </w:r>
      <w:r w:rsidR="00CE7DB2" w:rsidRPr="004E0667">
        <w:t xml:space="preserve">que examinen </w:t>
      </w:r>
      <w:r w:rsidRPr="004E0667">
        <w:t xml:space="preserve">este proyecto de Anexo a la NIMF 28:2007 y a </w:t>
      </w:r>
      <w:r w:rsidR="00CE7DB2" w:rsidRPr="004E0667">
        <w:t xml:space="preserve">que presenten </w:t>
      </w:r>
      <w:r w:rsidRPr="004E0667">
        <w:t xml:space="preserve">sus observaciones </w:t>
      </w:r>
      <w:r w:rsidR="00CE7DB2" w:rsidRPr="004E0667">
        <w:t xml:space="preserve">por conducto de su </w:t>
      </w:r>
      <w:r w:rsidRPr="004E0667">
        <w:t>punto de contacto de la CIPF, empleando el sistema de comentarios en línea (SCL)</w:t>
      </w:r>
      <w:r w:rsidRPr="004E0667">
        <w:rPr>
          <w:rStyle w:val="FootnoteReference"/>
        </w:rPr>
        <w:footnoteReference w:id="4"/>
      </w:r>
      <w:r w:rsidRPr="004E0667">
        <w:t xml:space="preserve"> de la CIPF. Para obtener ayuda con el uso de dicho sis</w:t>
      </w:r>
      <w:r w:rsidR="00C55CC7" w:rsidRPr="004E0667">
        <w:t>tema, sírvase mandar un correo electrónico</w:t>
      </w:r>
      <w:r w:rsidRPr="004E0667">
        <w:t xml:space="preserve"> al equipo responsable del mismo </w:t>
      </w:r>
      <w:r w:rsidR="009E5DC9" w:rsidRPr="004E0667">
        <w:t>a</w:t>
      </w:r>
      <w:r w:rsidRPr="004E0667">
        <w:t xml:space="preserve"> la dirección </w:t>
      </w:r>
      <w:hyperlink r:id="rId8" w:history="1">
        <w:r w:rsidRPr="004E0667">
          <w:rPr>
            <w:rStyle w:val="Hyperlink"/>
          </w:rPr>
          <w:t>IPPC-OCS@fao.org</w:t>
        </w:r>
      </w:hyperlink>
      <w:r w:rsidRPr="004E0667">
        <w:t xml:space="preserve">. </w:t>
      </w:r>
    </w:p>
    <w:p w:rsidR="009845FF" w:rsidRPr="004E0667" w:rsidRDefault="009845FF" w:rsidP="009845FF">
      <w:pPr>
        <w:pStyle w:val="IPPNormalCloseSpace"/>
        <w:keepNext w:val="0"/>
        <w:rPr>
          <w:szCs w:val="22"/>
        </w:rPr>
      </w:pPr>
      <w:r w:rsidRPr="004E0667">
        <w:rPr>
          <w:b/>
          <w:szCs w:val="22"/>
        </w:rPr>
        <w:t>Nota:</w:t>
      </w:r>
      <w:r w:rsidRPr="004E0667">
        <w:rPr>
          <w:szCs w:val="22"/>
        </w:rPr>
        <w:t xml:space="preserve"> </w:t>
      </w:r>
      <w:r w:rsidR="00CE7DB2" w:rsidRPr="004E0667">
        <w:rPr>
          <w:szCs w:val="22"/>
        </w:rPr>
        <w:t xml:space="preserve">En su reunión de </w:t>
      </w:r>
      <w:r w:rsidRPr="004E0667">
        <w:rPr>
          <w:szCs w:val="22"/>
        </w:rPr>
        <w:t>abril de 2012</w:t>
      </w:r>
      <w:r w:rsidR="00CE7DB2" w:rsidRPr="004E0667">
        <w:rPr>
          <w:szCs w:val="22"/>
        </w:rPr>
        <w:t>,</w:t>
      </w:r>
      <w:r w:rsidRPr="004E0667">
        <w:rPr>
          <w:szCs w:val="22"/>
        </w:rPr>
        <w:t xml:space="preserve"> </w:t>
      </w:r>
      <w:r w:rsidR="00CE7DB2" w:rsidRPr="004E0667">
        <w:rPr>
          <w:szCs w:val="22"/>
        </w:rPr>
        <w:t xml:space="preserve">el CN señaló </w:t>
      </w:r>
      <w:r w:rsidRPr="004E0667">
        <w:rPr>
          <w:szCs w:val="22"/>
        </w:rPr>
        <w:t>que el GTTF ha</w:t>
      </w:r>
      <w:r w:rsidR="009E5DC9" w:rsidRPr="004E0667">
        <w:rPr>
          <w:szCs w:val="22"/>
        </w:rPr>
        <w:t>bía</w:t>
      </w:r>
      <w:r w:rsidRPr="004E0667">
        <w:rPr>
          <w:szCs w:val="22"/>
        </w:rPr>
        <w:t xml:space="preserve"> </w:t>
      </w:r>
      <w:r w:rsidR="00CE7DB2" w:rsidRPr="004E0667">
        <w:rPr>
          <w:szCs w:val="22"/>
        </w:rPr>
        <w:t xml:space="preserve">examinado </w:t>
      </w:r>
      <w:r w:rsidRPr="004E0667">
        <w:rPr>
          <w:szCs w:val="22"/>
        </w:rPr>
        <w:t>la nota al pie del proyecto de Anexo a la NIMF </w:t>
      </w:r>
      <w:r w:rsidRPr="004E0667">
        <w:t>28:2007</w:t>
      </w:r>
      <w:r w:rsidRPr="004E0667">
        <w:rPr>
          <w:szCs w:val="22"/>
        </w:rPr>
        <w:t xml:space="preserve"> para evitar </w:t>
      </w:r>
      <w:r w:rsidR="00CE7DB2" w:rsidRPr="004E0667">
        <w:rPr>
          <w:szCs w:val="22"/>
        </w:rPr>
        <w:t xml:space="preserve">la </w:t>
      </w:r>
      <w:r w:rsidRPr="004E0667">
        <w:rPr>
          <w:szCs w:val="22"/>
        </w:rPr>
        <w:t xml:space="preserve">confusión entre la aprobación por una Parte Contratante y </w:t>
      </w:r>
      <w:r w:rsidR="00CE7DB2" w:rsidRPr="004E0667">
        <w:rPr>
          <w:szCs w:val="22"/>
        </w:rPr>
        <w:t xml:space="preserve">por </w:t>
      </w:r>
      <w:r w:rsidRPr="004E0667">
        <w:rPr>
          <w:szCs w:val="22"/>
        </w:rPr>
        <w:t>la Comisión de Medidas Fitosanitarias (véase el informe de la reunión virtual del GTTF de agosto de 2011</w:t>
      </w:r>
      <w:r w:rsidRPr="004E0667">
        <w:rPr>
          <w:rStyle w:val="FootnoteReference"/>
        </w:rPr>
        <w:footnoteReference w:id="5"/>
      </w:r>
      <w:r w:rsidRPr="004E0667">
        <w:rPr>
          <w:szCs w:val="22"/>
        </w:rPr>
        <w:t>).</w:t>
      </w:r>
    </w:p>
    <w:p w:rsidR="009845FF" w:rsidRPr="004E0667" w:rsidRDefault="009845FF" w:rsidP="009845FF">
      <w:pPr>
        <w:pStyle w:val="IPPNormal"/>
      </w:pPr>
    </w:p>
    <w:p w:rsidR="00621AB2" w:rsidRPr="004E0667" w:rsidRDefault="00621AB2" w:rsidP="009845FF"/>
    <w:sectPr w:rsidR="00621AB2" w:rsidRPr="004E0667" w:rsidSect="00E04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20" w:rsidRDefault="00D62D20">
      <w:r>
        <w:separator/>
      </w:r>
    </w:p>
  </w:endnote>
  <w:endnote w:type="continuationSeparator" w:id="0">
    <w:p w:rsidR="00D62D20" w:rsidRDefault="00D6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FF" w:rsidRPr="00C55CC7" w:rsidRDefault="009845FF" w:rsidP="009845FF">
    <w:pPr>
      <w:pStyle w:val="IPPFooter"/>
      <w:rPr>
        <w:bCs/>
        <w:lang w:val="es-ES"/>
      </w:rPr>
    </w:pPr>
    <w:r w:rsidRPr="00B047B1">
      <w:rPr>
        <w:bCs/>
        <w:lang w:val="es-ES_tradnl"/>
      </w:rPr>
      <w:t xml:space="preserve">Página </w:t>
    </w:r>
    <w:r w:rsidRPr="00B047B1">
      <w:rPr>
        <w:rStyle w:val="PageNumber"/>
        <w:b/>
        <w:bCs/>
        <w:lang w:val="es-ES_tradnl"/>
      </w:rPr>
      <w:fldChar w:fldCharType="begin"/>
    </w:r>
    <w:r w:rsidRPr="00B047B1">
      <w:rPr>
        <w:rStyle w:val="PageNumber"/>
        <w:b/>
        <w:bCs/>
        <w:lang w:val="es-ES_tradnl"/>
      </w:rPr>
      <w:instrText xml:space="preserve"> PAGE </w:instrText>
    </w:r>
    <w:r w:rsidRPr="00B047B1">
      <w:rPr>
        <w:rStyle w:val="PageNumber"/>
        <w:b/>
        <w:bCs/>
        <w:lang w:val="es-ES_tradnl"/>
      </w:rPr>
      <w:fldChar w:fldCharType="separate"/>
    </w:r>
    <w:r w:rsidR="00FC0D79">
      <w:rPr>
        <w:rStyle w:val="PageNumber"/>
        <w:b/>
        <w:bCs/>
        <w:noProof/>
        <w:lang w:val="es-ES_tradnl"/>
      </w:rPr>
      <w:t>2</w:t>
    </w:r>
    <w:r w:rsidRPr="00B047B1">
      <w:rPr>
        <w:rStyle w:val="PageNumber"/>
        <w:b/>
        <w:bCs/>
        <w:lang w:val="es-ES_tradnl"/>
      </w:rPr>
      <w:fldChar w:fldCharType="end"/>
    </w:r>
    <w:r w:rsidRPr="00B047B1">
      <w:rPr>
        <w:lang w:val="es-ES_tradnl"/>
      </w:rPr>
      <w:t xml:space="preserve"> de </w:t>
    </w:r>
    <w:r w:rsidRPr="00B047B1">
      <w:rPr>
        <w:rStyle w:val="PageNumber"/>
        <w:b/>
        <w:bCs/>
        <w:lang w:val="es-ES_tradnl"/>
      </w:rPr>
      <w:fldChar w:fldCharType="begin"/>
    </w:r>
    <w:r w:rsidRPr="00B047B1">
      <w:rPr>
        <w:rStyle w:val="PageNumber"/>
        <w:b/>
        <w:bCs/>
        <w:lang w:val="es-ES_tradnl"/>
      </w:rPr>
      <w:instrText xml:space="preserve"> NUMPAGES </w:instrText>
    </w:r>
    <w:r w:rsidRPr="00B047B1">
      <w:rPr>
        <w:rStyle w:val="PageNumber"/>
        <w:b/>
        <w:bCs/>
        <w:lang w:val="es-ES_tradnl"/>
      </w:rPr>
      <w:fldChar w:fldCharType="separate"/>
    </w:r>
    <w:r w:rsidR="00EB18A7">
      <w:rPr>
        <w:rStyle w:val="PageNumber"/>
        <w:b/>
        <w:bCs/>
        <w:noProof/>
        <w:lang w:val="es-ES_tradnl"/>
      </w:rPr>
      <w:t>1</w:t>
    </w:r>
    <w:r w:rsidRPr="00B047B1">
      <w:rPr>
        <w:rStyle w:val="PageNumber"/>
        <w:b/>
        <w:bCs/>
        <w:lang w:val="es-ES_tradnl"/>
      </w:rPr>
      <w:fldChar w:fldCharType="end"/>
    </w:r>
    <w:r w:rsidRPr="00C55CC7">
      <w:rPr>
        <w:rStyle w:val="PageNumber"/>
        <w:b/>
        <w:bCs/>
        <w:lang w:val="es-ES"/>
      </w:rPr>
      <w:tab/>
    </w:r>
    <w:r w:rsidRPr="00B047B1">
      <w:rPr>
        <w:lang w:val="es-ES_tradnl"/>
      </w:rPr>
      <w:t>Convención Internacional de Protección Fitosanitaria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D5" w:rsidRPr="007B5212" w:rsidRDefault="004337D5" w:rsidP="00653DF2">
    <w:pPr>
      <w:pStyle w:val="IPPFooter"/>
    </w:pPr>
    <w:r>
      <w:t>International Plant Protection Convention</w:t>
    </w:r>
    <w:r w:rsidRPr="007B5212">
      <w:tab/>
    </w:r>
    <w:r w:rsidRPr="007B5212">
      <w:rPr>
        <w:rStyle w:val="PageNumber"/>
        <w:b/>
        <w:bCs/>
      </w:rPr>
      <w:t xml:space="preserve">Page </w:t>
    </w:r>
    <w:r w:rsidRPr="007B5212">
      <w:rPr>
        <w:rStyle w:val="PageNumber"/>
        <w:b/>
        <w:bCs/>
      </w:rPr>
      <w:fldChar w:fldCharType="begin"/>
    </w:r>
    <w:r w:rsidRPr="007B5212">
      <w:rPr>
        <w:rStyle w:val="PageNumber"/>
        <w:b/>
        <w:bCs/>
      </w:rPr>
      <w:instrText xml:space="preserve"> PAGE </w:instrText>
    </w:r>
    <w:r w:rsidRPr="007B5212">
      <w:rPr>
        <w:rStyle w:val="PageNumber"/>
        <w:b/>
        <w:bCs/>
      </w:rPr>
      <w:fldChar w:fldCharType="separate"/>
    </w:r>
    <w:r w:rsidR="009845FF">
      <w:rPr>
        <w:rStyle w:val="PageNumber"/>
        <w:b/>
        <w:bCs/>
        <w:noProof/>
      </w:rPr>
      <w:t>3</w:t>
    </w:r>
    <w:r w:rsidRPr="007B5212">
      <w:rPr>
        <w:rStyle w:val="PageNumber"/>
        <w:b/>
        <w:bCs/>
      </w:rPr>
      <w:fldChar w:fldCharType="end"/>
    </w:r>
    <w:r w:rsidRPr="007B5212">
      <w:rPr>
        <w:rStyle w:val="PageNumber"/>
        <w:b/>
        <w:bCs/>
      </w:rPr>
      <w:t xml:space="preserve"> of </w:t>
    </w:r>
    <w:r w:rsidRPr="007B5212">
      <w:rPr>
        <w:rStyle w:val="PageNumber"/>
        <w:b/>
        <w:bCs/>
      </w:rPr>
      <w:fldChar w:fldCharType="begin"/>
    </w:r>
    <w:r w:rsidRPr="007B5212">
      <w:rPr>
        <w:rStyle w:val="PageNumber"/>
        <w:b/>
        <w:bCs/>
      </w:rPr>
      <w:instrText xml:space="preserve"> NUMPAGES </w:instrText>
    </w:r>
    <w:r w:rsidRPr="007B5212">
      <w:rPr>
        <w:rStyle w:val="PageNumber"/>
        <w:b/>
        <w:bCs/>
      </w:rPr>
      <w:fldChar w:fldCharType="separate"/>
    </w:r>
    <w:r w:rsidR="00EB18A7">
      <w:rPr>
        <w:rStyle w:val="PageNumber"/>
        <w:b/>
        <w:bCs/>
        <w:noProof/>
      </w:rPr>
      <w:t>1</w:t>
    </w:r>
    <w:r w:rsidRPr="007B5212">
      <w:rPr>
        <w:rStyle w:val="PageNumber"/>
        <w:b/>
        <w:b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FF" w:rsidRPr="00C55CC7" w:rsidRDefault="009845FF" w:rsidP="009845FF">
    <w:pPr>
      <w:pStyle w:val="IPPFooter"/>
      <w:rPr>
        <w:lang w:val="es-ES"/>
      </w:rPr>
    </w:pPr>
    <w:r w:rsidRPr="00234349">
      <w:rPr>
        <w:lang w:val="es-ES_tradnl"/>
      </w:rPr>
      <w:t>Convención Internacional de Protección Fitosanitaria</w:t>
    </w:r>
    <w:r w:rsidRPr="00C55CC7">
      <w:rPr>
        <w:lang w:val="es-ES"/>
      </w:rPr>
      <w:tab/>
    </w:r>
    <w:r w:rsidRPr="00234349">
      <w:rPr>
        <w:bCs/>
        <w:lang w:val="es-ES_tradnl"/>
      </w:rPr>
      <w:t xml:space="preserve">Página </w:t>
    </w:r>
    <w:r w:rsidRPr="00234349">
      <w:rPr>
        <w:rStyle w:val="PageNumber"/>
        <w:b/>
        <w:bCs/>
        <w:lang w:val="es-ES_tradnl"/>
      </w:rPr>
      <w:fldChar w:fldCharType="begin"/>
    </w:r>
    <w:r w:rsidRPr="00234349">
      <w:rPr>
        <w:rStyle w:val="PageNumber"/>
        <w:b/>
        <w:bCs/>
        <w:lang w:val="es-ES_tradnl"/>
      </w:rPr>
      <w:instrText xml:space="preserve"> PAGE </w:instrText>
    </w:r>
    <w:r w:rsidRPr="00234349">
      <w:rPr>
        <w:rStyle w:val="PageNumber"/>
        <w:b/>
        <w:bCs/>
        <w:lang w:val="es-ES_tradnl"/>
      </w:rPr>
      <w:fldChar w:fldCharType="separate"/>
    </w:r>
    <w:r w:rsidR="000C6B8D">
      <w:rPr>
        <w:rStyle w:val="PageNumber"/>
        <w:b/>
        <w:bCs/>
        <w:noProof/>
        <w:lang w:val="es-ES_tradnl"/>
      </w:rPr>
      <w:t>1</w:t>
    </w:r>
    <w:r w:rsidRPr="00234349">
      <w:rPr>
        <w:rStyle w:val="PageNumber"/>
        <w:b/>
        <w:bCs/>
        <w:lang w:val="es-ES_tradnl"/>
      </w:rPr>
      <w:fldChar w:fldCharType="end"/>
    </w:r>
    <w:r w:rsidRPr="00234349">
      <w:rPr>
        <w:lang w:val="es-ES_tradnl"/>
      </w:rPr>
      <w:t xml:space="preserve"> de </w:t>
    </w:r>
    <w:r w:rsidRPr="00234349">
      <w:rPr>
        <w:rStyle w:val="PageNumber"/>
        <w:b/>
        <w:bCs/>
        <w:lang w:val="es-ES_tradnl"/>
      </w:rPr>
      <w:fldChar w:fldCharType="begin"/>
    </w:r>
    <w:r w:rsidRPr="00234349">
      <w:rPr>
        <w:rStyle w:val="PageNumber"/>
        <w:b/>
        <w:bCs/>
        <w:lang w:val="es-ES_tradnl"/>
      </w:rPr>
      <w:instrText xml:space="preserve"> NUMPAGES </w:instrText>
    </w:r>
    <w:r w:rsidRPr="00234349">
      <w:rPr>
        <w:rStyle w:val="PageNumber"/>
        <w:b/>
        <w:bCs/>
        <w:lang w:val="es-ES_tradnl"/>
      </w:rPr>
      <w:fldChar w:fldCharType="separate"/>
    </w:r>
    <w:r w:rsidR="000C6B8D">
      <w:rPr>
        <w:rStyle w:val="PageNumber"/>
        <w:b/>
        <w:bCs/>
        <w:noProof/>
        <w:lang w:val="es-ES_tradnl"/>
      </w:rPr>
      <w:t>1</w:t>
    </w:r>
    <w:r w:rsidRPr="00234349">
      <w:rPr>
        <w:rStyle w:val="PageNumber"/>
        <w:b/>
        <w:bCs/>
        <w:lang w:val="es-ES_tradn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20" w:rsidRDefault="00D62D20">
      <w:r>
        <w:separator/>
      </w:r>
    </w:p>
  </w:footnote>
  <w:footnote w:type="continuationSeparator" w:id="0">
    <w:p w:rsidR="00D62D20" w:rsidRDefault="00D62D20">
      <w:r>
        <w:continuationSeparator/>
      </w:r>
    </w:p>
  </w:footnote>
  <w:footnote w:id="1">
    <w:p w:rsidR="00C10B2E" w:rsidRPr="00C55CC7" w:rsidRDefault="00C10B2E" w:rsidP="00C10B2E">
      <w:pPr>
        <w:pStyle w:val="IPPFootnote"/>
        <w:jc w:val="left"/>
        <w:rPr>
          <w:szCs w:val="20"/>
          <w:lang w:val="es-ES"/>
        </w:rPr>
      </w:pPr>
      <w:r w:rsidRPr="00FC0D79">
        <w:rPr>
          <w:rStyle w:val="FootnoteReference"/>
        </w:rPr>
        <w:footnoteRef/>
      </w:r>
      <w:r w:rsidRPr="00C55CC7">
        <w:rPr>
          <w:lang w:val="es-ES"/>
        </w:rPr>
        <w:t xml:space="preserve"> </w:t>
      </w:r>
      <w:r w:rsidRPr="00FC0D79">
        <w:rPr>
          <w:szCs w:val="20"/>
        </w:rPr>
        <w:t>Informe de la reunión del GTTF de diciembre de 2012, Sección 5.4:</w:t>
      </w:r>
      <w:r w:rsidRPr="00C55CC7">
        <w:rPr>
          <w:szCs w:val="20"/>
          <w:lang w:val="es-ES"/>
        </w:rPr>
        <w:t xml:space="preserve"> </w:t>
      </w:r>
      <w:hyperlink r:id="rId1" w:history="1">
        <w:r w:rsidRPr="00FC0D79">
          <w:rPr>
            <w:rStyle w:val="Hyperlink"/>
            <w:szCs w:val="20"/>
          </w:rPr>
          <w:t>https://www.ippc.int/index.php?id=1110739&amp;no_cache=1&amp;L=0</w:t>
        </w:r>
      </w:hyperlink>
      <w:r w:rsidRPr="00C55CC7">
        <w:rPr>
          <w:szCs w:val="20"/>
          <w:lang w:val="es-ES"/>
        </w:rPr>
        <w:t xml:space="preserve"> </w:t>
      </w:r>
    </w:p>
  </w:footnote>
  <w:footnote w:id="2">
    <w:p w:rsidR="009845FF" w:rsidRPr="00C55CC7" w:rsidRDefault="009845FF" w:rsidP="009845FF">
      <w:pPr>
        <w:pStyle w:val="IPPNormal"/>
        <w:spacing w:after="60"/>
        <w:rPr>
          <w:sz w:val="20"/>
          <w:szCs w:val="20"/>
          <w:lang w:val="es-ES"/>
        </w:rPr>
      </w:pPr>
      <w:r w:rsidRPr="00FC0D79">
        <w:rPr>
          <w:rStyle w:val="FootnoteReference"/>
          <w:sz w:val="20"/>
          <w:szCs w:val="20"/>
        </w:rPr>
        <w:footnoteRef/>
      </w:r>
      <w:r w:rsidRPr="00C55CC7">
        <w:rPr>
          <w:sz w:val="20"/>
          <w:szCs w:val="20"/>
          <w:lang w:val="es-ES"/>
        </w:rPr>
        <w:t xml:space="preserve"> </w:t>
      </w:r>
      <w:r w:rsidRPr="00FC0D79">
        <w:rPr>
          <w:rStyle w:val="IPPNormalunderlined"/>
          <w:sz w:val="20"/>
          <w:szCs w:val="20"/>
          <w:u w:val="none"/>
          <w:lang w:val="es-ES_tradnl"/>
        </w:rPr>
        <w:t>2013_eSC_May_05</w:t>
      </w:r>
    </w:p>
  </w:footnote>
  <w:footnote w:id="3">
    <w:p w:rsidR="009845FF" w:rsidRPr="00C55CC7" w:rsidRDefault="009845FF" w:rsidP="009845FF">
      <w:pPr>
        <w:pStyle w:val="FootnoteText"/>
        <w:spacing w:before="0" w:after="60"/>
        <w:rPr>
          <w:lang w:val="es-ES"/>
        </w:rPr>
      </w:pPr>
      <w:r w:rsidRPr="00FC0D79">
        <w:rPr>
          <w:rStyle w:val="FootnoteReference"/>
        </w:rPr>
        <w:footnoteRef/>
      </w:r>
      <w:r w:rsidRPr="00C55CC7">
        <w:rPr>
          <w:lang w:val="es-ES"/>
        </w:rPr>
        <w:t xml:space="preserve"> </w:t>
      </w:r>
      <w:r w:rsidRPr="00FC0D79">
        <w:t>Los miembros de la CIPF s</w:t>
      </w:r>
      <w:r w:rsidR="009635DF">
        <w:t>e definen como sigue</w:t>
      </w:r>
      <w:r w:rsidRPr="00FC0D79">
        <w:t>:</w:t>
      </w:r>
      <w:r w:rsidRPr="00C55CC7">
        <w:rPr>
          <w:lang w:val="es-ES"/>
        </w:rPr>
        <w:t xml:space="preserve"> </w:t>
      </w:r>
      <w:r w:rsidR="00583E05">
        <w:rPr>
          <w:lang w:val="es-ES"/>
        </w:rPr>
        <w:t xml:space="preserve">las </w:t>
      </w:r>
      <w:r w:rsidR="00583E05">
        <w:t>Partes c</w:t>
      </w:r>
      <w:r w:rsidRPr="00FC0D79">
        <w:t xml:space="preserve">ontratantes, las </w:t>
      </w:r>
      <w:r w:rsidR="00D12046" w:rsidRPr="00FC0D79">
        <w:t>o</w:t>
      </w:r>
      <w:r w:rsidRPr="00FC0D79">
        <w:t xml:space="preserve">rganizaciones </w:t>
      </w:r>
      <w:r w:rsidR="00D12046" w:rsidRPr="00FC0D79">
        <w:t>n</w:t>
      </w:r>
      <w:r w:rsidRPr="00FC0D79">
        <w:t xml:space="preserve">acionales de </w:t>
      </w:r>
      <w:r w:rsidR="00D12046" w:rsidRPr="00FC0D79">
        <w:t>p</w:t>
      </w:r>
      <w:r w:rsidRPr="00FC0D79">
        <w:t xml:space="preserve">rotección </w:t>
      </w:r>
      <w:r w:rsidR="00D12046" w:rsidRPr="00FC0D79">
        <w:t>f</w:t>
      </w:r>
      <w:r w:rsidRPr="00FC0D79">
        <w:t>itosanitaria (ONPF), las organizaciones regionales de protección fitosanitaria (ORPF) y las organizaciones internacionales pertinentes.</w:t>
      </w:r>
    </w:p>
  </w:footnote>
  <w:footnote w:id="4">
    <w:p w:rsidR="009845FF" w:rsidRPr="00C55CC7" w:rsidRDefault="009845FF" w:rsidP="009845FF">
      <w:pPr>
        <w:pStyle w:val="IPPFootnote"/>
        <w:rPr>
          <w:lang w:val="es-ES"/>
        </w:rPr>
      </w:pPr>
      <w:r w:rsidRPr="00FC0D79">
        <w:rPr>
          <w:rStyle w:val="FootnoteReference"/>
          <w:szCs w:val="20"/>
        </w:rPr>
        <w:footnoteRef/>
      </w:r>
      <w:r w:rsidRPr="00C55CC7">
        <w:rPr>
          <w:szCs w:val="20"/>
          <w:lang w:val="es-ES"/>
        </w:rPr>
        <w:t xml:space="preserve"> </w:t>
      </w:r>
      <w:r w:rsidRPr="00FC0D79">
        <w:rPr>
          <w:szCs w:val="20"/>
        </w:rPr>
        <w:t>Sistema de comentarios en línea de la CIPF:</w:t>
      </w:r>
      <w:r w:rsidRPr="00C55CC7">
        <w:rPr>
          <w:szCs w:val="20"/>
          <w:lang w:val="es-ES"/>
        </w:rPr>
        <w:t xml:space="preserve"> </w:t>
      </w:r>
      <w:hyperlink r:id="rId2" w:history="1">
        <w:r w:rsidRPr="00FC0D79">
          <w:rPr>
            <w:rStyle w:val="Hyperlink"/>
            <w:szCs w:val="20"/>
          </w:rPr>
          <w:t>http://ocs.ippc.int/index.html</w:t>
        </w:r>
      </w:hyperlink>
    </w:p>
  </w:footnote>
  <w:footnote w:id="5">
    <w:p w:rsidR="009845FF" w:rsidRPr="00C55CC7" w:rsidRDefault="009845FF" w:rsidP="00FC0D79">
      <w:pPr>
        <w:pStyle w:val="IPPFootnote"/>
        <w:jc w:val="left"/>
        <w:rPr>
          <w:lang w:val="es-ES"/>
        </w:rPr>
      </w:pPr>
      <w:r w:rsidRPr="00FC0D79">
        <w:rPr>
          <w:rStyle w:val="FootnoteReference"/>
          <w:szCs w:val="20"/>
        </w:rPr>
        <w:footnoteRef/>
      </w:r>
      <w:r w:rsidRPr="00C55CC7">
        <w:rPr>
          <w:szCs w:val="20"/>
          <w:lang w:val="es-ES"/>
        </w:rPr>
        <w:t xml:space="preserve"> </w:t>
      </w:r>
      <w:r w:rsidRPr="00FC0D79">
        <w:rPr>
          <w:szCs w:val="20"/>
        </w:rPr>
        <w:t>Informe de la reunión virtual del GTTF de agosto de 2011:</w:t>
      </w:r>
      <w:r w:rsidRPr="00C55CC7">
        <w:rPr>
          <w:szCs w:val="20"/>
          <w:lang w:val="es-ES"/>
        </w:rPr>
        <w:t xml:space="preserve"> </w:t>
      </w:r>
      <w:hyperlink r:id="rId3" w:history="1">
        <w:r w:rsidRPr="00FC0D79">
          <w:rPr>
            <w:rStyle w:val="Hyperlink"/>
            <w:szCs w:val="20"/>
          </w:rPr>
          <w:t>https://www.ippc.int/index.php?id=1110739&amp;no_cache=1&amp;L=0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FF" w:rsidRPr="00847799" w:rsidRDefault="009845FF" w:rsidP="009845FF">
    <w:pPr>
      <w:pStyle w:val="IPPHeader"/>
    </w:pPr>
    <w:r w:rsidRPr="00B047B1">
      <w:rPr>
        <w:lang w:val="es-ES_tradnl"/>
      </w:rPr>
      <w:t>Documento de antecedentes a 2005-010</w:t>
    </w:r>
    <w:r>
      <w:tab/>
    </w:r>
    <w:r w:rsidRPr="00B047B1">
      <w:rPr>
        <w:iCs/>
        <w:szCs w:val="18"/>
        <w:lang w:val="es-ES_tradnl"/>
      </w:rPr>
      <w:t>Consulta de los Miembros en 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D5" w:rsidRPr="004606B9" w:rsidRDefault="004337D5" w:rsidP="00E41803">
    <w:pPr>
      <w:pStyle w:val="IPPHeader"/>
    </w:pPr>
    <w:r w:rsidRPr="00847799">
      <w:rPr>
        <w:rStyle w:val="Strong"/>
        <w:b w:val="0"/>
        <w:bCs w:val="0"/>
        <w:iCs/>
        <w:szCs w:val="18"/>
      </w:rPr>
      <w:t>2013 Member consultation</w:t>
    </w:r>
    <w:r>
      <w:rPr>
        <w:rStyle w:val="Strong"/>
        <w:b w:val="0"/>
        <w:bCs w:val="0"/>
        <w:iCs/>
        <w:szCs w:val="18"/>
      </w:rPr>
      <w:tab/>
    </w:r>
    <w:r w:rsidRPr="00AE5C5D">
      <w:t>Background document to</w:t>
    </w:r>
    <w:r>
      <w:t xml:space="preserve"> 2005-010</w:t>
    </w:r>
  </w:p>
  <w:p w:rsidR="004337D5" w:rsidRPr="001858C7" w:rsidRDefault="004337D5" w:rsidP="001858C7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FF" w:rsidRPr="00FC0D79" w:rsidRDefault="007B6A98" w:rsidP="00F05D23">
    <w:pPr>
      <w:pStyle w:val="IPPHeader"/>
      <w:rPr>
        <w:rFonts w:cs="Arial"/>
        <w:i/>
        <w:iCs/>
        <w:szCs w:val="18"/>
        <w:lang w:val="es-ES_tradn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-20955</wp:posOffset>
          </wp:positionV>
          <wp:extent cx="632460" cy="324485"/>
          <wp:effectExtent l="19050" t="0" r="0" b="0"/>
          <wp:wrapSquare wrapText="bothSides"/>
          <wp:docPr id="5" name="Picture 5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45FF" w:rsidRPr="00FC0D79">
      <w:rPr>
        <w:lang w:val="es-ES_tradnl"/>
      </w:rPr>
      <w:t xml:space="preserve">Convención </w:t>
    </w:r>
    <w:r w:rsidR="00983DDC">
      <w:rPr>
        <w:lang w:val="es-ES_tradnl"/>
      </w:rPr>
      <w:t xml:space="preserve">   </w:t>
    </w:r>
    <w:proofErr w:type="spellStart"/>
    <w:r w:rsidR="0049666E">
      <w:rPr>
        <w:lang w:val="es-ES_tradnl"/>
      </w:rPr>
      <w:t>Convención</w:t>
    </w:r>
    <w:proofErr w:type="spellEnd"/>
    <w:r w:rsidR="0049666E">
      <w:rPr>
        <w:lang w:val="es-ES_tradnl"/>
      </w:rPr>
      <w:t xml:space="preserve"> </w:t>
    </w:r>
    <w:r w:rsidR="009845FF" w:rsidRPr="00FC0D79">
      <w:rPr>
        <w:lang w:val="es-ES_tradnl"/>
      </w:rPr>
      <w:t>Internacional de Protección Fitosanitaria</w:t>
    </w:r>
    <w:r w:rsidR="009845FF" w:rsidRPr="00C55CC7">
      <w:rPr>
        <w:lang w:val="es-ES"/>
      </w:rPr>
      <w:tab/>
    </w:r>
    <w:r w:rsidR="009845FF" w:rsidRPr="00FC0D79">
      <w:rPr>
        <w:lang w:val="es-ES_tradnl"/>
      </w:rPr>
      <w:t xml:space="preserve">Documento de antecedentes </w:t>
    </w:r>
    <w:r w:rsidR="0049666E">
      <w:rPr>
        <w:lang w:val="es-ES_tradnl"/>
      </w:rPr>
      <w:t>para</w:t>
    </w:r>
    <w:r w:rsidR="009845FF" w:rsidRPr="00FC0D79">
      <w:rPr>
        <w:lang w:val="es-ES_tradnl"/>
      </w:rPr>
      <w:t xml:space="preserve"> 2012-011</w:t>
    </w:r>
    <w:r w:rsidR="009845FF" w:rsidRPr="00C55CC7">
      <w:rPr>
        <w:lang w:val="es-ES"/>
      </w:rPr>
      <w:br/>
    </w:r>
    <w:r w:rsidR="009845FF" w:rsidRPr="00C55CC7">
      <w:rPr>
        <w:lang w:val="es-ES"/>
      </w:rPr>
      <w:tab/>
    </w:r>
    <w:r w:rsidR="009845FF" w:rsidRPr="00FC0D79">
      <w:rPr>
        <w:i/>
        <w:iCs/>
        <w:szCs w:val="18"/>
        <w:lang w:val="es-ES_tradnl"/>
      </w:rPr>
      <w:t xml:space="preserve">Consulta de los </w:t>
    </w:r>
    <w:r w:rsidR="0049666E">
      <w:rPr>
        <w:i/>
        <w:iCs/>
        <w:szCs w:val="18"/>
        <w:lang w:val="es-ES_tradnl"/>
      </w:rPr>
      <w:t>m</w:t>
    </w:r>
    <w:r w:rsidR="009845FF" w:rsidRPr="00FC0D79">
      <w:rPr>
        <w:i/>
        <w:iCs/>
        <w:szCs w:val="18"/>
        <w:lang w:val="es-ES_tradnl"/>
      </w:rPr>
      <w:t xml:space="preserve">iembros en </w:t>
    </w:r>
    <w:r w:rsidR="009845FF" w:rsidRPr="00FC0D79">
      <w:rPr>
        <w:rStyle w:val="Strong"/>
        <w:b w:val="0"/>
        <w:bCs w:val="0"/>
        <w:i/>
        <w:iCs/>
        <w:szCs w:val="18"/>
        <w:lang w:val="es-ES_tradnl"/>
      </w:rPr>
      <w:t>2013</w:t>
    </w:r>
    <w:r w:rsidR="009845FF" w:rsidRPr="00C55CC7">
      <w:rPr>
        <w:rFonts w:cs="Arial"/>
        <w:i/>
        <w:iCs/>
        <w:szCs w:val="18"/>
        <w:lang w:val="es-ES"/>
      </w:rPr>
      <w:tab/>
    </w:r>
    <w:r w:rsidR="009845FF" w:rsidRPr="00FC0D79">
      <w:rPr>
        <w:rFonts w:cs="Arial"/>
        <w:i/>
        <w:iCs/>
        <w:szCs w:val="18"/>
        <w:lang w:val="es-ES_tradnl"/>
      </w:rPr>
      <w:t>Proyecto de Anexo a la NIMF 28:2007</w:t>
    </w:r>
    <w:r w:rsidR="00F05D23" w:rsidRPr="00FC0D79">
      <w:rPr>
        <w:rFonts w:cs="Arial"/>
        <w:i/>
        <w:iCs/>
        <w:szCs w:val="18"/>
        <w:lang w:val="es-ES_tradnl"/>
      </w:rPr>
      <w:br/>
    </w:r>
    <w:r w:rsidR="00F05D23" w:rsidRPr="00FC0D79">
      <w:rPr>
        <w:rFonts w:cs="Arial"/>
        <w:i/>
        <w:iCs/>
        <w:szCs w:val="18"/>
        <w:lang w:val="es-ES_tradnl"/>
      </w:rPr>
      <w:tab/>
    </w:r>
    <w:r w:rsidR="00F05D23" w:rsidRPr="00FC0D79">
      <w:rPr>
        <w:rFonts w:cs="Arial"/>
        <w:i/>
        <w:iCs/>
        <w:szCs w:val="18"/>
        <w:lang w:val="es-ES_tradnl"/>
      </w:rPr>
      <w:tab/>
      <w:t>I</w:t>
    </w:r>
    <w:r w:rsidR="009845FF" w:rsidRPr="00FC0D79">
      <w:rPr>
        <w:rFonts w:cs="Arial"/>
        <w:i/>
        <w:iCs/>
        <w:szCs w:val="18"/>
        <w:lang w:val="es-ES_tradnl"/>
      </w:rPr>
      <w:t>rradiación contra la cochinilla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424"/>
    <w:multiLevelType w:val="hybridMultilevel"/>
    <w:tmpl w:val="6A243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97C"/>
    <w:multiLevelType w:val="hybridMultilevel"/>
    <w:tmpl w:val="F754143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118C"/>
    <w:multiLevelType w:val="hybridMultilevel"/>
    <w:tmpl w:val="E80A5128"/>
    <w:lvl w:ilvl="0" w:tplc="4FF61E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C0A6C"/>
    <w:multiLevelType w:val="multilevel"/>
    <w:tmpl w:val="06E871E4"/>
    <w:numStyleLink w:val="IPPParagraphnumberedlist"/>
  </w:abstractNum>
  <w:abstractNum w:abstractNumId="5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115C8"/>
    <w:multiLevelType w:val="hybridMultilevel"/>
    <w:tmpl w:val="A9C44D7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56F8F"/>
    <w:multiLevelType w:val="hybridMultilevel"/>
    <w:tmpl w:val="1D825F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E6859"/>
    <w:multiLevelType w:val="hybridMultilevel"/>
    <w:tmpl w:val="BA5CFEF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417F0"/>
    <w:multiLevelType w:val="hybridMultilevel"/>
    <w:tmpl w:val="DE46C9F0"/>
    <w:lvl w:ilvl="0" w:tplc="50065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71F44"/>
    <w:multiLevelType w:val="hybridMultilevel"/>
    <w:tmpl w:val="76E6F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74858"/>
    <w:multiLevelType w:val="hybridMultilevel"/>
    <w:tmpl w:val="47AE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529DF"/>
    <w:multiLevelType w:val="hybridMultilevel"/>
    <w:tmpl w:val="AC5A9DF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9694E"/>
    <w:multiLevelType w:val="hybridMultilevel"/>
    <w:tmpl w:val="DD00DC36"/>
    <w:lvl w:ilvl="0" w:tplc="C554D000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0074B"/>
    <w:multiLevelType w:val="hybridMultilevel"/>
    <w:tmpl w:val="E4EA788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153E7"/>
    <w:multiLevelType w:val="hybridMultilevel"/>
    <w:tmpl w:val="650A91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73527C"/>
    <w:multiLevelType w:val="multilevel"/>
    <w:tmpl w:val="52DE95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18">
    <w:nsid w:val="23D55A92"/>
    <w:multiLevelType w:val="hybridMultilevel"/>
    <w:tmpl w:val="C05AD73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D042B"/>
    <w:multiLevelType w:val="hybridMultilevel"/>
    <w:tmpl w:val="396A265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812919"/>
    <w:multiLevelType w:val="hybridMultilevel"/>
    <w:tmpl w:val="A3F0A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5699C"/>
    <w:multiLevelType w:val="hybridMultilevel"/>
    <w:tmpl w:val="484E4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77F67"/>
    <w:multiLevelType w:val="hybridMultilevel"/>
    <w:tmpl w:val="AFC82484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3">
    <w:nsid w:val="29F67F94"/>
    <w:multiLevelType w:val="hybridMultilevel"/>
    <w:tmpl w:val="31E0BB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F41509"/>
    <w:multiLevelType w:val="hybridMultilevel"/>
    <w:tmpl w:val="CDE4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44EC6"/>
    <w:multiLevelType w:val="hybridMultilevel"/>
    <w:tmpl w:val="7A36D47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6C2B54"/>
    <w:multiLevelType w:val="hybridMultilevel"/>
    <w:tmpl w:val="DEB67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95E3C"/>
    <w:multiLevelType w:val="hybridMultilevel"/>
    <w:tmpl w:val="081EC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40355D"/>
    <w:multiLevelType w:val="hybridMultilevel"/>
    <w:tmpl w:val="9EEC4E5A"/>
    <w:lvl w:ilvl="0" w:tplc="F63E631C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30">
    <w:nsid w:val="333A7AF4"/>
    <w:multiLevelType w:val="hybridMultilevel"/>
    <w:tmpl w:val="5FC8E216"/>
    <w:lvl w:ilvl="0" w:tplc="76A61F4E">
      <w:start w:val="1"/>
      <w:numFmt w:val="decimal"/>
      <w:lvlText w:val="2.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3495764D"/>
    <w:multiLevelType w:val="hybridMultilevel"/>
    <w:tmpl w:val="68B2CEC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2">
    <w:nsid w:val="356C2526"/>
    <w:multiLevelType w:val="hybridMultilevel"/>
    <w:tmpl w:val="B5A2B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28016A"/>
    <w:multiLevelType w:val="multilevel"/>
    <w:tmpl w:val="005E95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3D702574"/>
    <w:multiLevelType w:val="multilevel"/>
    <w:tmpl w:val="06ECC4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36">
    <w:nsid w:val="3EC2687B"/>
    <w:multiLevelType w:val="hybridMultilevel"/>
    <w:tmpl w:val="FFAC21B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EB4402"/>
    <w:multiLevelType w:val="multilevel"/>
    <w:tmpl w:val="668C83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440"/>
      </w:pPr>
      <w:rPr>
        <w:rFonts w:hint="default"/>
      </w:rPr>
    </w:lvl>
  </w:abstractNum>
  <w:abstractNum w:abstractNumId="38">
    <w:nsid w:val="46363FCE"/>
    <w:multiLevelType w:val="multilevel"/>
    <w:tmpl w:val="EE3ADBAE"/>
    <w:lvl w:ilvl="0">
      <w:start w:val="8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39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535B11"/>
    <w:multiLevelType w:val="multilevel"/>
    <w:tmpl w:val="EC9CA5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>
    <w:nsid w:val="4951797F"/>
    <w:multiLevelType w:val="hybridMultilevel"/>
    <w:tmpl w:val="BC20B1D2"/>
    <w:lvl w:ilvl="0" w:tplc="03AA01A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3D3CD4"/>
    <w:multiLevelType w:val="hybridMultilevel"/>
    <w:tmpl w:val="C880835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EF194D"/>
    <w:multiLevelType w:val="hybridMultilevel"/>
    <w:tmpl w:val="F1B8CB9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3B04BA"/>
    <w:multiLevelType w:val="hybridMultilevel"/>
    <w:tmpl w:val="EC20125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D26BBE"/>
    <w:multiLevelType w:val="hybridMultilevel"/>
    <w:tmpl w:val="5C2EEAB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EE371F"/>
    <w:multiLevelType w:val="hybridMultilevel"/>
    <w:tmpl w:val="DAC6920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FA7774"/>
    <w:multiLevelType w:val="hybridMultilevel"/>
    <w:tmpl w:val="C2721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0C6FAA"/>
    <w:multiLevelType w:val="hybridMultilevel"/>
    <w:tmpl w:val="1FA45C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8D2C58"/>
    <w:multiLevelType w:val="hybridMultilevel"/>
    <w:tmpl w:val="D7BE2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FD557C"/>
    <w:multiLevelType w:val="hybridMultilevel"/>
    <w:tmpl w:val="7FE4F0A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963F8E"/>
    <w:multiLevelType w:val="multilevel"/>
    <w:tmpl w:val="D738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5A0C4D19"/>
    <w:multiLevelType w:val="hybridMultilevel"/>
    <w:tmpl w:val="FAD21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830C99"/>
    <w:multiLevelType w:val="hybridMultilevel"/>
    <w:tmpl w:val="E50C8C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BB32D69"/>
    <w:multiLevelType w:val="hybridMultilevel"/>
    <w:tmpl w:val="8D3E2932"/>
    <w:lvl w:ilvl="0" w:tplc="CFFEFB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6">
    <w:nsid w:val="5BBF6C30"/>
    <w:multiLevelType w:val="hybridMultilevel"/>
    <w:tmpl w:val="68AAB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154B4C"/>
    <w:multiLevelType w:val="hybridMultilevel"/>
    <w:tmpl w:val="F32463E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276F50"/>
    <w:multiLevelType w:val="hybridMultilevel"/>
    <w:tmpl w:val="45624A9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86513E"/>
    <w:multiLevelType w:val="hybridMultilevel"/>
    <w:tmpl w:val="3A460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B14811"/>
    <w:multiLevelType w:val="hybridMultilevel"/>
    <w:tmpl w:val="6CD80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7C2E7C"/>
    <w:multiLevelType w:val="hybridMultilevel"/>
    <w:tmpl w:val="9E908B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>
    <w:nsid w:val="608B090D"/>
    <w:multiLevelType w:val="hybridMultilevel"/>
    <w:tmpl w:val="B764009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C64549"/>
    <w:multiLevelType w:val="hybridMultilevel"/>
    <w:tmpl w:val="46129AB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3060EF"/>
    <w:multiLevelType w:val="hybridMultilevel"/>
    <w:tmpl w:val="EB9EBF9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8F20F8"/>
    <w:multiLevelType w:val="hybridMultilevel"/>
    <w:tmpl w:val="D25A59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6824D55"/>
    <w:multiLevelType w:val="hybridMultilevel"/>
    <w:tmpl w:val="02164E4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7A63A9"/>
    <w:multiLevelType w:val="hybridMultilevel"/>
    <w:tmpl w:val="364422CA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0">
    <w:nsid w:val="6ED24050"/>
    <w:multiLevelType w:val="multilevel"/>
    <w:tmpl w:val="0D421C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71">
    <w:nsid w:val="6FEF6287"/>
    <w:multiLevelType w:val="hybridMultilevel"/>
    <w:tmpl w:val="84AA045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E243E5"/>
    <w:multiLevelType w:val="hybridMultilevel"/>
    <w:tmpl w:val="E0743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2D41013"/>
    <w:multiLevelType w:val="hybridMultilevel"/>
    <w:tmpl w:val="D082899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03191F"/>
    <w:multiLevelType w:val="hybridMultilevel"/>
    <w:tmpl w:val="0638F31C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5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240EFE"/>
    <w:multiLevelType w:val="hybridMultilevel"/>
    <w:tmpl w:val="AC68AD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EC59A5"/>
    <w:multiLevelType w:val="multilevel"/>
    <w:tmpl w:val="B178BB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79">
    <w:nsid w:val="77F4295E"/>
    <w:multiLevelType w:val="hybridMultilevel"/>
    <w:tmpl w:val="8CA64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651189"/>
    <w:multiLevelType w:val="multilevel"/>
    <w:tmpl w:val="F4342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4" w:hanging="1440"/>
      </w:pPr>
      <w:rPr>
        <w:rFonts w:hint="default"/>
      </w:rPr>
    </w:lvl>
  </w:abstractNum>
  <w:abstractNum w:abstractNumId="81">
    <w:nsid w:val="7E1079C4"/>
    <w:multiLevelType w:val="hybridMultilevel"/>
    <w:tmpl w:val="44EA5A2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7"/>
  </w:num>
  <w:num w:numId="2">
    <w:abstractNumId w:val="48"/>
  </w:num>
  <w:num w:numId="3">
    <w:abstractNumId w:val="75"/>
  </w:num>
  <w:num w:numId="4">
    <w:abstractNumId w:val="66"/>
  </w:num>
  <w:num w:numId="5">
    <w:abstractNumId w:val="5"/>
  </w:num>
  <w:num w:numId="6">
    <w:abstractNumId w:val="29"/>
  </w:num>
  <w:num w:numId="7">
    <w:abstractNumId w:val="20"/>
  </w:num>
  <w:num w:numId="8">
    <w:abstractNumId w:val="45"/>
  </w:num>
  <w:num w:numId="9">
    <w:abstractNumId w:val="81"/>
  </w:num>
  <w:num w:numId="10">
    <w:abstractNumId w:val="71"/>
  </w:num>
  <w:num w:numId="11">
    <w:abstractNumId w:val="72"/>
  </w:num>
  <w:num w:numId="12">
    <w:abstractNumId w:val="19"/>
  </w:num>
  <w:num w:numId="13">
    <w:abstractNumId w:val="42"/>
  </w:num>
  <w:num w:numId="14">
    <w:abstractNumId w:val="32"/>
  </w:num>
  <w:num w:numId="15">
    <w:abstractNumId w:val="25"/>
  </w:num>
  <w:num w:numId="16">
    <w:abstractNumId w:val="56"/>
  </w:num>
  <w:num w:numId="17">
    <w:abstractNumId w:val="7"/>
  </w:num>
  <w:num w:numId="18">
    <w:abstractNumId w:val="1"/>
  </w:num>
  <w:num w:numId="19">
    <w:abstractNumId w:val="8"/>
  </w:num>
  <w:num w:numId="20">
    <w:abstractNumId w:val="27"/>
  </w:num>
  <w:num w:numId="21">
    <w:abstractNumId w:val="10"/>
  </w:num>
  <w:num w:numId="22">
    <w:abstractNumId w:val="44"/>
  </w:num>
  <w:num w:numId="23">
    <w:abstractNumId w:val="73"/>
  </w:num>
  <w:num w:numId="24">
    <w:abstractNumId w:val="79"/>
  </w:num>
  <w:num w:numId="25">
    <w:abstractNumId w:val="49"/>
  </w:num>
  <w:num w:numId="26">
    <w:abstractNumId w:val="23"/>
  </w:num>
  <w:num w:numId="27">
    <w:abstractNumId w:val="76"/>
  </w:num>
  <w:num w:numId="28">
    <w:abstractNumId w:val="46"/>
  </w:num>
  <w:num w:numId="29">
    <w:abstractNumId w:val="47"/>
  </w:num>
  <w:num w:numId="30">
    <w:abstractNumId w:val="53"/>
  </w:num>
  <w:num w:numId="31">
    <w:abstractNumId w:val="51"/>
  </w:num>
  <w:num w:numId="32">
    <w:abstractNumId w:val="6"/>
  </w:num>
  <w:num w:numId="33">
    <w:abstractNumId w:val="50"/>
  </w:num>
  <w:num w:numId="34">
    <w:abstractNumId w:val="2"/>
  </w:num>
  <w:num w:numId="35">
    <w:abstractNumId w:val="26"/>
  </w:num>
  <w:num w:numId="36">
    <w:abstractNumId w:val="18"/>
  </w:num>
  <w:num w:numId="37">
    <w:abstractNumId w:val="65"/>
  </w:num>
  <w:num w:numId="38">
    <w:abstractNumId w:val="62"/>
  </w:num>
  <w:num w:numId="39">
    <w:abstractNumId w:val="36"/>
  </w:num>
  <w:num w:numId="40">
    <w:abstractNumId w:val="57"/>
  </w:num>
  <w:num w:numId="41">
    <w:abstractNumId w:val="64"/>
  </w:num>
  <w:num w:numId="42">
    <w:abstractNumId w:val="21"/>
  </w:num>
  <w:num w:numId="43">
    <w:abstractNumId w:val="59"/>
  </w:num>
  <w:num w:numId="44">
    <w:abstractNumId w:val="58"/>
  </w:num>
  <w:num w:numId="45">
    <w:abstractNumId w:val="16"/>
  </w:num>
  <w:num w:numId="46">
    <w:abstractNumId w:val="61"/>
  </w:num>
  <w:num w:numId="47">
    <w:abstractNumId w:val="22"/>
  </w:num>
  <w:num w:numId="48">
    <w:abstractNumId w:val="78"/>
  </w:num>
  <w:num w:numId="49">
    <w:abstractNumId w:val="74"/>
  </w:num>
  <w:num w:numId="50">
    <w:abstractNumId w:val="15"/>
  </w:num>
  <w:num w:numId="51">
    <w:abstractNumId w:val="37"/>
  </w:num>
  <w:num w:numId="52">
    <w:abstractNumId w:val="70"/>
  </w:num>
  <w:num w:numId="53">
    <w:abstractNumId w:val="28"/>
  </w:num>
  <w:num w:numId="54">
    <w:abstractNumId w:val="63"/>
  </w:num>
  <w:num w:numId="55">
    <w:abstractNumId w:val="31"/>
  </w:num>
  <w:num w:numId="56">
    <w:abstractNumId w:val="35"/>
  </w:num>
  <w:num w:numId="57">
    <w:abstractNumId w:val="67"/>
  </w:num>
  <w:num w:numId="58">
    <w:abstractNumId w:val="41"/>
  </w:num>
  <w:num w:numId="59">
    <w:abstractNumId w:val="17"/>
  </w:num>
  <w:num w:numId="60">
    <w:abstractNumId w:val="13"/>
  </w:num>
  <w:num w:numId="61">
    <w:abstractNumId w:val="80"/>
  </w:num>
  <w:num w:numId="62">
    <w:abstractNumId w:val="40"/>
  </w:num>
  <w:num w:numId="63">
    <w:abstractNumId w:val="38"/>
  </w:num>
  <w:num w:numId="64">
    <w:abstractNumId w:val="43"/>
  </w:num>
  <w:num w:numId="65">
    <w:abstractNumId w:val="30"/>
  </w:num>
  <w:num w:numId="66">
    <w:abstractNumId w:val="34"/>
  </w:num>
  <w:num w:numId="67">
    <w:abstractNumId w:val="69"/>
  </w:num>
  <w:num w:numId="68">
    <w:abstractNumId w:val="4"/>
  </w:num>
  <w:num w:numId="69">
    <w:abstractNumId w:val="33"/>
  </w:num>
  <w:num w:numId="70">
    <w:abstractNumId w:val="82"/>
  </w:num>
  <w:num w:numId="71">
    <w:abstractNumId w:val="14"/>
  </w:num>
  <w:num w:numId="72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3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4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5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6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7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8">
    <w:abstractNumId w:val="0"/>
  </w:num>
  <w:num w:numId="79">
    <w:abstractNumId w:val="39"/>
  </w:num>
  <w:num w:numId="80">
    <w:abstractNumId w:val="54"/>
  </w:num>
  <w:num w:numId="81">
    <w:abstractNumId w:val="24"/>
  </w:num>
  <w:num w:numId="82">
    <w:abstractNumId w:val="3"/>
  </w:num>
  <w:num w:numId="83">
    <w:abstractNumId w:val="9"/>
  </w:num>
  <w:num w:numId="84">
    <w:abstractNumId w:val="48"/>
  </w:num>
  <w:num w:numId="85">
    <w:abstractNumId w:val="52"/>
  </w:num>
  <w:num w:numId="86">
    <w:abstractNumId w:val="55"/>
  </w:num>
  <w:num w:numId="87">
    <w:abstractNumId w:val="12"/>
  </w:num>
  <w:num w:numId="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</w:num>
  <w:num w:numId="90">
    <w:abstractNumId w:val="68"/>
  </w:num>
  <w:num w:numId="91">
    <w:abstractNumId w:val="60"/>
  </w:num>
  <w:numIdMacAtCleanup w:val="1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linkStyles/>
  <w:stylePaneFormatFilter w:val="3F01"/>
  <w:defaultTabStop w:val="709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WfColors" w:val="1"/>
  </w:docVars>
  <w:rsids>
    <w:rsidRoot w:val="00B55FB9"/>
    <w:rsid w:val="000009D6"/>
    <w:rsid w:val="00007E82"/>
    <w:rsid w:val="000118C3"/>
    <w:rsid w:val="0001287F"/>
    <w:rsid w:val="00013B93"/>
    <w:rsid w:val="00014352"/>
    <w:rsid w:val="000179D0"/>
    <w:rsid w:val="00022BCE"/>
    <w:rsid w:val="00024CAC"/>
    <w:rsid w:val="00033FC5"/>
    <w:rsid w:val="0004376F"/>
    <w:rsid w:val="00046739"/>
    <w:rsid w:val="000601F8"/>
    <w:rsid w:val="000616CF"/>
    <w:rsid w:val="00061B1D"/>
    <w:rsid w:val="00066E88"/>
    <w:rsid w:val="00071B40"/>
    <w:rsid w:val="00077BE0"/>
    <w:rsid w:val="000849E9"/>
    <w:rsid w:val="00085DD7"/>
    <w:rsid w:val="00092E49"/>
    <w:rsid w:val="00093E14"/>
    <w:rsid w:val="000A457C"/>
    <w:rsid w:val="000B5E5B"/>
    <w:rsid w:val="000C6B8D"/>
    <w:rsid w:val="000D1890"/>
    <w:rsid w:val="000D6230"/>
    <w:rsid w:val="000E52E5"/>
    <w:rsid w:val="000F29D3"/>
    <w:rsid w:val="000F7DA4"/>
    <w:rsid w:val="0010178A"/>
    <w:rsid w:val="00103612"/>
    <w:rsid w:val="00105C8A"/>
    <w:rsid w:val="00110BCB"/>
    <w:rsid w:val="0011163D"/>
    <w:rsid w:val="00114BA7"/>
    <w:rsid w:val="00116780"/>
    <w:rsid w:val="00127F9C"/>
    <w:rsid w:val="0014409A"/>
    <w:rsid w:val="00153414"/>
    <w:rsid w:val="00157576"/>
    <w:rsid w:val="00182D9F"/>
    <w:rsid w:val="001852AD"/>
    <w:rsid w:val="001858C7"/>
    <w:rsid w:val="001A1D13"/>
    <w:rsid w:val="001A4B07"/>
    <w:rsid w:val="001A7081"/>
    <w:rsid w:val="001B637B"/>
    <w:rsid w:val="001C1B9E"/>
    <w:rsid w:val="001C2B9A"/>
    <w:rsid w:val="001C69D2"/>
    <w:rsid w:val="001E4ACC"/>
    <w:rsid w:val="00204C13"/>
    <w:rsid w:val="002104EB"/>
    <w:rsid w:val="0021493E"/>
    <w:rsid w:val="002154AA"/>
    <w:rsid w:val="002301DE"/>
    <w:rsid w:val="00240A58"/>
    <w:rsid w:val="00246155"/>
    <w:rsid w:val="0024690B"/>
    <w:rsid w:val="002532F6"/>
    <w:rsid w:val="00257080"/>
    <w:rsid w:val="002632F4"/>
    <w:rsid w:val="00263A16"/>
    <w:rsid w:val="002934BB"/>
    <w:rsid w:val="0029402E"/>
    <w:rsid w:val="00295F3B"/>
    <w:rsid w:val="00296758"/>
    <w:rsid w:val="00297340"/>
    <w:rsid w:val="0029756D"/>
    <w:rsid w:val="002A0C66"/>
    <w:rsid w:val="002A4126"/>
    <w:rsid w:val="002A5049"/>
    <w:rsid w:val="002B6429"/>
    <w:rsid w:val="002C23DD"/>
    <w:rsid w:val="002C3E0C"/>
    <w:rsid w:val="002C3F21"/>
    <w:rsid w:val="002D3A28"/>
    <w:rsid w:val="002E0716"/>
    <w:rsid w:val="002E1630"/>
    <w:rsid w:val="002E7581"/>
    <w:rsid w:val="002F2779"/>
    <w:rsid w:val="002F4DC0"/>
    <w:rsid w:val="002F572B"/>
    <w:rsid w:val="003052AB"/>
    <w:rsid w:val="003153D6"/>
    <w:rsid w:val="00315D7B"/>
    <w:rsid w:val="00316021"/>
    <w:rsid w:val="00322289"/>
    <w:rsid w:val="00342632"/>
    <w:rsid w:val="00363852"/>
    <w:rsid w:val="00364637"/>
    <w:rsid w:val="00367020"/>
    <w:rsid w:val="00372B38"/>
    <w:rsid w:val="003734A8"/>
    <w:rsid w:val="00375AFD"/>
    <w:rsid w:val="003761F1"/>
    <w:rsid w:val="003776CA"/>
    <w:rsid w:val="00386ED4"/>
    <w:rsid w:val="0039173E"/>
    <w:rsid w:val="00392EDB"/>
    <w:rsid w:val="00397DE2"/>
    <w:rsid w:val="003A0A88"/>
    <w:rsid w:val="003A1C66"/>
    <w:rsid w:val="003A4611"/>
    <w:rsid w:val="003A571A"/>
    <w:rsid w:val="003A6E6B"/>
    <w:rsid w:val="003C11B8"/>
    <w:rsid w:val="003D3A65"/>
    <w:rsid w:val="003E1A60"/>
    <w:rsid w:val="003E632B"/>
    <w:rsid w:val="003F0A39"/>
    <w:rsid w:val="003F2D7F"/>
    <w:rsid w:val="003F3338"/>
    <w:rsid w:val="003F34FD"/>
    <w:rsid w:val="00400DCF"/>
    <w:rsid w:val="00400EE6"/>
    <w:rsid w:val="00401CB2"/>
    <w:rsid w:val="00402F26"/>
    <w:rsid w:val="00402F51"/>
    <w:rsid w:val="004031EF"/>
    <w:rsid w:val="00405F35"/>
    <w:rsid w:val="0040732E"/>
    <w:rsid w:val="0041197B"/>
    <w:rsid w:val="0041294F"/>
    <w:rsid w:val="00414810"/>
    <w:rsid w:val="0041515C"/>
    <w:rsid w:val="00420CA7"/>
    <w:rsid w:val="004252AE"/>
    <w:rsid w:val="00425432"/>
    <w:rsid w:val="004337D5"/>
    <w:rsid w:val="00434619"/>
    <w:rsid w:val="0043625F"/>
    <w:rsid w:val="00436FB7"/>
    <w:rsid w:val="0044597B"/>
    <w:rsid w:val="0044724D"/>
    <w:rsid w:val="0045219F"/>
    <w:rsid w:val="00453E7F"/>
    <w:rsid w:val="0045568C"/>
    <w:rsid w:val="004606B9"/>
    <w:rsid w:val="00464FBA"/>
    <w:rsid w:val="00470286"/>
    <w:rsid w:val="004734FC"/>
    <w:rsid w:val="00474085"/>
    <w:rsid w:val="00481190"/>
    <w:rsid w:val="00482546"/>
    <w:rsid w:val="00482ECB"/>
    <w:rsid w:val="0048357E"/>
    <w:rsid w:val="00484027"/>
    <w:rsid w:val="00484B20"/>
    <w:rsid w:val="00484B29"/>
    <w:rsid w:val="0048610A"/>
    <w:rsid w:val="004862FA"/>
    <w:rsid w:val="00490A58"/>
    <w:rsid w:val="0049666E"/>
    <w:rsid w:val="004A1F6A"/>
    <w:rsid w:val="004A2972"/>
    <w:rsid w:val="004A4B95"/>
    <w:rsid w:val="004A6CCC"/>
    <w:rsid w:val="004B147D"/>
    <w:rsid w:val="004C53B0"/>
    <w:rsid w:val="004D10A2"/>
    <w:rsid w:val="004D2C68"/>
    <w:rsid w:val="004D39EB"/>
    <w:rsid w:val="004D43AF"/>
    <w:rsid w:val="004D4A2E"/>
    <w:rsid w:val="004E0667"/>
    <w:rsid w:val="004E0C7F"/>
    <w:rsid w:val="004E518B"/>
    <w:rsid w:val="004F1EDC"/>
    <w:rsid w:val="0051167D"/>
    <w:rsid w:val="00513961"/>
    <w:rsid w:val="00521EA0"/>
    <w:rsid w:val="00547A96"/>
    <w:rsid w:val="0055294B"/>
    <w:rsid w:val="0055578E"/>
    <w:rsid w:val="00555BB8"/>
    <w:rsid w:val="0056257F"/>
    <w:rsid w:val="0056322C"/>
    <w:rsid w:val="00567D61"/>
    <w:rsid w:val="00583E05"/>
    <w:rsid w:val="005A0871"/>
    <w:rsid w:val="005A1B05"/>
    <w:rsid w:val="005A27AD"/>
    <w:rsid w:val="005A2D2A"/>
    <w:rsid w:val="005A488F"/>
    <w:rsid w:val="005B2AB5"/>
    <w:rsid w:val="005C3514"/>
    <w:rsid w:val="005D0F4F"/>
    <w:rsid w:val="005D364F"/>
    <w:rsid w:val="005E0539"/>
    <w:rsid w:val="005E0F2E"/>
    <w:rsid w:val="005E7BC5"/>
    <w:rsid w:val="005F267F"/>
    <w:rsid w:val="005F2FDC"/>
    <w:rsid w:val="005F6212"/>
    <w:rsid w:val="00600BEF"/>
    <w:rsid w:val="00614555"/>
    <w:rsid w:val="00614912"/>
    <w:rsid w:val="00617A29"/>
    <w:rsid w:val="00621AB2"/>
    <w:rsid w:val="00621CB2"/>
    <w:rsid w:val="00630AFE"/>
    <w:rsid w:val="00636BD1"/>
    <w:rsid w:val="006416C2"/>
    <w:rsid w:val="00643225"/>
    <w:rsid w:val="00645402"/>
    <w:rsid w:val="00652854"/>
    <w:rsid w:val="00653DF2"/>
    <w:rsid w:val="00663611"/>
    <w:rsid w:val="006657DA"/>
    <w:rsid w:val="00675ABC"/>
    <w:rsid w:val="00675B55"/>
    <w:rsid w:val="00681248"/>
    <w:rsid w:val="006A4F8D"/>
    <w:rsid w:val="006B2C1C"/>
    <w:rsid w:val="006B71EC"/>
    <w:rsid w:val="006D3EA0"/>
    <w:rsid w:val="006D556D"/>
    <w:rsid w:val="006E08D9"/>
    <w:rsid w:val="006F6E94"/>
    <w:rsid w:val="00703FEB"/>
    <w:rsid w:val="00713E9D"/>
    <w:rsid w:val="007221A5"/>
    <w:rsid w:val="007268C3"/>
    <w:rsid w:val="007321BB"/>
    <w:rsid w:val="00742EF9"/>
    <w:rsid w:val="0074334F"/>
    <w:rsid w:val="00743E6E"/>
    <w:rsid w:val="00754FE1"/>
    <w:rsid w:val="00760216"/>
    <w:rsid w:val="0076384B"/>
    <w:rsid w:val="00766AE6"/>
    <w:rsid w:val="007675F3"/>
    <w:rsid w:val="007708B6"/>
    <w:rsid w:val="00771ACA"/>
    <w:rsid w:val="007735EA"/>
    <w:rsid w:val="007739F4"/>
    <w:rsid w:val="0077715C"/>
    <w:rsid w:val="007854C6"/>
    <w:rsid w:val="00791DA8"/>
    <w:rsid w:val="007A393F"/>
    <w:rsid w:val="007B5212"/>
    <w:rsid w:val="007B6A98"/>
    <w:rsid w:val="007D2856"/>
    <w:rsid w:val="007D292C"/>
    <w:rsid w:val="007D29F2"/>
    <w:rsid w:val="007D4A04"/>
    <w:rsid w:val="007D5FFB"/>
    <w:rsid w:val="007D7C93"/>
    <w:rsid w:val="007E15BB"/>
    <w:rsid w:val="007F1906"/>
    <w:rsid w:val="007F6C47"/>
    <w:rsid w:val="00801EE1"/>
    <w:rsid w:val="00812B10"/>
    <w:rsid w:val="0081343C"/>
    <w:rsid w:val="0082509F"/>
    <w:rsid w:val="008401FE"/>
    <w:rsid w:val="0084543B"/>
    <w:rsid w:val="00846FDE"/>
    <w:rsid w:val="0084774F"/>
    <w:rsid w:val="00847799"/>
    <w:rsid w:val="008536F1"/>
    <w:rsid w:val="0085404C"/>
    <w:rsid w:val="0086165A"/>
    <w:rsid w:val="00865ED5"/>
    <w:rsid w:val="00866A91"/>
    <w:rsid w:val="00866D3D"/>
    <w:rsid w:val="00880038"/>
    <w:rsid w:val="00895BF9"/>
    <w:rsid w:val="008A22F9"/>
    <w:rsid w:val="008A4BB0"/>
    <w:rsid w:val="008C18E9"/>
    <w:rsid w:val="008C22DA"/>
    <w:rsid w:val="008D19BB"/>
    <w:rsid w:val="008D3A59"/>
    <w:rsid w:val="008D6B13"/>
    <w:rsid w:val="008E2468"/>
    <w:rsid w:val="00904689"/>
    <w:rsid w:val="00926C7F"/>
    <w:rsid w:val="00934543"/>
    <w:rsid w:val="00935E0C"/>
    <w:rsid w:val="00963191"/>
    <w:rsid w:val="009635DF"/>
    <w:rsid w:val="00977F12"/>
    <w:rsid w:val="00982EDF"/>
    <w:rsid w:val="00983DDC"/>
    <w:rsid w:val="009845FF"/>
    <w:rsid w:val="009A1B62"/>
    <w:rsid w:val="009B0599"/>
    <w:rsid w:val="009B654F"/>
    <w:rsid w:val="009D1A4D"/>
    <w:rsid w:val="009E5DC9"/>
    <w:rsid w:val="009F4A0B"/>
    <w:rsid w:val="00A0215A"/>
    <w:rsid w:val="00A02D31"/>
    <w:rsid w:val="00A045CB"/>
    <w:rsid w:val="00A0501F"/>
    <w:rsid w:val="00A05D03"/>
    <w:rsid w:val="00A0660F"/>
    <w:rsid w:val="00A15F7F"/>
    <w:rsid w:val="00A21715"/>
    <w:rsid w:val="00A26897"/>
    <w:rsid w:val="00A27177"/>
    <w:rsid w:val="00A31D93"/>
    <w:rsid w:val="00A35FFF"/>
    <w:rsid w:val="00A361AC"/>
    <w:rsid w:val="00A42629"/>
    <w:rsid w:val="00A44E89"/>
    <w:rsid w:val="00A4663A"/>
    <w:rsid w:val="00A5093D"/>
    <w:rsid w:val="00A5508B"/>
    <w:rsid w:val="00A60730"/>
    <w:rsid w:val="00A66FE1"/>
    <w:rsid w:val="00A71845"/>
    <w:rsid w:val="00A74941"/>
    <w:rsid w:val="00A7533E"/>
    <w:rsid w:val="00A86D7D"/>
    <w:rsid w:val="00A94797"/>
    <w:rsid w:val="00A975AF"/>
    <w:rsid w:val="00AA249A"/>
    <w:rsid w:val="00AA2A7F"/>
    <w:rsid w:val="00AA6251"/>
    <w:rsid w:val="00AA6933"/>
    <w:rsid w:val="00AB0130"/>
    <w:rsid w:val="00AB102F"/>
    <w:rsid w:val="00AB7D32"/>
    <w:rsid w:val="00AC572B"/>
    <w:rsid w:val="00AC74E6"/>
    <w:rsid w:val="00AD21D7"/>
    <w:rsid w:val="00AD55B3"/>
    <w:rsid w:val="00AD7266"/>
    <w:rsid w:val="00AE624F"/>
    <w:rsid w:val="00B019BA"/>
    <w:rsid w:val="00B01FF7"/>
    <w:rsid w:val="00B03532"/>
    <w:rsid w:val="00B057D2"/>
    <w:rsid w:val="00B165C2"/>
    <w:rsid w:val="00B21E79"/>
    <w:rsid w:val="00B23C29"/>
    <w:rsid w:val="00B34F33"/>
    <w:rsid w:val="00B43FFC"/>
    <w:rsid w:val="00B442F5"/>
    <w:rsid w:val="00B54D93"/>
    <w:rsid w:val="00B5621D"/>
    <w:rsid w:val="00B576B7"/>
    <w:rsid w:val="00B63768"/>
    <w:rsid w:val="00B66885"/>
    <w:rsid w:val="00B67ACA"/>
    <w:rsid w:val="00B756E9"/>
    <w:rsid w:val="00B7759C"/>
    <w:rsid w:val="00B8359F"/>
    <w:rsid w:val="00BA3F99"/>
    <w:rsid w:val="00BA7E48"/>
    <w:rsid w:val="00BB04A3"/>
    <w:rsid w:val="00BB08A9"/>
    <w:rsid w:val="00BB090B"/>
    <w:rsid w:val="00BB32C0"/>
    <w:rsid w:val="00BB3FE0"/>
    <w:rsid w:val="00BB7175"/>
    <w:rsid w:val="00BC3D98"/>
    <w:rsid w:val="00BC4CF7"/>
    <w:rsid w:val="00BD2FBF"/>
    <w:rsid w:val="00BE0DDF"/>
    <w:rsid w:val="00BE2C2A"/>
    <w:rsid w:val="00BE325E"/>
    <w:rsid w:val="00BE525D"/>
    <w:rsid w:val="00BE5B03"/>
    <w:rsid w:val="00BF28BC"/>
    <w:rsid w:val="00C10B2E"/>
    <w:rsid w:val="00C11EEA"/>
    <w:rsid w:val="00C318CC"/>
    <w:rsid w:val="00C372E8"/>
    <w:rsid w:val="00C53DB9"/>
    <w:rsid w:val="00C53FDC"/>
    <w:rsid w:val="00C554A3"/>
    <w:rsid w:val="00C55CC7"/>
    <w:rsid w:val="00C6185C"/>
    <w:rsid w:val="00C63937"/>
    <w:rsid w:val="00C6396C"/>
    <w:rsid w:val="00C64185"/>
    <w:rsid w:val="00C649AA"/>
    <w:rsid w:val="00C65DED"/>
    <w:rsid w:val="00C66333"/>
    <w:rsid w:val="00C7212B"/>
    <w:rsid w:val="00C75995"/>
    <w:rsid w:val="00C8048D"/>
    <w:rsid w:val="00C80C70"/>
    <w:rsid w:val="00C81198"/>
    <w:rsid w:val="00C91FC2"/>
    <w:rsid w:val="00CA0374"/>
    <w:rsid w:val="00CB6C53"/>
    <w:rsid w:val="00CC3198"/>
    <w:rsid w:val="00CD4854"/>
    <w:rsid w:val="00CE0C78"/>
    <w:rsid w:val="00CE667A"/>
    <w:rsid w:val="00CE7DB2"/>
    <w:rsid w:val="00CF0789"/>
    <w:rsid w:val="00CF39F2"/>
    <w:rsid w:val="00CF7185"/>
    <w:rsid w:val="00D037F1"/>
    <w:rsid w:val="00D0401D"/>
    <w:rsid w:val="00D04E23"/>
    <w:rsid w:val="00D12046"/>
    <w:rsid w:val="00D12301"/>
    <w:rsid w:val="00D2099C"/>
    <w:rsid w:val="00D21EB3"/>
    <w:rsid w:val="00D24408"/>
    <w:rsid w:val="00D24C01"/>
    <w:rsid w:val="00D265BC"/>
    <w:rsid w:val="00D42204"/>
    <w:rsid w:val="00D6080D"/>
    <w:rsid w:val="00D62D20"/>
    <w:rsid w:val="00D65346"/>
    <w:rsid w:val="00D656B3"/>
    <w:rsid w:val="00D7046B"/>
    <w:rsid w:val="00D71EEA"/>
    <w:rsid w:val="00D725DD"/>
    <w:rsid w:val="00D72FA4"/>
    <w:rsid w:val="00D771EB"/>
    <w:rsid w:val="00D8183C"/>
    <w:rsid w:val="00D840B7"/>
    <w:rsid w:val="00DA3EE3"/>
    <w:rsid w:val="00DB537F"/>
    <w:rsid w:val="00DB6A0D"/>
    <w:rsid w:val="00DB7D44"/>
    <w:rsid w:val="00DC12E3"/>
    <w:rsid w:val="00DC1925"/>
    <w:rsid w:val="00DE0277"/>
    <w:rsid w:val="00DE751D"/>
    <w:rsid w:val="00DF16C2"/>
    <w:rsid w:val="00E04EDE"/>
    <w:rsid w:val="00E075F0"/>
    <w:rsid w:val="00E1386A"/>
    <w:rsid w:val="00E13B97"/>
    <w:rsid w:val="00E17F01"/>
    <w:rsid w:val="00E2432B"/>
    <w:rsid w:val="00E27936"/>
    <w:rsid w:val="00E31B20"/>
    <w:rsid w:val="00E32527"/>
    <w:rsid w:val="00E4082F"/>
    <w:rsid w:val="00E41803"/>
    <w:rsid w:val="00E42B58"/>
    <w:rsid w:val="00E439E7"/>
    <w:rsid w:val="00E44BB6"/>
    <w:rsid w:val="00E54D2C"/>
    <w:rsid w:val="00E600E1"/>
    <w:rsid w:val="00E72283"/>
    <w:rsid w:val="00E74950"/>
    <w:rsid w:val="00E87900"/>
    <w:rsid w:val="00E93766"/>
    <w:rsid w:val="00E949C9"/>
    <w:rsid w:val="00E94CD9"/>
    <w:rsid w:val="00EA592F"/>
    <w:rsid w:val="00EA640A"/>
    <w:rsid w:val="00EB09F2"/>
    <w:rsid w:val="00EB18A7"/>
    <w:rsid w:val="00EB4448"/>
    <w:rsid w:val="00EB6DD2"/>
    <w:rsid w:val="00EC07CD"/>
    <w:rsid w:val="00EC769F"/>
    <w:rsid w:val="00ED5769"/>
    <w:rsid w:val="00EE4F51"/>
    <w:rsid w:val="00F014CD"/>
    <w:rsid w:val="00F01DAD"/>
    <w:rsid w:val="00F02883"/>
    <w:rsid w:val="00F05D23"/>
    <w:rsid w:val="00F104CA"/>
    <w:rsid w:val="00F154BC"/>
    <w:rsid w:val="00F220DE"/>
    <w:rsid w:val="00F23CD8"/>
    <w:rsid w:val="00F26AFC"/>
    <w:rsid w:val="00F354E5"/>
    <w:rsid w:val="00F37136"/>
    <w:rsid w:val="00F404BB"/>
    <w:rsid w:val="00F40621"/>
    <w:rsid w:val="00F43D4A"/>
    <w:rsid w:val="00F45A8D"/>
    <w:rsid w:val="00F4647D"/>
    <w:rsid w:val="00F47FF0"/>
    <w:rsid w:val="00F519B3"/>
    <w:rsid w:val="00F6736E"/>
    <w:rsid w:val="00F67B47"/>
    <w:rsid w:val="00F712D0"/>
    <w:rsid w:val="00F74372"/>
    <w:rsid w:val="00F817CF"/>
    <w:rsid w:val="00F908CF"/>
    <w:rsid w:val="00FA0369"/>
    <w:rsid w:val="00FB1B95"/>
    <w:rsid w:val="00FB253F"/>
    <w:rsid w:val="00FB6019"/>
    <w:rsid w:val="00FB6E33"/>
    <w:rsid w:val="00FC0D79"/>
    <w:rsid w:val="00FC71E3"/>
    <w:rsid w:val="00FD2E90"/>
    <w:rsid w:val="00FD3E2F"/>
    <w:rsid w:val="00FD4BAE"/>
    <w:rsid w:val="00FD4BDF"/>
    <w:rsid w:val="00FD665E"/>
    <w:rsid w:val="00FD7C94"/>
    <w:rsid w:val="00FE1A8C"/>
    <w:rsid w:val="00FE331D"/>
    <w:rsid w:val="00FE3BC8"/>
    <w:rsid w:val="00FE41D7"/>
    <w:rsid w:val="00FE64D0"/>
    <w:rsid w:val="00FE7280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4C"/>
    <w:pPr>
      <w:jc w:val="both"/>
    </w:pPr>
    <w:rPr>
      <w:rFonts w:eastAsia="MS Mincho"/>
      <w:sz w:val="22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85404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5404C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404C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nhideWhenUsed/>
    <w:rsid w:val="0085404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85404C"/>
  </w:style>
  <w:style w:type="paragraph" w:customStyle="1" w:styleId="IPPNormal">
    <w:name w:val="IPP Normal"/>
    <w:basedOn w:val="Normal"/>
    <w:link w:val="IPPNormalChar"/>
    <w:qFormat/>
    <w:rsid w:val="0085404C"/>
    <w:pPr>
      <w:spacing w:after="180"/>
    </w:pPr>
    <w:rPr>
      <w:rFonts w:eastAsia="Times"/>
      <w:lang/>
    </w:rPr>
  </w:style>
  <w:style w:type="paragraph" w:customStyle="1" w:styleId="IPPAnnexHead">
    <w:name w:val="IPP AnnexHead"/>
    <w:basedOn w:val="IPPNormal"/>
    <w:next w:val="IPPNormal"/>
    <w:qFormat/>
    <w:rsid w:val="0085404C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85404C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85404C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85404C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85404C"/>
    <w:pPr>
      <w:numPr>
        <w:numId w:val="90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85404C"/>
    <w:pPr>
      <w:numPr>
        <w:numId w:val="2"/>
      </w:numPr>
    </w:pPr>
  </w:style>
  <w:style w:type="paragraph" w:customStyle="1" w:styleId="IPPBullet2">
    <w:name w:val="IPP Bullet2"/>
    <w:basedOn w:val="IPPNormal"/>
    <w:next w:val="IPPBullet1"/>
    <w:qFormat/>
    <w:rsid w:val="0085404C"/>
    <w:pPr>
      <w:numPr>
        <w:numId w:val="3"/>
      </w:numPr>
      <w:tabs>
        <w:tab w:val="left" w:pos="1134"/>
      </w:tabs>
      <w:spacing w:after="60"/>
      <w:ind w:left="1134" w:hanging="567"/>
    </w:pPr>
  </w:style>
  <w:style w:type="paragraph" w:customStyle="1" w:styleId="IPPSubhead">
    <w:name w:val="IPP Subhead"/>
    <w:basedOn w:val="Normal"/>
    <w:qFormat/>
    <w:rsid w:val="0085404C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85404C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85404C"/>
    <w:pPr>
      <w:numPr>
        <w:numId w:val="69"/>
      </w:numPr>
    </w:pPr>
  </w:style>
  <w:style w:type="paragraph" w:customStyle="1" w:styleId="IPPHdg2Num">
    <w:name w:val="IPP Hdg2Num"/>
    <w:basedOn w:val="IPPHeading2"/>
    <w:next w:val="IPPNormal"/>
    <w:qFormat/>
    <w:rsid w:val="0085404C"/>
    <w:pPr>
      <w:numPr>
        <w:ilvl w:val="1"/>
        <w:numId w:val="70"/>
      </w:numPr>
    </w:pPr>
  </w:style>
  <w:style w:type="paragraph" w:customStyle="1" w:styleId="IPPHeading1">
    <w:name w:val="IPP Heading1"/>
    <w:basedOn w:val="IPPNormal"/>
    <w:next w:val="IPPNormal"/>
    <w:qFormat/>
    <w:rsid w:val="0085404C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85404C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85404C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85404C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85404C"/>
    <w:pPr>
      <w:spacing w:after="180"/>
    </w:pPr>
  </w:style>
  <w:style w:type="paragraph" w:customStyle="1" w:styleId="IPPLetterList">
    <w:name w:val="IPP LetterList"/>
    <w:basedOn w:val="IPPBullet2"/>
    <w:qFormat/>
    <w:rsid w:val="0085404C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85404C"/>
    <w:pPr>
      <w:numPr>
        <w:numId w:val="5"/>
      </w:numPr>
    </w:pPr>
  </w:style>
  <w:style w:type="numbering" w:customStyle="1" w:styleId="IPPList">
    <w:name w:val="IPP List"/>
    <w:rsid w:val="00215D24"/>
    <w:pPr>
      <w:numPr>
        <w:numId w:val="6"/>
      </w:numPr>
    </w:pPr>
  </w:style>
  <w:style w:type="paragraph" w:customStyle="1" w:styleId="IPPNormalCloseSpace">
    <w:name w:val="IPP NormalCloseSpace"/>
    <w:basedOn w:val="Normal"/>
    <w:qFormat/>
    <w:rsid w:val="0085404C"/>
    <w:pPr>
      <w:keepNext/>
      <w:spacing w:after="60"/>
    </w:pPr>
  </w:style>
  <w:style w:type="paragraph" w:customStyle="1" w:styleId="IPPNumber">
    <w:name w:val="IPP Number"/>
    <w:basedOn w:val="IPPNormal"/>
    <w:qFormat/>
    <w:rsid w:val="00215D24"/>
  </w:style>
  <w:style w:type="paragraph" w:customStyle="1" w:styleId="IPPNumberClose">
    <w:name w:val="IPP NumberClose"/>
    <w:basedOn w:val="Normal"/>
    <w:qFormat/>
    <w:rsid w:val="00215D24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85404C"/>
    <w:pPr>
      <w:numPr>
        <w:numId w:val="78"/>
      </w:numPr>
    </w:pPr>
  </w:style>
  <w:style w:type="paragraph" w:customStyle="1" w:styleId="IPPNumberedListLast">
    <w:name w:val="IPP NumberedListLast"/>
    <w:basedOn w:val="IPPNumberedList"/>
    <w:qFormat/>
    <w:rsid w:val="00215D24"/>
    <w:pPr>
      <w:spacing w:after="180"/>
    </w:pPr>
  </w:style>
  <w:style w:type="paragraph" w:customStyle="1" w:styleId="IPPNumberSubhead">
    <w:name w:val="IPP NumberSubhead"/>
    <w:basedOn w:val="IPPNumber"/>
    <w:qFormat/>
    <w:rsid w:val="00215D24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85404C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85404C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85404C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85404C"/>
    <w:pPr>
      <w:spacing w:after="60"/>
    </w:pPr>
  </w:style>
  <w:style w:type="paragraph" w:customStyle="1" w:styleId="IPPSubheadNumber">
    <w:name w:val="IPP SubheadNumber"/>
    <w:basedOn w:val="IPPSubhead"/>
    <w:qFormat/>
    <w:rsid w:val="00215D24"/>
    <w:pPr>
      <w:ind w:left="0" w:firstLine="0"/>
    </w:pPr>
  </w:style>
  <w:style w:type="paragraph" w:customStyle="1" w:styleId="IPPTitle16pt">
    <w:name w:val="IPP Title16pt"/>
    <w:basedOn w:val="Normal"/>
    <w:qFormat/>
    <w:rsid w:val="0085404C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215D2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85404C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215D24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215D24"/>
    <w:pPr>
      <w:spacing w:after="180"/>
    </w:pPr>
  </w:style>
  <w:style w:type="paragraph" w:styleId="Header">
    <w:name w:val="header"/>
    <w:basedOn w:val="Normal"/>
    <w:link w:val="HeaderChar"/>
    <w:rsid w:val="00854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04C"/>
    <w:rPr>
      <w:rFonts w:eastAsia="MS Mincho"/>
      <w:sz w:val="22"/>
      <w:szCs w:val="24"/>
      <w:lang w:val="en-GB"/>
    </w:rPr>
  </w:style>
  <w:style w:type="paragraph" w:styleId="Footer">
    <w:name w:val="footer"/>
    <w:basedOn w:val="Normal"/>
    <w:link w:val="FooterChar"/>
    <w:rsid w:val="00854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04C"/>
    <w:rPr>
      <w:rFonts w:eastAsia="MS Mincho"/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854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04C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1A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1AB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CE41AB"/>
    <w:rPr>
      <w:sz w:val="22"/>
      <w:szCs w:val="24"/>
      <w:lang w:val="en-GB" w:eastAsia="en-GB"/>
    </w:rPr>
  </w:style>
  <w:style w:type="character" w:styleId="PageNumber">
    <w:name w:val="page number"/>
    <w:rsid w:val="0085404C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unhideWhenUsed/>
    <w:rsid w:val="004D10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9D6"/>
    <w:rPr>
      <w:color w:val="800080"/>
      <w:u w:val="single"/>
    </w:rPr>
  </w:style>
  <w:style w:type="numbering" w:customStyle="1" w:styleId="IPPList1">
    <w:name w:val="IPP List1"/>
    <w:rsid w:val="008A22F9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rsid w:val="0085404C"/>
    <w:rPr>
      <w:rFonts w:eastAsia="MS Mincho"/>
      <w:b/>
      <w:bCs/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5404C"/>
    <w:rPr>
      <w:rFonts w:ascii="Calibri" w:eastAsia="MS Mincho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5404C"/>
    <w:rPr>
      <w:rFonts w:ascii="Calibri" w:eastAsia="MS Mincho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85404C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404C"/>
    <w:rPr>
      <w:rFonts w:eastAsia="MS Mincho"/>
      <w:szCs w:val="24"/>
      <w:lang w:val="en-GB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basedOn w:val="DefaultParagraphFont"/>
    <w:semiHidden/>
    <w:rsid w:val="0085404C"/>
    <w:rPr>
      <w:vertAlign w:val="superscript"/>
    </w:rPr>
  </w:style>
  <w:style w:type="paragraph" w:customStyle="1" w:styleId="Style">
    <w:name w:val="Style"/>
    <w:basedOn w:val="Footer"/>
    <w:autoRedefine/>
    <w:qFormat/>
    <w:rsid w:val="0085404C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eastAsia="en-GB"/>
    </w:rPr>
  </w:style>
  <w:style w:type="table" w:styleId="TableGrid">
    <w:name w:val="Table Grid"/>
    <w:basedOn w:val="TableNormal"/>
    <w:rsid w:val="0085404C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Footnote">
    <w:name w:val="IPP Footnote"/>
    <w:basedOn w:val="IPPArialFootnote"/>
    <w:qFormat/>
    <w:rsid w:val="0085404C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32228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85404C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85404C"/>
    <w:rPr>
      <w:rFonts w:ascii="Times New Roman" w:hAnsi="Times New Roman"/>
      <w:b/>
      <w:sz w:val="22"/>
    </w:rPr>
  </w:style>
  <w:style w:type="character" w:customStyle="1" w:styleId="IPPNormalunderlined">
    <w:name w:val="IPP Normal underlined"/>
    <w:basedOn w:val="DefaultParagraphFont"/>
    <w:rsid w:val="0085404C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85404C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85404C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85404C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85404C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85404C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85404C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85404C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85404C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85404C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85404C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85404C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85404C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85404C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85404C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85404C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5404C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85404C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styleId="Revision">
    <w:name w:val="Revision"/>
    <w:hidden/>
    <w:uiPriority w:val="99"/>
    <w:semiHidden/>
    <w:rsid w:val="00D72FA4"/>
    <w:rPr>
      <w:sz w:val="22"/>
      <w:szCs w:val="24"/>
      <w:lang w:val="en-GB"/>
    </w:rPr>
  </w:style>
  <w:style w:type="character" w:styleId="Strong">
    <w:name w:val="Strong"/>
    <w:basedOn w:val="DefaultParagraphFont"/>
    <w:qFormat/>
    <w:rsid w:val="0085404C"/>
    <w:rPr>
      <w:b/>
      <w:bCs/>
    </w:rPr>
  </w:style>
  <w:style w:type="paragraph" w:styleId="NormalWeb">
    <w:name w:val="Normal (Web)"/>
    <w:basedOn w:val="Normal"/>
    <w:uiPriority w:val="99"/>
    <w:unhideWhenUsed/>
    <w:rsid w:val="00C6185C"/>
    <w:pPr>
      <w:spacing w:before="100" w:beforeAutospacing="1" w:after="100" w:afterAutospacing="1"/>
      <w:jc w:val="left"/>
    </w:pPr>
    <w:rPr>
      <w:sz w:val="24"/>
      <w:lang w:val="en-US"/>
    </w:rPr>
  </w:style>
  <w:style w:type="paragraph" w:styleId="NoSpacing">
    <w:name w:val="No Spacing"/>
    <w:basedOn w:val="NormalWeb"/>
    <w:uiPriority w:val="1"/>
    <w:qFormat/>
    <w:rsid w:val="00C6185C"/>
    <w:pPr>
      <w:keepNext/>
      <w:spacing w:before="0" w:beforeAutospacing="0" w:after="60" w:afterAutospacing="0"/>
    </w:pPr>
    <w:rPr>
      <w:rFonts w:ascii="Arial" w:hAnsi="Arial" w:cs="Arial"/>
      <w:i/>
      <w:color w:val="FF0000"/>
      <w:sz w:val="18"/>
      <w:szCs w:val="18"/>
      <w:lang w:val="en-GB"/>
    </w:rPr>
  </w:style>
  <w:style w:type="paragraph" w:customStyle="1" w:styleId="Default">
    <w:name w:val="Default"/>
    <w:rsid w:val="0024690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5404C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Numbering">
    <w:name w:val="IPP ParaNumbering"/>
    <w:basedOn w:val="IPPNormal"/>
    <w:qFormat/>
    <w:rsid w:val="0021493E"/>
    <w:rPr>
      <w:rFonts w:ascii="Arial" w:hAnsi="Arial" w:cs="Arial"/>
      <w:i/>
      <w:color w:val="0000FF"/>
      <w:sz w:val="18"/>
      <w:szCs w:val="18"/>
    </w:rPr>
  </w:style>
  <w:style w:type="character" w:customStyle="1" w:styleId="Overskrift1Tegn">
    <w:name w:val="Overskrift 1 Tegn"/>
    <w:basedOn w:val="DefaultParagraphFont"/>
    <w:link w:val="Overskrift1"/>
    <w:locked/>
    <w:rsid w:val="0021493E"/>
    <w:rPr>
      <w:rFonts w:ascii="Calibri" w:eastAsia="Calibri" w:hAnsi="Calibri"/>
    </w:rPr>
  </w:style>
  <w:style w:type="paragraph" w:customStyle="1" w:styleId="Overskrift1">
    <w:name w:val="Overskrift 1"/>
    <w:basedOn w:val="Normal"/>
    <w:link w:val="Overskrift1Tegn"/>
    <w:rsid w:val="0021493E"/>
    <w:pPr>
      <w:jc w:val="left"/>
    </w:pPr>
    <w:rPr>
      <w:rFonts w:ascii="Calibri" w:eastAsia="Calibri" w:hAnsi="Calibri"/>
      <w:sz w:val="20"/>
      <w:szCs w:val="20"/>
      <w:lang w:val="en-US"/>
    </w:rPr>
  </w:style>
  <w:style w:type="paragraph" w:customStyle="1" w:styleId="IPPHeading30">
    <w:name w:val="IPP Heading3"/>
    <w:basedOn w:val="IPPNormal"/>
    <w:qFormat/>
    <w:rsid w:val="0085404C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Pargraphnumbering">
    <w:name w:val="IPP Pargraph numbering"/>
    <w:basedOn w:val="IPPNormal"/>
    <w:qFormat/>
    <w:rsid w:val="0085404C"/>
    <w:pPr>
      <w:numPr>
        <w:numId w:val="72"/>
      </w:numPr>
    </w:pPr>
    <w:rPr>
      <w:lang w:val="en-US"/>
    </w:rPr>
  </w:style>
  <w:style w:type="paragraph" w:customStyle="1" w:styleId="western">
    <w:name w:val="western"/>
    <w:basedOn w:val="Normal"/>
    <w:rsid w:val="007D7C93"/>
    <w:pPr>
      <w:spacing w:before="100" w:beforeAutospacing="1" w:after="100" w:afterAutospacing="1"/>
      <w:jc w:val="left"/>
    </w:pPr>
    <w:rPr>
      <w:rFonts w:eastAsia="Times New Roman"/>
      <w:sz w:val="24"/>
      <w:lang w:val="en-US"/>
    </w:rPr>
  </w:style>
  <w:style w:type="character" w:customStyle="1" w:styleId="IPPNormalChar">
    <w:name w:val="IPP Normal Char"/>
    <w:link w:val="IPPNormal"/>
    <w:locked/>
    <w:rsid w:val="004337D5"/>
    <w:rPr>
      <w:rFonts w:eastAsia="Times"/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C-OCS@fa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pc.int/index.php?id=1110739&amp;no_cache=1&amp;L=0" TargetMode="External"/><Relationship Id="rId2" Type="http://schemas.openxmlformats.org/officeDocument/2006/relationships/hyperlink" Target="http://ocs.ippc.int/index.html" TargetMode="External"/><Relationship Id="rId1" Type="http://schemas.openxmlformats.org/officeDocument/2006/relationships/hyperlink" Target="https://www.ippc.int/index.php?id=1110739&amp;no_cache=1&amp;L=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3-03-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B066-C50F-4C36-99C7-ACC32CC0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IPPC_2013-03-20.dot</Template>
  <TotalTime>2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2005</vt:lpstr>
      <vt:lpstr>2005</vt:lpstr>
      <vt:lpstr>2005</vt:lpstr>
    </vt:vector>
  </TitlesOfParts>
  <Company>FAO of the UN</Company>
  <LinksUpToDate>false</LinksUpToDate>
  <CharactersWithSpaces>2799</CharactersWithSpaces>
  <SharedDoc>false</SharedDoc>
  <HLinks>
    <vt:vector size="24" baseType="variant"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mailto:IPPC-OCS@fao.org</vt:lpwstr>
      </vt:variant>
      <vt:variant>
        <vt:lpwstr/>
      </vt:variant>
      <vt:variant>
        <vt:i4>1310768</vt:i4>
      </vt:variant>
      <vt:variant>
        <vt:i4>6</vt:i4>
      </vt:variant>
      <vt:variant>
        <vt:i4>0</vt:i4>
      </vt:variant>
      <vt:variant>
        <vt:i4>5</vt:i4>
      </vt:variant>
      <vt:variant>
        <vt:lpwstr>https://www.ippc.int/index.php?id=1110739&amp;no_cache=1&amp;L=0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http://ocs.ippc.int/index.html</vt:lpwstr>
      </vt:variant>
      <vt:variant>
        <vt:lpwstr/>
      </vt:variant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https://www.ippc.int/index.php?id=1110739&amp;no_cache=1&amp;L=0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Juanita Leigh (CPAM)</cp:lastModifiedBy>
  <cp:revision>4</cp:revision>
  <cp:lastPrinted>2013-06-15T16:02:00Z</cp:lastPrinted>
  <dcterms:created xsi:type="dcterms:W3CDTF">2013-06-20T14:16:00Z</dcterms:created>
  <dcterms:modified xsi:type="dcterms:W3CDTF">2013-06-20T14:17:00Z</dcterms:modified>
</cp:coreProperties>
</file>