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18" w:rsidRPr="00CD0218" w:rsidRDefault="00DF45BA" w:rsidP="00CD0218">
      <w:pPr>
        <w:pStyle w:val="NormalWeb"/>
        <w:spacing w:after="120" w:afterAutospacing="0" w:line="330" w:lineRule="atLeast"/>
        <w:jc w:val="both"/>
        <w:rPr>
          <w:rFonts w:ascii="Cambria" w:hAnsi="Cambria" w:cs="Arial"/>
          <w:color w:val="000000"/>
        </w:rPr>
      </w:pPr>
      <w:bookmarkStart w:id="0" w:name="_GoBack"/>
      <w:bookmarkEnd w:id="0"/>
      <w:r w:rsidRPr="00FC01CB">
        <w:rPr>
          <w:rFonts w:ascii="Cambria" w:hAnsi="Cambria" w:cs="Arial"/>
          <w:color w:val="000000"/>
        </w:rPr>
        <w:t>L'Office National de Sécurité Sanitaire des produits Alimentaires (ONSSA)</w:t>
      </w:r>
      <w:r w:rsidRPr="00DF45BA">
        <w:rPr>
          <w:rFonts w:ascii="Cambria" w:hAnsi="Cambria" w:cs="Arial"/>
          <w:color w:val="000000"/>
        </w:rPr>
        <w:t xml:space="preserve"> est un établissement public, sous la tutelle du Ministère chargé de l’Agriculture, créé par la loi</w:t>
      </w:r>
      <w:r w:rsidR="003F3A10">
        <w:rPr>
          <w:rFonts w:ascii="Cambria" w:hAnsi="Cambria" w:cs="Arial"/>
          <w:color w:val="000000"/>
        </w:rPr>
        <w:t xml:space="preserve">  </w:t>
      </w:r>
      <w:r w:rsidRPr="00DF45BA">
        <w:rPr>
          <w:rFonts w:ascii="Cambria" w:hAnsi="Cambria" w:cs="Arial"/>
          <w:color w:val="000000"/>
        </w:rPr>
        <w:t xml:space="preserve"> n° 25-08 et doté de la personnalité morale et de l'autonomie financière. </w:t>
      </w:r>
      <w:r w:rsidR="003F3A10">
        <w:rPr>
          <w:rFonts w:ascii="Cambria" w:hAnsi="Cambria" w:cs="Arial"/>
          <w:color w:val="000000"/>
        </w:rPr>
        <w:t>L’ONSSA</w:t>
      </w:r>
      <w:r w:rsidRPr="00DF45BA">
        <w:rPr>
          <w:rFonts w:ascii="Cambria" w:hAnsi="Cambria" w:cs="Arial"/>
          <w:color w:val="000000"/>
        </w:rPr>
        <w:t xml:space="preserve"> exerce pour le compte de l'Etat les attributions relatives à la protection de la santé du consommateur et à la préservation de la santé des animaux et des végétaux.</w:t>
      </w:r>
    </w:p>
    <w:p w:rsidR="003F3A10" w:rsidRDefault="00CD0218" w:rsidP="00FC01CB">
      <w:pPr>
        <w:pStyle w:val="NormalWeb"/>
        <w:spacing w:after="120" w:afterAutospacing="0" w:line="330" w:lineRule="atLeast"/>
        <w:jc w:val="both"/>
        <w:rPr>
          <w:rFonts w:ascii="Cambria" w:hAnsi="Cambria" w:cs="Arial"/>
          <w:color w:val="000000"/>
        </w:rPr>
      </w:pPr>
      <w:r w:rsidRPr="00CD0218">
        <w:rPr>
          <w:rFonts w:ascii="Cambria" w:hAnsi="Cambria" w:cs="Arial"/>
          <w:color w:val="000000"/>
        </w:rPr>
        <w:t>L’ONSSA d</w:t>
      </w:r>
      <w:r w:rsidR="003F3A10">
        <w:rPr>
          <w:rFonts w:ascii="Cambria" w:hAnsi="Cambria" w:cs="Arial"/>
          <w:color w:val="000000"/>
        </w:rPr>
        <w:t xml:space="preserve">ispose d’une structure centrale </w:t>
      </w:r>
      <w:r w:rsidRPr="00CD0218">
        <w:rPr>
          <w:rFonts w:ascii="Cambria" w:hAnsi="Cambria" w:cs="Arial"/>
          <w:color w:val="000000"/>
        </w:rPr>
        <w:t>constituée d’une Direction Gé</w:t>
      </w:r>
      <w:r w:rsidR="003F3A10">
        <w:rPr>
          <w:rFonts w:ascii="Cambria" w:hAnsi="Cambria" w:cs="Arial"/>
          <w:color w:val="000000"/>
        </w:rPr>
        <w:t xml:space="preserve">nérale, 5 Directions Centrales et d’autres </w:t>
      </w:r>
      <w:r w:rsidRPr="00CD0218">
        <w:rPr>
          <w:rFonts w:ascii="Cambria" w:hAnsi="Cambria" w:cs="Arial"/>
          <w:color w:val="000000"/>
        </w:rPr>
        <w:t>entités rattachées à la Direction Générale</w:t>
      </w:r>
      <w:r w:rsidR="003F3A10">
        <w:rPr>
          <w:rFonts w:ascii="Cambria" w:hAnsi="Cambria" w:cs="Arial"/>
          <w:color w:val="000000"/>
        </w:rPr>
        <w:t>.</w:t>
      </w:r>
      <w:r w:rsidRPr="00CD0218">
        <w:rPr>
          <w:rFonts w:ascii="Cambria" w:hAnsi="Cambria" w:cs="Arial"/>
          <w:color w:val="000000"/>
        </w:rPr>
        <w:t xml:space="preserve"> </w:t>
      </w:r>
      <w:r w:rsidR="003F3A10">
        <w:rPr>
          <w:rFonts w:ascii="Cambria" w:hAnsi="Cambria" w:cs="Arial"/>
          <w:color w:val="000000"/>
        </w:rPr>
        <w:t>Au niveau régional, L’ONSSA est représentée par</w:t>
      </w:r>
      <w:r w:rsidRPr="00CD0218">
        <w:rPr>
          <w:rFonts w:ascii="Cambria" w:hAnsi="Cambria" w:cs="Arial"/>
          <w:color w:val="000000"/>
        </w:rPr>
        <w:t xml:space="preserve"> 10 Directions Régionales réparties sur l’ensemble du territoire.</w:t>
      </w:r>
      <w:r w:rsidR="003F3A10">
        <w:rPr>
          <w:rFonts w:ascii="Cambria" w:hAnsi="Cambria" w:cs="Arial"/>
          <w:color w:val="000000"/>
        </w:rPr>
        <w:t xml:space="preserve"> </w:t>
      </w:r>
    </w:p>
    <w:p w:rsidR="003F3A10" w:rsidRPr="003946B9" w:rsidRDefault="003F3A10" w:rsidP="003F3A10">
      <w:pPr>
        <w:numPr>
          <w:ilvl w:val="12"/>
          <w:numId w:val="0"/>
        </w:numPr>
        <w:tabs>
          <w:tab w:val="left" w:pos="1008"/>
        </w:tabs>
        <w:spacing w:before="120" w:after="120"/>
        <w:jc w:val="both"/>
        <w:rPr>
          <w:rFonts w:ascii="Cambria" w:hAnsi="Cambria"/>
          <w:sz w:val="24"/>
          <w:szCs w:val="24"/>
        </w:rPr>
      </w:pPr>
      <w:r w:rsidRPr="003946B9">
        <w:rPr>
          <w:rFonts w:ascii="Cambria" w:hAnsi="Cambria"/>
          <w:sz w:val="24"/>
          <w:szCs w:val="24"/>
        </w:rPr>
        <w:t>Les missions assignées à l’ONSSA, telles qu’elles sont définies explicitement par l’article 2 de la loi n° 25-08</w:t>
      </w:r>
      <w:r>
        <w:rPr>
          <w:rFonts w:ascii="Cambria" w:hAnsi="Cambria"/>
          <w:sz w:val="24"/>
          <w:szCs w:val="24"/>
        </w:rPr>
        <w:t xml:space="preserve">, </w:t>
      </w:r>
      <w:r w:rsidRPr="003946B9">
        <w:rPr>
          <w:rFonts w:ascii="Cambria" w:hAnsi="Cambria"/>
          <w:sz w:val="24"/>
          <w:szCs w:val="24"/>
        </w:rPr>
        <w:t>sont comme suit :</w:t>
      </w:r>
    </w:p>
    <w:p w:rsidR="00CD0218" w:rsidRDefault="00FC01CB" w:rsidP="0071220B">
      <w:pPr>
        <w:pStyle w:val="NormalWeb"/>
        <w:numPr>
          <w:ilvl w:val="0"/>
          <w:numId w:val="1"/>
        </w:numPr>
        <w:spacing w:after="0" w:afterAutospacing="0" w:line="330" w:lineRule="atLeast"/>
        <w:ind w:left="426" w:hanging="426"/>
        <w:jc w:val="both"/>
        <w:rPr>
          <w:rFonts w:ascii="Cambria" w:hAnsi="Cambria" w:cs="Arial"/>
          <w:color w:val="000000"/>
        </w:rPr>
      </w:pPr>
      <w:r w:rsidRPr="00FC01CB">
        <w:rPr>
          <w:rFonts w:ascii="Cambria" w:hAnsi="Cambria" w:cs="Arial"/>
          <w:color w:val="000000"/>
        </w:rPr>
        <w:t>Assurer la surveillance et la protection sanitaire du patrimoine végétal et animal au niveau national et aux frontières</w:t>
      </w:r>
      <w:r w:rsidR="00CD0218">
        <w:rPr>
          <w:rFonts w:ascii="Cambria" w:hAnsi="Cambria" w:cs="Arial"/>
          <w:color w:val="000000"/>
        </w:rPr>
        <w:t xml:space="preserve"> </w:t>
      </w:r>
      <w:r w:rsidRPr="00FC01CB">
        <w:rPr>
          <w:rFonts w:ascii="Cambria" w:hAnsi="Cambria" w:cs="Arial"/>
          <w:color w:val="000000"/>
        </w:rPr>
        <w:t xml:space="preserve">; </w:t>
      </w:r>
    </w:p>
    <w:p w:rsidR="00CD0218" w:rsidRDefault="00FC01CB" w:rsidP="0071220B">
      <w:pPr>
        <w:pStyle w:val="NormalWeb"/>
        <w:numPr>
          <w:ilvl w:val="0"/>
          <w:numId w:val="1"/>
        </w:numPr>
        <w:spacing w:after="0" w:afterAutospacing="0" w:line="330" w:lineRule="atLeast"/>
        <w:ind w:left="426" w:hanging="426"/>
        <w:jc w:val="both"/>
        <w:rPr>
          <w:rFonts w:ascii="Cambria" w:hAnsi="Cambria" w:cs="Arial"/>
          <w:color w:val="000000"/>
        </w:rPr>
      </w:pPr>
      <w:r w:rsidRPr="00FC01CB">
        <w:rPr>
          <w:rFonts w:ascii="Cambria" w:hAnsi="Cambria" w:cs="Arial"/>
          <w:color w:val="000000"/>
        </w:rPr>
        <w:t>Assurer la sécurité sanitaire des produits alimentaires depuis les matières premières jusqu'au consommateur final, y compris les produits de la pêche et les aliments pour animaux</w:t>
      </w:r>
      <w:r w:rsidR="00CD0218">
        <w:rPr>
          <w:rFonts w:ascii="Cambria" w:hAnsi="Cambria" w:cs="Arial"/>
          <w:color w:val="000000"/>
        </w:rPr>
        <w:t xml:space="preserve"> </w:t>
      </w:r>
      <w:r w:rsidRPr="00FC01CB">
        <w:rPr>
          <w:rFonts w:ascii="Cambria" w:hAnsi="Cambria" w:cs="Arial"/>
          <w:color w:val="000000"/>
        </w:rPr>
        <w:t xml:space="preserve">; </w:t>
      </w:r>
    </w:p>
    <w:p w:rsidR="00CD0218" w:rsidRDefault="00FC01CB" w:rsidP="0071220B">
      <w:pPr>
        <w:pStyle w:val="NormalWeb"/>
        <w:numPr>
          <w:ilvl w:val="0"/>
          <w:numId w:val="7"/>
        </w:numPr>
        <w:spacing w:before="0" w:beforeAutospacing="0" w:after="0" w:afterAutospacing="0" w:line="330" w:lineRule="atLeast"/>
        <w:ind w:left="425" w:hanging="425"/>
        <w:jc w:val="both"/>
        <w:rPr>
          <w:rFonts w:ascii="Cambria" w:hAnsi="Cambria" w:cs="Arial"/>
          <w:color w:val="000000"/>
        </w:rPr>
      </w:pPr>
      <w:r w:rsidRPr="00FC01CB">
        <w:rPr>
          <w:rFonts w:ascii="Cambria" w:hAnsi="Cambria" w:cs="Arial"/>
          <w:color w:val="000000"/>
        </w:rPr>
        <w:t xml:space="preserve">Homologuer et contrôler les intrants agricoles (semences pesticides, engrais) et enregistrer les médicaments </w:t>
      </w:r>
      <w:r w:rsidR="003F3A10" w:rsidRPr="00FC01CB">
        <w:rPr>
          <w:rFonts w:ascii="Cambria" w:hAnsi="Cambria" w:cs="Arial"/>
          <w:color w:val="000000"/>
        </w:rPr>
        <w:t>vétérinaires ;</w:t>
      </w:r>
      <w:r w:rsidRPr="00FC01CB">
        <w:rPr>
          <w:rFonts w:ascii="Cambria" w:hAnsi="Cambria" w:cs="Arial"/>
          <w:color w:val="000000"/>
        </w:rPr>
        <w:t xml:space="preserve"> </w:t>
      </w:r>
    </w:p>
    <w:p w:rsidR="00CD0218" w:rsidRDefault="00FC01CB" w:rsidP="0071220B">
      <w:pPr>
        <w:pStyle w:val="NormalWeb"/>
        <w:numPr>
          <w:ilvl w:val="0"/>
          <w:numId w:val="7"/>
        </w:numPr>
        <w:spacing w:after="0" w:afterAutospacing="0" w:line="330" w:lineRule="atLeast"/>
        <w:ind w:left="426" w:hanging="426"/>
        <w:jc w:val="both"/>
        <w:rPr>
          <w:rFonts w:ascii="Cambria" w:hAnsi="Cambria" w:cs="Arial"/>
          <w:color w:val="000000"/>
        </w:rPr>
      </w:pPr>
      <w:r w:rsidRPr="00FC01CB">
        <w:rPr>
          <w:rFonts w:ascii="Cambria" w:hAnsi="Cambria" w:cs="Arial"/>
          <w:color w:val="000000"/>
        </w:rPr>
        <w:t xml:space="preserve">Appliquer les législations et réglementations relatives à la police sanitaire vétérinaire et phytosanitaire. </w:t>
      </w:r>
    </w:p>
    <w:p w:rsidR="00323E01" w:rsidRDefault="00FC01CB" w:rsidP="00FC01CB">
      <w:pPr>
        <w:pStyle w:val="NormalWeb"/>
        <w:spacing w:after="120" w:afterAutospacing="0" w:line="330" w:lineRule="atLeast"/>
        <w:jc w:val="both"/>
        <w:rPr>
          <w:rFonts w:ascii="Cambria" w:hAnsi="Cambria" w:cs="Arial"/>
          <w:color w:val="000000"/>
        </w:rPr>
      </w:pPr>
      <w:r w:rsidRPr="003F3A10">
        <w:rPr>
          <w:rFonts w:ascii="Cambria" w:hAnsi="Cambria" w:cs="Arial"/>
          <w:color w:val="000000"/>
        </w:rPr>
        <w:t xml:space="preserve">Au Maroc, l'ONPV est représentée par la Division de la protection des végétaux (DPV) qui est rattachée à la Direction de la Protection du Patrimoine Animal et Végétal (DPPAV) au sein de l'ONSSA. La DPV sous l'autorité de la DPPAV et en conformité avec les textes en vigueur est chargée de veiller, de suivre et de coordonner les missions de protection des végétaux, notamment : </w:t>
      </w:r>
    </w:p>
    <w:p w:rsidR="00323E01" w:rsidRDefault="002256E3"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Pr>
          <w:rFonts w:ascii="Cambria" w:hAnsi="Cambria" w:cs="Arial"/>
          <w:color w:val="000000"/>
        </w:rPr>
        <w:t>L</w:t>
      </w:r>
      <w:r w:rsidR="00FC01CB" w:rsidRPr="003F3A10">
        <w:rPr>
          <w:rFonts w:ascii="Cambria" w:hAnsi="Cambria" w:cs="Arial"/>
          <w:color w:val="000000"/>
        </w:rPr>
        <w:t>a protection du patrimoine végétal (protection des cultures, surveillance phytosanitaire, ge</w:t>
      </w:r>
      <w:r>
        <w:rPr>
          <w:rFonts w:ascii="Cambria" w:hAnsi="Cambria" w:cs="Arial"/>
          <w:color w:val="000000"/>
        </w:rPr>
        <w:t>stion phytosanitaire intégrée).</w:t>
      </w:r>
    </w:p>
    <w:p w:rsidR="002256E3" w:rsidRDefault="002256E3"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Pr>
          <w:rFonts w:ascii="Cambria" w:hAnsi="Cambria" w:cs="Arial"/>
          <w:color w:val="000000"/>
        </w:rPr>
        <w:t>Le contrôle d</w:t>
      </w:r>
      <w:r w:rsidRPr="002256E3">
        <w:rPr>
          <w:rFonts w:ascii="Cambria" w:hAnsi="Cambria" w:cs="Arial"/>
          <w:color w:val="000000"/>
        </w:rPr>
        <w:t>es végétaux ou produits végétaux aux frontières (import et export) et à l’intérieur du pays</w:t>
      </w:r>
      <w:r>
        <w:rPr>
          <w:rFonts w:ascii="Cambria" w:hAnsi="Cambria" w:cs="Arial"/>
          <w:color w:val="000000"/>
        </w:rPr>
        <w:t> ;</w:t>
      </w:r>
    </w:p>
    <w:p w:rsidR="002256E3" w:rsidRDefault="00FC01CB"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sidRPr="003F3A10">
        <w:rPr>
          <w:rFonts w:ascii="Cambria" w:hAnsi="Cambria" w:cs="Arial"/>
          <w:color w:val="000000"/>
        </w:rPr>
        <w:t>La lutte contre les moineaux et les rongeurs nuisibles et la protection phytosanitaire de la forêt</w:t>
      </w:r>
      <w:r w:rsidR="002256E3">
        <w:rPr>
          <w:rFonts w:ascii="Cambria" w:hAnsi="Cambria" w:cs="Arial"/>
          <w:color w:val="000000"/>
        </w:rPr>
        <w:t xml:space="preserve"> </w:t>
      </w:r>
      <w:r w:rsidRPr="003F3A10">
        <w:rPr>
          <w:rFonts w:ascii="Cambria" w:hAnsi="Cambria" w:cs="Arial"/>
          <w:color w:val="000000"/>
        </w:rPr>
        <w:t xml:space="preserve">; </w:t>
      </w:r>
    </w:p>
    <w:p w:rsidR="00323E01" w:rsidRDefault="002256E3"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sidRPr="003F3A10">
        <w:rPr>
          <w:rFonts w:ascii="Cambria" w:hAnsi="Cambria" w:cs="Arial"/>
          <w:color w:val="000000"/>
        </w:rPr>
        <w:t xml:space="preserve">La lutte </w:t>
      </w:r>
      <w:proofErr w:type="spellStart"/>
      <w:r w:rsidRPr="003F3A10">
        <w:rPr>
          <w:rFonts w:ascii="Cambria" w:hAnsi="Cambria" w:cs="Arial"/>
          <w:color w:val="000000"/>
        </w:rPr>
        <w:t>anti-acridienne</w:t>
      </w:r>
      <w:proofErr w:type="spellEnd"/>
      <w:r>
        <w:rPr>
          <w:rFonts w:ascii="Cambria" w:hAnsi="Cambria" w:cs="Arial"/>
          <w:color w:val="000000"/>
        </w:rPr>
        <w:t xml:space="preserve"> </w:t>
      </w:r>
      <w:r w:rsidRPr="003F3A10">
        <w:rPr>
          <w:rFonts w:ascii="Cambria" w:hAnsi="Cambria" w:cs="Arial"/>
          <w:color w:val="000000"/>
        </w:rPr>
        <w:t xml:space="preserve">; </w:t>
      </w:r>
    </w:p>
    <w:p w:rsidR="00323E01" w:rsidRDefault="00FC01CB"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sidRPr="003F3A10">
        <w:rPr>
          <w:rFonts w:ascii="Cambria" w:hAnsi="Cambria" w:cs="Arial"/>
          <w:color w:val="000000"/>
        </w:rPr>
        <w:t xml:space="preserve">La quarantaine végétale sur tout le territoire </w:t>
      </w:r>
      <w:r w:rsidR="002256E3" w:rsidRPr="003F3A10">
        <w:rPr>
          <w:rFonts w:ascii="Cambria" w:hAnsi="Cambria" w:cs="Arial"/>
          <w:color w:val="000000"/>
        </w:rPr>
        <w:t>national ;</w:t>
      </w:r>
      <w:r w:rsidRPr="003F3A10">
        <w:rPr>
          <w:rFonts w:ascii="Cambria" w:hAnsi="Cambria" w:cs="Arial"/>
          <w:color w:val="000000"/>
        </w:rPr>
        <w:t xml:space="preserve"> </w:t>
      </w:r>
    </w:p>
    <w:p w:rsidR="002256E3" w:rsidRDefault="002256E3"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Pr>
          <w:rFonts w:ascii="Cambria" w:hAnsi="Cambria" w:cs="Arial"/>
          <w:color w:val="000000"/>
        </w:rPr>
        <w:t>La gestion des crises phytosanitaire ;</w:t>
      </w:r>
    </w:p>
    <w:p w:rsidR="002256E3" w:rsidRPr="002256E3" w:rsidRDefault="002256E3" w:rsidP="002256E3">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Pr>
          <w:rFonts w:ascii="Cambria" w:hAnsi="Cambria" w:cs="Arial"/>
          <w:color w:val="000000"/>
        </w:rPr>
        <w:t xml:space="preserve">L’évaluation et la gestion des risques phytosanitaires </w:t>
      </w:r>
      <w:r w:rsidRPr="003946B9">
        <w:rPr>
          <w:rFonts w:ascii="Cambria" w:hAnsi="Cambria"/>
        </w:rPr>
        <w:t xml:space="preserve">que peuvent engendrer les agents pathogènes </w:t>
      </w:r>
      <w:r>
        <w:rPr>
          <w:rFonts w:ascii="Cambria" w:hAnsi="Cambria"/>
        </w:rPr>
        <w:t>pour la santé des végétaux ;</w:t>
      </w:r>
    </w:p>
    <w:p w:rsidR="00F91F39" w:rsidRPr="005F0B7D" w:rsidRDefault="00FC01CB" w:rsidP="005F0B7D">
      <w:pPr>
        <w:pStyle w:val="NormalWeb"/>
        <w:numPr>
          <w:ilvl w:val="0"/>
          <w:numId w:val="9"/>
        </w:numPr>
        <w:spacing w:before="0" w:beforeAutospacing="0" w:after="0" w:afterAutospacing="0" w:line="330" w:lineRule="atLeast"/>
        <w:ind w:left="284" w:hanging="284"/>
        <w:jc w:val="both"/>
        <w:rPr>
          <w:rFonts w:ascii="Cambria" w:hAnsi="Cambria" w:cs="Arial"/>
          <w:color w:val="000000"/>
        </w:rPr>
      </w:pPr>
      <w:r w:rsidRPr="005F0B7D">
        <w:rPr>
          <w:rFonts w:ascii="Cambria" w:hAnsi="Cambria" w:cs="Arial"/>
          <w:color w:val="000000"/>
        </w:rPr>
        <w:t xml:space="preserve">Les activités d'expertise en matière de surveillance du territoire national sur les organismes nuisibles. </w:t>
      </w:r>
    </w:p>
    <w:p w:rsidR="00323E01" w:rsidRPr="00F91F39" w:rsidRDefault="00F91F39" w:rsidP="00F91F39">
      <w:pPr>
        <w:spacing w:before="120" w:after="120"/>
        <w:jc w:val="both"/>
        <w:rPr>
          <w:rFonts w:ascii="Cambria" w:hAnsi="Cambria"/>
          <w:sz w:val="24"/>
          <w:szCs w:val="24"/>
        </w:rPr>
      </w:pPr>
      <w:r w:rsidRPr="00D67BF2">
        <w:rPr>
          <w:rFonts w:ascii="Cambria" w:hAnsi="Cambria"/>
          <w:sz w:val="24"/>
          <w:szCs w:val="24"/>
        </w:rPr>
        <w:lastRenderedPageBreak/>
        <w:t>Ces responsabilités sont assurées en harmonie avec la réglementation phytosanitaire nationale, internationale et les normes internationales.</w:t>
      </w:r>
    </w:p>
    <w:p w:rsidR="00FC01CB" w:rsidRPr="00FC01CB" w:rsidRDefault="00323E01" w:rsidP="00FC01CB">
      <w:pPr>
        <w:pStyle w:val="NormalWeb"/>
        <w:spacing w:after="120" w:afterAutospacing="0" w:line="330" w:lineRule="atLeast"/>
        <w:jc w:val="both"/>
        <w:rPr>
          <w:rFonts w:ascii="Cambria" w:hAnsi="Cambria" w:cs="Arial"/>
          <w:color w:val="000000"/>
        </w:rPr>
      </w:pPr>
      <w:r>
        <w:rPr>
          <w:rFonts w:ascii="Cambria" w:hAnsi="Cambria" w:cs="Arial"/>
          <w:color w:val="000000"/>
        </w:rPr>
        <w:t>Pour l'accomplissement de</w:t>
      </w:r>
      <w:r w:rsidR="00FC01CB" w:rsidRPr="003F3A10">
        <w:rPr>
          <w:rFonts w:ascii="Cambria" w:hAnsi="Cambria" w:cs="Arial"/>
          <w:color w:val="000000"/>
        </w:rPr>
        <w:t xml:space="preserve"> ses missions, la DPV comprend au niveau central trois services: </w:t>
      </w:r>
      <w:r w:rsidR="00FC01CB" w:rsidRPr="002256E3">
        <w:rPr>
          <w:rFonts w:ascii="Cambria" w:hAnsi="Cambria" w:cs="Arial"/>
          <w:b/>
          <w:color w:val="000000"/>
        </w:rPr>
        <w:t>(1)</w:t>
      </w:r>
      <w:r w:rsidR="00FC01CB" w:rsidRPr="003F3A10">
        <w:rPr>
          <w:rFonts w:ascii="Cambria" w:hAnsi="Cambria" w:cs="Arial"/>
          <w:color w:val="000000"/>
        </w:rPr>
        <w:t xml:space="preserve"> Le Service de la protection du patrimoine végétal; </w:t>
      </w:r>
      <w:r w:rsidR="00FC01CB" w:rsidRPr="002256E3">
        <w:rPr>
          <w:rFonts w:ascii="Cambria" w:hAnsi="Cambria" w:cs="Arial"/>
          <w:b/>
          <w:color w:val="000000"/>
        </w:rPr>
        <w:t>(2)</w:t>
      </w:r>
      <w:r w:rsidR="00FC01CB" w:rsidRPr="003F3A10">
        <w:rPr>
          <w:rFonts w:ascii="Cambria" w:hAnsi="Cambria" w:cs="Arial"/>
          <w:color w:val="000000"/>
        </w:rPr>
        <w:t xml:space="preserve"> Le Service des grandes luttes; </w:t>
      </w:r>
      <w:r w:rsidR="00FC01CB" w:rsidRPr="002256E3">
        <w:rPr>
          <w:rFonts w:ascii="Cambria" w:hAnsi="Cambria" w:cs="Arial"/>
          <w:b/>
          <w:color w:val="000000"/>
        </w:rPr>
        <w:t>(3)</w:t>
      </w:r>
      <w:r w:rsidR="00FC01CB" w:rsidRPr="003F3A10">
        <w:rPr>
          <w:rFonts w:ascii="Cambria" w:hAnsi="Cambria" w:cs="Arial"/>
          <w:color w:val="000000"/>
        </w:rPr>
        <w:t xml:space="preserve"> Le Service de quarantaine végétale</w:t>
      </w:r>
      <w:r w:rsidR="002256E3">
        <w:rPr>
          <w:rFonts w:ascii="Cambria" w:hAnsi="Cambria" w:cs="Arial"/>
          <w:color w:val="000000"/>
        </w:rPr>
        <w:t>.</w:t>
      </w:r>
    </w:p>
    <w:p w:rsidR="005E10F8" w:rsidRDefault="00FC01CB" w:rsidP="005E10F8">
      <w:pPr>
        <w:pStyle w:val="NormalWeb"/>
        <w:spacing w:before="75" w:beforeAutospacing="0" w:after="225" w:afterAutospacing="0" w:line="330" w:lineRule="atLeast"/>
        <w:jc w:val="both"/>
        <w:rPr>
          <w:rFonts w:ascii="Cambria" w:hAnsi="Cambria" w:cs="Arial"/>
          <w:color w:val="000000"/>
        </w:rPr>
      </w:pPr>
      <w:r w:rsidRPr="00FC01CB">
        <w:rPr>
          <w:rFonts w:ascii="Cambria" w:hAnsi="Cambria" w:cs="Arial"/>
          <w:color w:val="000000"/>
        </w:rPr>
        <w:t>Au niveau régional, la DPV est représentée par 4</w:t>
      </w:r>
      <w:r w:rsidR="005E10F8">
        <w:rPr>
          <w:rFonts w:ascii="Cambria" w:hAnsi="Cambria" w:cs="Arial"/>
          <w:color w:val="000000"/>
        </w:rPr>
        <w:t>6</w:t>
      </w:r>
      <w:r w:rsidRPr="00FC01CB">
        <w:rPr>
          <w:rFonts w:ascii="Cambria" w:hAnsi="Cambria" w:cs="Arial"/>
          <w:color w:val="000000"/>
        </w:rPr>
        <w:t xml:space="preserve"> </w:t>
      </w:r>
      <w:r w:rsidR="002256E3">
        <w:rPr>
          <w:rFonts w:ascii="Cambria" w:hAnsi="Cambria" w:cs="Arial"/>
          <w:color w:val="000000"/>
        </w:rPr>
        <w:t>Service</w:t>
      </w:r>
      <w:r w:rsidR="005E10F8">
        <w:rPr>
          <w:rFonts w:ascii="Cambria" w:hAnsi="Cambria" w:cs="Arial"/>
          <w:color w:val="000000"/>
        </w:rPr>
        <w:t>s</w:t>
      </w:r>
      <w:r w:rsidR="002256E3">
        <w:rPr>
          <w:rFonts w:ascii="Cambria" w:hAnsi="Cambria" w:cs="Arial"/>
          <w:color w:val="000000"/>
        </w:rPr>
        <w:t xml:space="preserve"> de la Protection des Végétaux (SPV)</w:t>
      </w:r>
      <w:r w:rsidRPr="00FC01CB">
        <w:rPr>
          <w:rFonts w:ascii="Cambria" w:hAnsi="Cambria" w:cs="Arial"/>
          <w:color w:val="000000"/>
        </w:rPr>
        <w:t xml:space="preserve"> répartis sur les 10 Directions régionales de l'ONSSA</w:t>
      </w:r>
      <w:r w:rsidR="005E10F8">
        <w:rPr>
          <w:rFonts w:ascii="Cambria" w:hAnsi="Cambria" w:cs="Arial"/>
          <w:color w:val="000000"/>
        </w:rPr>
        <w:t xml:space="preserve"> dont trois services au niveau des Directions de Contrôle et de la Q</w:t>
      </w:r>
      <w:r w:rsidR="005E10F8" w:rsidRPr="00FC01CB">
        <w:rPr>
          <w:rFonts w:ascii="Cambria" w:hAnsi="Cambria" w:cs="Arial"/>
          <w:color w:val="000000"/>
        </w:rPr>
        <w:t>ualité</w:t>
      </w:r>
      <w:r w:rsidR="005E10F8">
        <w:rPr>
          <w:rFonts w:ascii="Cambria" w:hAnsi="Cambria" w:cs="Arial"/>
          <w:color w:val="000000"/>
        </w:rPr>
        <w:t xml:space="preserve"> (DCQ)</w:t>
      </w:r>
      <w:r w:rsidR="005E10F8" w:rsidRPr="00FC01CB">
        <w:rPr>
          <w:rFonts w:ascii="Cambria" w:hAnsi="Cambria" w:cs="Arial"/>
          <w:color w:val="000000"/>
        </w:rPr>
        <w:t xml:space="preserve"> </w:t>
      </w:r>
      <w:r w:rsidR="005E10F8">
        <w:rPr>
          <w:rFonts w:ascii="Cambria" w:hAnsi="Cambria" w:cs="Arial"/>
          <w:color w:val="000000"/>
        </w:rPr>
        <w:t xml:space="preserve">aux ports </w:t>
      </w:r>
      <w:r w:rsidR="005E10F8" w:rsidRPr="00FC01CB">
        <w:rPr>
          <w:rFonts w:ascii="Cambria" w:hAnsi="Cambria" w:cs="Arial"/>
          <w:color w:val="000000"/>
        </w:rPr>
        <w:t>d'Agadir, Casablanca et Tanger Med</w:t>
      </w:r>
      <w:r w:rsidR="005E10F8">
        <w:rPr>
          <w:rFonts w:ascii="Cambria" w:hAnsi="Cambria" w:cs="Arial"/>
          <w:color w:val="000000"/>
        </w:rPr>
        <w:t>.</w:t>
      </w:r>
    </w:p>
    <w:p w:rsidR="00CD0218" w:rsidRPr="00FC01CB" w:rsidRDefault="00CD0218" w:rsidP="00FC01CB">
      <w:pPr>
        <w:jc w:val="both"/>
        <w:rPr>
          <w:rFonts w:ascii="Cambria" w:hAnsi="Cambria"/>
          <w:sz w:val="24"/>
          <w:szCs w:val="24"/>
        </w:rPr>
      </w:pPr>
    </w:p>
    <w:sectPr w:rsidR="00CD0218" w:rsidRPr="00FC0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90C"/>
    <w:multiLevelType w:val="hybridMultilevel"/>
    <w:tmpl w:val="561E3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92654"/>
    <w:multiLevelType w:val="hybridMultilevel"/>
    <w:tmpl w:val="85C08D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22FB9"/>
    <w:multiLevelType w:val="hybridMultilevel"/>
    <w:tmpl w:val="00A40AC0"/>
    <w:lvl w:ilvl="0" w:tplc="24623B74">
      <w:numFmt w:val="bullet"/>
      <w:lvlText w:val="-"/>
      <w:lvlJc w:val="left"/>
      <w:pPr>
        <w:ind w:left="1068" w:hanging="360"/>
      </w:pPr>
      <w:rPr>
        <w:rFonts w:ascii="Comic Sans MS" w:eastAsia="Times New Roman" w:hAnsi="Comic Sans MS" w:cs="Comic Sans M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8663B33"/>
    <w:multiLevelType w:val="hybridMultilevel"/>
    <w:tmpl w:val="82E042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B322C"/>
    <w:multiLevelType w:val="hybridMultilevel"/>
    <w:tmpl w:val="DCFA079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FE94369"/>
    <w:multiLevelType w:val="hybridMultilevel"/>
    <w:tmpl w:val="11DC6EB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337D005D"/>
    <w:multiLevelType w:val="hybridMultilevel"/>
    <w:tmpl w:val="40D214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2240775"/>
    <w:multiLevelType w:val="hybridMultilevel"/>
    <w:tmpl w:val="9DAC41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BA3BFE"/>
    <w:multiLevelType w:val="hybridMultilevel"/>
    <w:tmpl w:val="9300DA28"/>
    <w:lvl w:ilvl="0" w:tplc="DB26F0C0">
      <w:start w:val="1"/>
      <w:numFmt w:val="bullet"/>
      <w:lvlText w:val=""/>
      <w:lvlJc w:val="left"/>
      <w:pPr>
        <w:tabs>
          <w:tab w:val="num" w:pos="720"/>
        </w:tabs>
        <w:ind w:left="720" w:hanging="360"/>
      </w:pPr>
      <w:rPr>
        <w:rFonts w:ascii="Wingdings" w:hAnsi="Wingdings" w:hint="default"/>
      </w:rPr>
    </w:lvl>
    <w:lvl w:ilvl="1" w:tplc="8BF48548" w:tentative="1">
      <w:start w:val="1"/>
      <w:numFmt w:val="bullet"/>
      <w:lvlText w:val=""/>
      <w:lvlJc w:val="left"/>
      <w:pPr>
        <w:tabs>
          <w:tab w:val="num" w:pos="1440"/>
        </w:tabs>
        <w:ind w:left="1440" w:hanging="360"/>
      </w:pPr>
      <w:rPr>
        <w:rFonts w:ascii="Wingdings" w:hAnsi="Wingdings" w:hint="default"/>
      </w:rPr>
    </w:lvl>
    <w:lvl w:ilvl="2" w:tplc="AE7E9A3E" w:tentative="1">
      <w:start w:val="1"/>
      <w:numFmt w:val="bullet"/>
      <w:lvlText w:val=""/>
      <w:lvlJc w:val="left"/>
      <w:pPr>
        <w:tabs>
          <w:tab w:val="num" w:pos="2160"/>
        </w:tabs>
        <w:ind w:left="2160" w:hanging="360"/>
      </w:pPr>
      <w:rPr>
        <w:rFonts w:ascii="Wingdings" w:hAnsi="Wingdings" w:hint="default"/>
      </w:rPr>
    </w:lvl>
    <w:lvl w:ilvl="3" w:tplc="E51027C4" w:tentative="1">
      <w:start w:val="1"/>
      <w:numFmt w:val="bullet"/>
      <w:lvlText w:val=""/>
      <w:lvlJc w:val="left"/>
      <w:pPr>
        <w:tabs>
          <w:tab w:val="num" w:pos="2880"/>
        </w:tabs>
        <w:ind w:left="2880" w:hanging="360"/>
      </w:pPr>
      <w:rPr>
        <w:rFonts w:ascii="Wingdings" w:hAnsi="Wingdings" w:hint="default"/>
      </w:rPr>
    </w:lvl>
    <w:lvl w:ilvl="4" w:tplc="EB9EB894" w:tentative="1">
      <w:start w:val="1"/>
      <w:numFmt w:val="bullet"/>
      <w:lvlText w:val=""/>
      <w:lvlJc w:val="left"/>
      <w:pPr>
        <w:tabs>
          <w:tab w:val="num" w:pos="3600"/>
        </w:tabs>
        <w:ind w:left="3600" w:hanging="360"/>
      </w:pPr>
      <w:rPr>
        <w:rFonts w:ascii="Wingdings" w:hAnsi="Wingdings" w:hint="default"/>
      </w:rPr>
    </w:lvl>
    <w:lvl w:ilvl="5" w:tplc="8B8A9CFE" w:tentative="1">
      <w:start w:val="1"/>
      <w:numFmt w:val="bullet"/>
      <w:lvlText w:val=""/>
      <w:lvlJc w:val="left"/>
      <w:pPr>
        <w:tabs>
          <w:tab w:val="num" w:pos="4320"/>
        </w:tabs>
        <w:ind w:left="4320" w:hanging="360"/>
      </w:pPr>
      <w:rPr>
        <w:rFonts w:ascii="Wingdings" w:hAnsi="Wingdings" w:hint="default"/>
      </w:rPr>
    </w:lvl>
    <w:lvl w:ilvl="6" w:tplc="47C822AA" w:tentative="1">
      <w:start w:val="1"/>
      <w:numFmt w:val="bullet"/>
      <w:lvlText w:val=""/>
      <w:lvlJc w:val="left"/>
      <w:pPr>
        <w:tabs>
          <w:tab w:val="num" w:pos="5040"/>
        </w:tabs>
        <w:ind w:left="5040" w:hanging="360"/>
      </w:pPr>
      <w:rPr>
        <w:rFonts w:ascii="Wingdings" w:hAnsi="Wingdings" w:hint="default"/>
      </w:rPr>
    </w:lvl>
    <w:lvl w:ilvl="7" w:tplc="259E7ED6" w:tentative="1">
      <w:start w:val="1"/>
      <w:numFmt w:val="bullet"/>
      <w:lvlText w:val=""/>
      <w:lvlJc w:val="left"/>
      <w:pPr>
        <w:tabs>
          <w:tab w:val="num" w:pos="5760"/>
        </w:tabs>
        <w:ind w:left="5760" w:hanging="360"/>
      </w:pPr>
      <w:rPr>
        <w:rFonts w:ascii="Wingdings" w:hAnsi="Wingdings" w:hint="default"/>
      </w:rPr>
    </w:lvl>
    <w:lvl w:ilvl="8" w:tplc="69D46C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CB"/>
    <w:rsid w:val="000E7A5B"/>
    <w:rsid w:val="002256E3"/>
    <w:rsid w:val="00323E01"/>
    <w:rsid w:val="003301DE"/>
    <w:rsid w:val="003F3A10"/>
    <w:rsid w:val="0051254E"/>
    <w:rsid w:val="00525126"/>
    <w:rsid w:val="005C3FD9"/>
    <w:rsid w:val="005E10F8"/>
    <w:rsid w:val="005F0B7D"/>
    <w:rsid w:val="00603697"/>
    <w:rsid w:val="0071220B"/>
    <w:rsid w:val="00963EB9"/>
    <w:rsid w:val="00CD0218"/>
    <w:rsid w:val="00DF45BA"/>
    <w:rsid w:val="00F606C5"/>
    <w:rsid w:val="00F91F39"/>
    <w:rsid w:val="00FC01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E67E7-8465-47EA-80B6-1613DFE3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01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D0218"/>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1328">
      <w:bodyDiv w:val="1"/>
      <w:marLeft w:val="0"/>
      <w:marRight w:val="0"/>
      <w:marTop w:val="0"/>
      <w:marBottom w:val="0"/>
      <w:divBdr>
        <w:top w:val="none" w:sz="0" w:space="0" w:color="auto"/>
        <w:left w:val="none" w:sz="0" w:space="0" w:color="auto"/>
        <w:bottom w:val="none" w:sz="0" w:space="0" w:color="auto"/>
        <w:right w:val="none" w:sz="0" w:space="0" w:color="auto"/>
      </w:divBdr>
      <w:divsChild>
        <w:div w:id="2069724343">
          <w:marLeft w:val="547"/>
          <w:marRight w:val="0"/>
          <w:marTop w:val="0"/>
          <w:marBottom w:val="0"/>
          <w:divBdr>
            <w:top w:val="none" w:sz="0" w:space="0" w:color="auto"/>
            <w:left w:val="none" w:sz="0" w:space="0" w:color="auto"/>
            <w:bottom w:val="none" w:sz="0" w:space="0" w:color="auto"/>
            <w:right w:val="none" w:sz="0" w:space="0" w:color="auto"/>
          </w:divBdr>
        </w:div>
        <w:div w:id="927151693">
          <w:marLeft w:val="547"/>
          <w:marRight w:val="0"/>
          <w:marTop w:val="0"/>
          <w:marBottom w:val="0"/>
          <w:divBdr>
            <w:top w:val="none" w:sz="0" w:space="0" w:color="auto"/>
            <w:left w:val="none" w:sz="0" w:space="0" w:color="auto"/>
            <w:bottom w:val="none" w:sz="0" w:space="0" w:color="auto"/>
            <w:right w:val="none" w:sz="0" w:space="0" w:color="auto"/>
          </w:divBdr>
        </w:div>
        <w:div w:id="665060388">
          <w:marLeft w:val="547"/>
          <w:marRight w:val="0"/>
          <w:marTop w:val="0"/>
          <w:marBottom w:val="0"/>
          <w:divBdr>
            <w:top w:val="none" w:sz="0" w:space="0" w:color="auto"/>
            <w:left w:val="none" w:sz="0" w:space="0" w:color="auto"/>
            <w:bottom w:val="none" w:sz="0" w:space="0" w:color="auto"/>
            <w:right w:val="none" w:sz="0" w:space="0" w:color="auto"/>
          </w:divBdr>
        </w:div>
        <w:div w:id="32311559">
          <w:marLeft w:val="547"/>
          <w:marRight w:val="0"/>
          <w:marTop w:val="0"/>
          <w:marBottom w:val="0"/>
          <w:divBdr>
            <w:top w:val="none" w:sz="0" w:space="0" w:color="auto"/>
            <w:left w:val="none" w:sz="0" w:space="0" w:color="auto"/>
            <w:bottom w:val="none" w:sz="0" w:space="0" w:color="auto"/>
            <w:right w:val="none" w:sz="0" w:space="0" w:color="auto"/>
          </w:divBdr>
        </w:div>
        <w:div w:id="2006203481">
          <w:marLeft w:val="547"/>
          <w:marRight w:val="0"/>
          <w:marTop w:val="0"/>
          <w:marBottom w:val="0"/>
          <w:divBdr>
            <w:top w:val="none" w:sz="0" w:space="0" w:color="auto"/>
            <w:left w:val="none" w:sz="0" w:space="0" w:color="auto"/>
            <w:bottom w:val="none" w:sz="0" w:space="0" w:color="auto"/>
            <w:right w:val="none" w:sz="0" w:space="0" w:color="auto"/>
          </w:divBdr>
        </w:div>
        <w:div w:id="2093577014">
          <w:marLeft w:val="547"/>
          <w:marRight w:val="0"/>
          <w:marTop w:val="0"/>
          <w:marBottom w:val="0"/>
          <w:divBdr>
            <w:top w:val="none" w:sz="0" w:space="0" w:color="auto"/>
            <w:left w:val="none" w:sz="0" w:space="0" w:color="auto"/>
            <w:bottom w:val="none" w:sz="0" w:space="0" w:color="auto"/>
            <w:right w:val="none" w:sz="0" w:space="0" w:color="auto"/>
          </w:divBdr>
        </w:div>
      </w:divsChild>
    </w:div>
    <w:div w:id="3967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4224</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user</cp:lastModifiedBy>
  <cp:revision>8</cp:revision>
  <dcterms:created xsi:type="dcterms:W3CDTF">2019-07-23T13:54:00Z</dcterms:created>
  <dcterms:modified xsi:type="dcterms:W3CDTF">2019-09-04T20:20:00Z</dcterms:modified>
</cp:coreProperties>
</file>